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fdf5c4b111121f61c3e47682ce38e3b1cc2db9c"/>
      <w:r>
        <w:rPr/>
        <w:t xml:space="preserve">La cosecha de piedras: piedra, papel y máquina en </w:t>
      </w:r>
      <w:r>
        <w:rPr>
          <w:i/>
          <w:iCs/>
        </w:rPr>
        <w:t>Altiplano</w:t>
      </w:r>
    </w:p>
    <w:p>
      <w:pPr>
        <w:pStyle w:val="FirstParagraph"/>
        <w:rPr/>
      </w:pPr>
      <w:r>
        <w:rPr>
          <w:b/>
          <w:bCs/>
        </w:rPr>
        <w:t xml:space="preserve">The Harvest of Stones: Stone, Paper and Machine in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w:t>
      </w:r>
      <w:del w:id="0" w:author="Unknown Author" w:date="2026-10-01T02:40:40Z">
        <w:r>
          <w:rPr/>
          <w:delText xml:space="preserve">justamente </w:delText>
        </w:r>
      </w:del>
      <w:r>
        <w:rP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w:t>
      </w:r>
      <w:ins w:id="1" w:author="Unknown Author" w:date="2026-10-01T02:40:40Z">
        <w:r>
          <w:rPr/>
          <w:t>reúne</w:t>
        </w:r>
      </w:ins>
      <w:del w:id="2" w:author="Unknown Author" w:date="2026-10-01T02:40:40Z">
        <w:r>
          <w:rPr/>
          <w:delText>es un conjunto de</w:delText>
        </w:r>
      </w:del>
      <w:r>
        <w:rPr/>
        <w:t xml:space="preserv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rPr/>
      </w:pPr>
      <w:r>
        <w:rPr>
          <w:b/>
          <w:bCs/>
        </w:rPr>
        <w:t xml:space="preserve">Figura 1. </w:t>
      </w:r>
      <w:r>
        <w:rPr>
          <w:b/>
          <w:bCs/>
          <w:i/>
          <w:iCs/>
        </w:rPr>
        <w:t>Cráneo/nido</w:t>
      </w:r>
      <w:r>
        <w:rPr>
          <w:b/>
          <w:bCs/>
        </w:rPr>
        <w:t>.</w:t>
      </w:r>
      <w:r>
        <w:rPr/>
        <w:t xml:space="preserve"> (1) </w:t>
      </w:r>
      <w:r>
        <w:rPr>
          <w:i/>
          <w:iCs/>
        </w:rPr>
        <w:t>Texto</w:t>
      </w:r>
      <w:r>
        <w:rPr/>
        <w:t>. Muros de piedra</w:t>
      </w:r>
      <w:del w:id="3" w:author="Unknown Author" w:date="2026-10-01T02:40:40Z">
        <w:r>
          <w:rPr/>
          <w:delText xml:space="preserve"> de dos metros de alto</w:delText>
        </w:r>
      </w:del>
      <w:r>
        <w:rPr/>
        <w:t xml:space="preserve">, fuego al centro, herramientas colgadas </w:t>
      </w:r>
      <w:del w:id="4" w:author="Unknown Author" w:date="2026-10-01T02:40:40Z">
        <w:r>
          <w:rPr/>
          <w:delText xml:space="preserve">de las vigas </w:delText>
        </w:r>
      </w:del>
      <w:r>
        <w:rPr/>
        <w:t xml:space="preserve">(Botelho Gosálvez, 1982 [1945]: 8, 30-31) y, en el techo, un crucifijo con «una pequeña huaca de barro cocido» (ibid.: 10). (2) </w:t>
      </w:r>
      <w:r>
        <w:rPr>
          <w:i/>
          <w:iCs/>
        </w:rPr>
        <w:t>Operación</w:t>
      </w:r>
      <w:r>
        <w:rPr/>
        <w:t xml:space="preserve">. Un corte a la altura de una persona </w:t>
      </w:r>
      <w:ins w:id="5" w:author="Unknown Author" w:date="2026-10-01T02:40:40Z">
        <w:r>
          <w:rPr/>
          <w:t>en cuclillas</w:t>
        </w:r>
      </w:ins>
      <w:del w:id="6" w:author="Unknown Author" w:date="2026-10-01T02:40:40Z">
        <w:r>
          <w:rPr/>
          <w:delText>sentada</w:delText>
        </w:r>
      </w:del>
      <w:r>
        <w:rPr/>
        <w:t xml:space="preserve">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rPr/>
      </w:pPr>
      <w:r>
        <w:rPr/>
        <w:drawing>
          <wp:inline distT="0" distB="0" distL="0" distR="0">
            <wp:extent cx="5039995" cy="33839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338391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032250" cy="57600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032250" cy="576008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359981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3599815"/>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4214495" cy="576008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214495" cy="5760085"/>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374396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374396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39845" cy="576008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39845" cy="5760085"/>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Muralla, foso, atalaya: recordar es construir, y olvidar también</w:t>
      </w:r>
      <w:ins w:id="7" w:author="Unknown Author" w:date="2026-10-01T02:40:40Z">
        <w:r>
          <w:rPr/>
          <w:t xml:space="preserve"> (Figura 7)</w:t>
        </w:r>
      </w:ins>
      <w:r>
        <w:rPr/>
        <w:t xml:space="preserve">.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w:t>
      </w:r>
      <w:del w:id="8" w:author="Unknown Author" w:date="2026-10-01T02:40:40Z">
        <w:r>
          <w:rPr/>
          <w:delText xml:space="preserve">Juan Condori está enterrado en el cementerio de los mineros; los miembros de Basilio Quispe, «en muchos sitios» (ibid.: 69). </w:delText>
        </w:r>
      </w:del>
      <w:r>
        <w:rPr/>
        <w:t>El Signo Escalonado se rehace sin su último escalón. Una pirca de doble cara enseña lo que esa memoria olvida: las piedras grandes dan la cara, pero adentro</w:t>
      </w:r>
      <w:del w:id="9" w:author="Unknown Author" w:date="2026-10-01T02:40:40Z">
        <w:r>
          <w:rPr/>
          <w:delText>, apretadas entre las dos caras,</w:delText>
        </w:r>
      </w:del>
      <w:r>
        <w:rPr/>
        <w:t xml:space="preserve">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 </w:t>
      </w:r>
      <w:r>
        <w:rPr>
          <w:i/>
          <w:iCs/>
        </w:rPr>
        <w:t>qalachuyma</w:t>
      </w:r>
      <w:r>
        <w:rPr/>
        <w:t xml:space="preserve">, «corazón de piedra»; en un relato de Spedding, para volverse así «hay que lamer el batán de moler» (Spedding, 2025: XV). Contra el susto, la piedra se usa al revés: se come el bezoar del yatiri, en aymara </w:t>
      </w:r>
      <w:r>
        <w:rPr>
          <w:i/>
          <w:iCs/>
        </w:rPr>
        <w:t>jayintilla</w:t>
      </w:r>
      <w:r>
        <w:rPr/>
        <w:t xml:space="preserve"> (Bertonio, 2011 [1612]: 361), o la tierra del lugar del miedo, para «retornar al territorio y a la memoria» (Rodríguez y Rodríguez, 2025: 55). Los comunarios besan el suelo, pero no vuelven a la memoria. La paz se paga con ese olvido.</w:t>
      </w:r>
    </w:p>
    <w:p>
      <w:pPr>
        <w:pStyle w:val="Figura"/>
        <w:rPr>
          <w:ins w:id="11" w:author="Unknown Author" w:date="2026-10-01T02:40:40Z"/>
        </w:rPr>
      </w:pPr>
      <w:ins w:id="10" w:author="Unknown Author" w:date="2026-10-01T02:40:40Z">
        <w:r>
          <w:rPr/>
          <w:drawing>
            <wp:inline distT="0" distB="0" distL="0" distR="0">
              <wp:extent cx="5039995" cy="323977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3239770"/>
                      </a:xfrm>
                      <a:prstGeom prst="rect">
                        <a:avLst/>
                      </a:prstGeom>
                    </pic:spPr>
                  </pic:pic>
                </a:graphicData>
              </a:graphic>
            </wp:inline>
          </w:drawing>
        </w:r>
      </w:ins>
    </w:p>
    <w:p>
      <w:pPr>
        <w:pStyle w:val="Piedefigura"/>
        <w:rPr>
          <w:ins w:id="16" w:author="Unknown Author" w:date="2026-10-01T02:40:40Z"/>
        </w:rPr>
      </w:pPr>
      <w:ins w:id="12" w:author="Unknown Author" w:date="2026-10-01T02:40:40Z">
        <w:r>
          <w:rPr>
            <w:b/>
            <w:bCs/>
          </w:rPr>
          <w:t>Figura 7.</w:t>
        </w:r>
      </w:ins>
      <w:ins w:id="13" w:author="Unknown Author" w:date="2026-10-01T02:40:40Z">
        <w:r>
          <w:rPr/>
          <w:t xml:space="preserve"> </w:t>
        </w:r>
      </w:ins>
      <w:ins w:id="14" w:author="Unknown Author" w:date="2026-10-01T02:40:40Z">
        <w:r>
          <w:rPr>
            <w:i/>
            <w:iCs/>
          </w:rPr>
          <w:t>La memoria del retorno</w:t>
        </w:r>
      </w:ins>
      <w:ins w:id="15" w:author="Unknown Author" w:date="2026-10-01T02:40:40Z">
        <w:r>
          <w:rPr/>
          <w:t>. Diagrama. Fuente: elaboración propia con asistencia de IA.</w:t>
        </w:r>
      </w:ins>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w:t>
      </w:r>
      <w:ins w:id="17" w:author="Unknown Author" w:date="2026-10-01T02:40:40Z">
        <w:r>
          <w:rPr/>
          <w:t xml:space="preserve"> (Figura 8)</w:t>
        </w:r>
      </w:ins>
      <w:r>
        <w:rPr/>
        <w:t>.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rPr>
          <w:ins w:id="19" w:author="Unknown Author" w:date="2026-10-01T02:40:40Z"/>
        </w:rPr>
      </w:pPr>
      <w:ins w:id="18" w:author="Unknown Author" w:date="2026-10-01T02:40:40Z">
        <w:r>
          <w:rPr/>
          <w:drawing>
            <wp:inline distT="0" distB="0" distL="0" distR="0">
              <wp:extent cx="4338320" cy="612013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338320" cy="6120130"/>
                      </a:xfrm>
                      <a:prstGeom prst="rect">
                        <a:avLst/>
                      </a:prstGeom>
                    </pic:spPr>
                  </pic:pic>
                </a:graphicData>
              </a:graphic>
            </wp:inline>
          </w:drawing>
        </w:r>
      </w:ins>
    </w:p>
    <w:p>
      <w:pPr>
        <w:pStyle w:val="Piedefigura"/>
        <w:rPr>
          <w:ins w:id="24" w:author="Unknown Author" w:date="2026-10-01T02:40:40Z"/>
        </w:rPr>
      </w:pPr>
      <w:ins w:id="20" w:author="Unknown Author" w:date="2026-10-01T02:40:40Z">
        <w:r>
          <w:rPr>
            <w:b/>
            <w:bCs/>
          </w:rPr>
          <w:t>Figura 8.</w:t>
        </w:r>
      </w:ins>
      <w:ins w:id="21" w:author="Unknown Author" w:date="2026-10-01T02:40:40Z">
        <w:r>
          <w:rPr/>
          <w:t xml:space="preserve"> </w:t>
        </w:r>
      </w:ins>
      <w:ins w:id="22" w:author="Unknown Author" w:date="2026-10-01T02:40:40Z">
        <w:r>
          <w:rPr>
            <w:i/>
            <w:iCs/>
          </w:rPr>
          <w:t>Tres montones</w:t>
        </w:r>
      </w:ins>
      <w:ins w:id="23" w:author="Unknown Author" w:date="2026-10-01T02:40:40Z">
        <w:r>
          <w:rPr/>
          <w:t>. Diagrama. Fuente: elaboración propia con asistencia de IA.</w:t>
        </w:r>
      </w:ins>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w:t>
      </w:r>
      <w:ins w:id="25" w:author="Unknown Author" w:date="2026-10-01T02:40:40Z">
        <w:r>
          <w:rPr/>
          <w:t xml:space="preserve">IA </w:t>
        </w:r>
      </w:ins>
      <w:del w:id="26" w:author="Unknown Author" w:date="2026-10-01T02:40:40Z">
        <w:r>
          <w:rPr/>
          <w:delText xml:space="preserve">inteligencia artificial </w:delText>
        </w:r>
      </w:del>
      <w:r>
        <w:rPr/>
        <w:t xml:space="preserve">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w:t>
      </w:r>
      <w:ins w:id="27" w:author="Unknown Author" w:date="2026-10-01T02:40:40Z">
        <w:r>
          <w:rPr/>
          <w:t xml:space="preserve">el diseño y trazado </w:t>
        </w:r>
      </w:ins>
      <w:del w:id="28" w:author="Unknown Author" w:date="2026-10-01T02:40:40Z">
        <w:r>
          <w:rPr/>
          <w:delText xml:space="preserve">la codificación vectorial </w:delText>
        </w:r>
      </w:del>
      <w:r>
        <w:rPr/>
        <w:t xml:space="preserve">de los esquemas de encaje </w:t>
      </w:r>
      <w:ins w:id="29" w:author="Unknown Author" w:date="2026-10-01T02:40:40Z">
        <w:r>
          <w:rPr/>
          <w:t>(figuras 1-6) y de los diagramas (figuras 7 y 8)</w:t>
        </w:r>
      </w:ins>
      <w:del w:id="30" w:author="Unknown Author" w:date="2026-10-01T02:40:40Z">
        <w:r>
          <w:rPr/>
          <w:delText>de las figuras 1 a 6</w:delText>
        </w:r>
      </w:del>
      <w:r>
        <w:rPr/>
        <w:t xml:space="preserve">.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Rodríguez, Malena y Rodríguez, Gabriel (2025). “Susto andino y violencia política”. En Eloísa Paz y alfonso borragán (dirs.), </w:t>
      </w:r>
      <w:r>
        <w:rPr>
          <w:i/>
          <w:iCs/>
        </w:rPr>
        <w:t>Susto al susto</w:t>
      </w:r>
      <w:r>
        <w:rPr/>
        <w:t>. La Paz: A ediciones: 43-61.</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Eloísa Paz y alfonso borragán (dirs.), </w:t>
      </w:r>
      <w:r>
        <w:rPr>
          <w:i/>
          <w:iCs/>
        </w:rPr>
        <w:t>Susto al susto</w:t>
      </w:r>
      <w:r>
        <w:rPr/>
        <w:t>. La Paz: A ediciones: XIII-XXIII.</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notes" Target="footnotes.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2026-10-01T02:40:04Z</dcterms:created>
  <dc:creator/>
  <dc:description/>
  <dc:language>en-US</dc:language>
  <cp:lastModifiedBy/>
  <dcterms:modified xsi:type="dcterms:W3CDTF">2026-10-01T02:40:40Z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