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[2011]: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parte de tres premisas. En</w:t>
      </w:r>
      <w:r>
        <w:t xml:space="preserve"> </w:t>
      </w:r>
      <w:r>
        <w:rPr>
          <w:i/>
          <w:iCs/>
        </w:rPr>
        <w:t xml:space="preserve">Altiplano</w:t>
      </w:r>
      <w:r>
        <w:t xml:space="preserve">, el saber sobre el espacio es material: piedra, adobe, paja y papel. El dibujo, que obliga a decidir punto de vista, escala y límite, deja a la vista las categorías que el lector proyecta. Y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4"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[1966]: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 Y, como muestra Carolyn Dean para los incas, volverse piedra no era morir: «la petrificación señalaba la suspensión, pero no el fin, de la vida» (Dean, 2010: 5).</w:t>
      </w:r>
    </w:p>
    <w:p>
      <w:pPr>
        <w:pStyle w:val="BodyText"/>
      </w:pPr>
      <w:r>
        <w:t xml:space="preserve">¿Con qué leer, entonces? Con las manos. De las imágenes de la materia, Gaston Bachelard escribió: «La vista las nombra, pero la mano las conoce» (Bachelard, 1978 [1942]: 7-8, cit. en Pallasmaa, 2014 [2011]: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BodyText"/>
      </w:pPr>
      <w:r>
        <w:t xml:space="preserve">La palabra</w:t>
      </w:r>
      <w:r>
        <w:t xml:space="preserve"> </w:t>
      </w:r>
      <w:r>
        <w:rPr>
          <w:i/>
          <w:iCs/>
        </w:rPr>
        <w:t xml:space="preserve">manuaje</w:t>
      </w:r>
      <w:r>
        <w:t xml:space="preserve"> </w:t>
      </w:r>
      <w:r>
        <w:t xml:space="preserve">tiene antecedentes, que Cárcamo Pino repasa. Uno es el de Randall McLeod, que llamó</w:t>
      </w:r>
      <w:r>
        <w:t xml:space="preserve"> </w:t>
      </w:r>
      <w:r>
        <w:rPr>
          <w:i/>
          <w:iCs/>
        </w:rPr>
        <w:t xml:space="preserve">manuage</w:t>
      </w:r>
      <w:r>
        <w:t xml:space="preserve"> </w:t>
      </w:r>
      <w:r>
        <w:t xml:space="preserve">al idioma de los</w:t>
      </w:r>
      <w:r>
        <w:t xml:space="preserve"> </w:t>
      </w:r>
      <w:r>
        <w:rPr>
          <w:i/>
          <w:iCs/>
        </w:rPr>
        <w:t xml:space="preserve">choughs</w:t>
      </w:r>
      <w:r>
        <w:t xml:space="preserve"> </w:t>
      </w:r>
      <w:r>
        <w:t xml:space="preserve">en</w:t>
      </w:r>
      <w:r>
        <w:t xml:space="preserve"> </w:t>
      </w:r>
      <w:r>
        <w:rPr>
          <w:i/>
          <w:iCs/>
        </w:rPr>
        <w:t xml:space="preserve">All’s Well That Ends Well</w:t>
      </w:r>
      <w:r>
        <w:t xml:space="preserve">,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w:t>
      </w:r>
      <w:r>
        <w:t xml:space="preserve"> </w:t>
      </w:r>
      <w:r>
        <w:rPr>
          <w:i/>
          <w:iCs/>
        </w:rPr>
        <w:t xml:space="preserve">ensamblaje</w:t>
      </w:r>
      <w:r>
        <w:t xml:space="preserve"> </w:t>
      </w:r>
      <w:r>
        <w:t xml:space="preserve">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r>
        <w:rPr>
          <w:rStyle w:val="FootnoteReference"/>
        </w:rPr>
        <w:footnoteReference w:id="13"/>
      </w:r>
      <w:r>
        <w:t xml:space="preserve"> </w:t>
      </w:r>
      <w:r>
        <w:t xml:space="preserve">Monteys y Fuertes llaman</w:t>
      </w:r>
      <w:r>
        <w:t xml:space="preserve"> </w:t>
      </w:r>
      <w:r>
        <w:rPr>
          <w:i/>
          <w:iCs/>
        </w:rPr>
        <w:t xml:space="preserve">casa collage</w:t>
      </w:r>
      <w:r>
        <w:t xml:space="preserve"> </w:t>
      </w:r>
      <w:r>
        <w:t xml:space="preserve">a una casa hecha así, de ideas reunidas, que «no cabe en una sola casa» (Monteys y Fuertes, 2001: 12).</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4"/>
    <w:bookmarkStart w:id="21"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 [2011]: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pPr>
      <w:r>
        <w:drawing>
          <wp:inline>
            <wp:extent cx="5039999" cy="3383999"/>
            <wp:effectExtent b="0" l="0" r="0" t="0"/>
            <wp:docPr descr="" title="" id="16" name="Picture"/>
            <a:graphic>
              <a:graphicData uri="http://schemas.openxmlformats.org/drawingml/2006/picture">
                <pic:pic>
                  <pic:nvPicPr>
                    <pic:cNvPr descr="figuras/figura_1.png" id="17" name="Picture"/>
                    <pic:cNvPicPr>
                      <a:picLocks noChangeArrowheads="1" noChangeAspect="1"/>
                    </pic:cNvPicPr>
                  </pic:nvPicPr>
                  <pic:blipFill>
                    <a:blip r:embed="rId15"/>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w:t>
      </w:r>
      <w:r>
        <w:t xml:space="preserve"> </w:t>
      </w:r>
      <w:r>
        <w:rPr>
          <w:i/>
          <w:iCs/>
        </w:rPr>
        <w:t xml:space="preserve">gradiente de intimidad</w:t>
      </w:r>
      <w:r>
        <w:t xml:space="preserve"> </w:t>
      </w:r>
      <w:r>
        <w:t xml:space="preserve">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pPr>
      <w: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w:t>
      </w:r>
      <w:r>
        <w:t xml:space="preserve"> </w:t>
      </w:r>
      <w:r>
        <w:rPr>
          <w:i/>
          <w:iCs/>
        </w:rPr>
        <w:t xml:space="preserve">hogar</w:t>
      </w:r>
      <w:r>
        <w:t xml:space="preserve"> </w:t>
      </w:r>
      <w:r>
        <w:t xml:space="preserve">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Una canción de The Voidz lleva un título que describe ese edificio: «Pyramid of Bones», pirámide de huesos (The Voidz, 2018). Arriba, el blasón; abajo, los que lo sostienen. El capítulo cierra con una fórmula: «Así los Villca, Huanca y Condori, son las generaciones del Signo Escalonado» (Botelho Gosálvez, 1982 [1945]: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9" name="Picture"/>
            <a:graphic>
              <a:graphicData uri="http://schemas.openxmlformats.org/drawingml/2006/picture">
                <pic:pic>
                  <pic:nvPicPr>
                    <pic:cNvPr descr="figuras/figura_2.png" id="20" name="Picture"/>
                    <pic:cNvPicPr>
                      <a:picLocks noChangeArrowheads="1" noChangeAspect="1"/>
                    </pic:cNvPicPr>
                  </pic:nvPicPr>
                  <pic:blipFill>
                    <a:blip r:embed="rId18"/>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1"/>
    <w:bookmarkStart w:id="22"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alias «el lobo»,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BodyText"/>
      </w:pPr>
      <w: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La firma es la del lobo. 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Lo dicen dos versos de «Pyramid of Bones»: «They play the game by different rules / Insisting it’s all equal», juegan con otras reglas e insisten en que todo es igual (The Voidz, 2018).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2"/>
    <w:bookmarkStart w:id="29"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w:t>
      </w:r>
      <w:r>
        <w:t xml:space="preserve"> </w:t>
      </w:r>
      <w:r>
        <w:rPr>
          <w:i/>
          <w:iCs/>
        </w:rPr>
        <w:t xml:space="preserve">casa difusa</w:t>
      </w:r>
      <w:r>
        <w:t xml:space="preserve"> </w:t>
      </w:r>
      <w:r>
        <w:t xml:space="preserve">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pPr>
      <w:r>
        <w:drawing>
          <wp:inline>
            <wp:extent cx="5039999" cy="3599999"/>
            <wp:effectExtent b="0" l="0" r="0" t="0"/>
            <wp:docPr descr="" title="" id="24" name="Picture"/>
            <a:graphic>
              <a:graphicData uri="http://schemas.openxmlformats.org/drawingml/2006/picture">
                <pic:pic>
                  <pic:nvPicPr>
                    <pic:cNvPr descr="figuras/figura_3.png" id="25" name="Picture"/>
                    <pic:cNvPicPr>
                      <a:picLocks noChangeArrowheads="1" noChangeAspect="1"/>
                    </pic:cNvPicPr>
                  </pic:nvPicPr>
                  <pic:blipFill>
                    <a:blip r:embed="rId23"/>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La huella es un</w:t>
      </w:r>
      <w:r>
        <w:t xml:space="preserve"> </w:t>
      </w:r>
      <w:r>
        <w:rPr>
          <w:i/>
          <w:iCs/>
        </w:rPr>
        <w:t xml:space="preserve">índice</w:t>
      </w:r>
      <w:r>
        <w:t xml:space="preserve"> </w:t>
      </w:r>
      <w:r>
        <w:t xml:space="preserve">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w:t>
      </w:r>
      <w:r>
        <w:t xml:space="preserve"> </w:t>
      </w:r>
      <w:r>
        <w:rPr>
          <w:i/>
          <w:iCs/>
        </w:rPr>
        <w:t xml:space="preserve">fotomontaje</w:t>
      </w:r>
      <w:r>
        <w:t xml:space="preserve">,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7" name="Picture"/>
            <a:graphic>
              <a:graphicData uri="http://schemas.openxmlformats.org/drawingml/2006/picture">
                <pic:pic>
                  <pic:nvPicPr>
                    <pic:cNvPr descr="figuras/figura_4.png" id="28" name="Picture"/>
                    <pic:cNvPicPr>
                      <a:picLocks noChangeArrowheads="1" noChangeAspect="1"/>
                    </pic:cNvPicPr>
                  </pic:nvPicPr>
                  <pic:blipFill>
                    <a:blip r:embed="rId26"/>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9"/>
    <w:bookmarkStart w:id="36"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Fuão llama</w:t>
      </w:r>
      <w:r>
        <w:t xml:space="preserve"> </w:t>
      </w:r>
      <w:r>
        <w:rPr>
          <w:i/>
          <w:iCs/>
        </w:rPr>
        <w:t xml:space="preserve">voyeurismo</w:t>
      </w:r>
      <w:r>
        <w:t xml:space="preserve"> </w:t>
      </w:r>
      <w:r>
        <w:t xml:space="preserve">a esa posición: separar al observador del objeto «mediante un distanciamiento de la mirada y el ocultamiento del propio cuerpo» (Fuão, 2011: 24). Por eso la serie no dibuja el linchamiento: un pastel de ese cuerpo sería otra efigie, y reunir sus pedazos en una hoja, una collage.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(Botelho Gosálvez, 1982 [1945]: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1" name="Picture"/>
            <a:graphic>
              <a:graphicData uri="http://schemas.openxmlformats.org/drawingml/2006/picture">
                <pic:pic>
                  <pic:nvPicPr>
                    <pic:cNvPr descr="figuras/figura_5.png" id="32" name="Picture"/>
                    <pic:cNvPicPr>
                      <a:picLocks noChangeArrowheads="1" noChangeAspect="1"/>
                    </pic:cNvPicPr>
                  </pic:nvPicPr>
                  <pic:blipFill>
                    <a:blip r:embed="rId30"/>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pPr>
      <w:r>
        <w:drawing>
          <wp:inline>
            <wp:extent cx="3839999" cy="5759999"/>
            <wp:effectExtent b="0" l="0" r="0" t="0"/>
            <wp:docPr descr="" title="" id="34" name="Picture"/>
            <a:graphic>
              <a:graphicData uri="http://schemas.openxmlformats.org/drawingml/2006/picture">
                <pic:pic>
                  <pic:nvPicPr>
                    <pic:cNvPr descr="figuras/figura_6.png" id="35" name="Picture"/>
                    <pic:cNvPicPr>
                      <a:picLocks noChangeArrowheads="1" noChangeAspect="1"/>
                    </pic:cNvPicPr>
                  </pic:nvPicPr>
                  <pic:blipFill>
                    <a:blip r:embed="rId33"/>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6"/>
    <w:bookmarkStart w:id="40"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 y la palabra</w:t>
      </w:r>
      <w:r>
        <w:t xml:space="preserve"> </w:t>
      </w:r>
      <w:r>
        <w:rPr>
          <w:i/>
          <w:iCs/>
        </w:rPr>
        <w:t xml:space="preserve">cola</w:t>
      </w:r>
      <w: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(ibid.: xiii).</w:t>
      </w:r>
    </w:p>
    <w:p>
      <w:pPr>
        <w:pStyle w:val="BodyText"/>
      </w:pPr>
      <w: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Dean lo dice de las piedras incas, «memorias materializadas»: «recordar una versión del pasado exige olvidar o reprimir otra versión de ese mismo pasado» (Dean, 2010: 39). 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Dos versos seguidos de «Father Electricity» juntan los dos gestos de esa memoria: «I do not want to see the whole mess / I wish I could live in retrospect», no quiero ver todo el desastre; ojalá pudiera vivir mirando atrás (Julian Casablancas+The Voidz, 2014). Los comunarios miran atrás, pero no para caminar, como pide el lema, sino para saltar el foso: recuerdan las cosechas, no el hambre.</w:t>
      </w:r>
    </w:p>
    <w:p>
      <w:pPr>
        <w:pStyle w:val="BodyText"/>
      </w:pPr>
      <w:r>
        <w:t xml:space="preserve">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p>
    <w:p>
      <w:pPr>
        <w:pStyle w:val="BodyText"/>
      </w:pPr>
      <w: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8" name="Picture"/>
            <a:graphic>
              <a:graphicData uri="http://schemas.openxmlformats.org/drawingml/2006/picture">
                <pic:pic>
                  <pic:nvPicPr>
                    <pic:cNvPr descr="figuras/figura_7.png" id="39" name="Picture"/>
                    <pic:cNvPicPr>
                      <a:picLocks noChangeArrowheads="1" noChangeAspect="1"/>
                    </pic:cNvPicPr>
                  </pic:nvPicPr>
                  <pic:blipFill>
                    <a:blip r:embed="rId37"/>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40"/>
    <w:bookmarkStart w:id="44"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2" name="Picture"/>
            <a:graphic>
              <a:graphicData uri="http://schemas.openxmlformats.org/drawingml/2006/picture">
                <pic:pic>
                  <pic:nvPicPr>
                    <pic:cNvPr descr="figuras/figura_8.png" id="43" name="Picture"/>
                    <pic:cNvPicPr>
                      <a:picLocks noChangeArrowheads="1" noChangeAspect="1"/>
                    </pic:cNvPicPr>
                  </pic:nvPicPr>
                  <pic:blipFill>
                    <a:blip r:embed="rId41"/>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Alexander, la collage, The Voidz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w:t>
      </w:r>
      <w:r>
        <w:t xml:space="preserve"> </w:t>
      </w:r>
      <w:r>
        <w:rPr>
          <w:i/>
          <w:iCs/>
        </w:rPr>
        <w:t xml:space="preserve">décollage</w:t>
      </w:r>
      <w:r>
        <w:t xml:space="preserve"> </w:t>
      </w:r>
      <w:r>
        <w:t xml:space="preserve">que despega lo que la memoria pegó,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4"/>
    <w:bookmarkStart w:id="45"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5"/>
    <w:bookmarkStart w:id="46" w:name="bibliografía"/>
    <w:p>
      <w:pPr>
        <w:pStyle w:val="Heading2"/>
      </w:pPr>
      <w:r>
        <w:t xml:space="preserve">Bibliografía</w:t>
      </w:r>
    </w:p>
    <w:p>
      <w:pPr>
        <w:pStyle w:val="FirstParagraph"/>
      </w:pPr>
      <w:r>
        <w:t xml:space="preserve">Alexander, Christopher; Ishikawa, Sara y Silverstein, Murray (1977).</w:t>
      </w:r>
      <w:r>
        <w:t xml:space="preserve"> </w:t>
      </w:r>
      <w:r>
        <w:rPr>
          <w:i/>
          <w:iCs/>
        </w:rPr>
        <w:t xml:space="preserve">A Pattern Language. Towns, Buildings, Construction</w:t>
      </w:r>
      <w:r>
        <w:t xml:space="preserve">. Nueva York: Oxford University Press.</w:t>
      </w:r>
    </w:p>
    <w:p>
      <w:pPr>
        <w:pStyle w:val="BodyText"/>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Bachelard, Gaston (1983 [1957]).</w:t>
      </w:r>
      <w:r>
        <w:t xml:space="preserve"> </w:t>
      </w:r>
      <w:r>
        <w:rPr>
          <w:i/>
          <w:iCs/>
        </w:rPr>
        <w:t xml:space="preserve">La poética del espacio</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Fuão, Fernando Freitas (2011).</w:t>
      </w:r>
      <w:r>
        <w:t xml:space="preserve"> </w:t>
      </w:r>
      <w:r>
        <w:rPr>
          <w:i/>
          <w:iCs/>
        </w:rPr>
        <w:t xml:space="preserve">A collage como trajetória amorosa</w:t>
      </w:r>
      <w:r>
        <w:t xml:space="preserve">. Porto Alegre: Editora da UFRGS.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Julian Casablancas+The Voidz (2014).</w:t>
      </w:r>
      <w:r>
        <w:t xml:space="preserve"> </w:t>
      </w:r>
      <w:r>
        <w:rPr>
          <w:i/>
          <w:iCs/>
        </w:rPr>
        <w:t xml:space="preserve">Tyranny</w:t>
      </w:r>
      <w:r>
        <w:t xml:space="preserve"> </w:t>
      </w:r>
      <w:r>
        <w:t xml:space="preserve">[álbum]. Cult Records. Pista 6, «Father Electricity».</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Monteys, Xavier y Fuertes, Pere (2001).</w:t>
      </w:r>
      <w:r>
        <w:t xml:space="preserve"> </w:t>
      </w:r>
      <w:r>
        <w:rPr>
          <w:i/>
          <w:iCs/>
        </w:rPr>
        <w:t xml:space="preserve">Casa collage. Un ensayo sobre la arquitectura de la casa</w:t>
      </w:r>
      <w:r>
        <w:t xml:space="preserve">. Barcelona: Gustavo Gili.</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The Voidz (2018).</w:t>
      </w:r>
      <w:r>
        <w:t xml:space="preserve"> </w:t>
      </w:r>
      <w:r>
        <w:rPr>
          <w:i/>
          <w:iCs/>
        </w:rPr>
        <w:t xml:space="preserve">Virtue</w:t>
      </w:r>
      <w:r>
        <w:t xml:space="preserve"> </w:t>
      </w:r>
      <w:r>
        <w:t xml:space="preserve">[álbum]. Cult Records y RCA Records. Pistas 3, «Pyramid of Bones», y 7, «All Wordz Are Made Up».</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6"/>
    <w:bookmarkEnd w:id="47"/>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w:t>
      </w:r>
      <w:r>
        <w:t xml:space="preserve"> </w:t>
      </w:r>
      <w:r>
        <w:rPr>
          <w:i/>
          <w:iCs/>
        </w:rPr>
        <w:t xml:space="preserve">décollage</w:t>
      </w:r>
      <w:r>
        <w:t xml:space="preserve"> </w:t>
      </w:r>
      <w:r>
        <w:t xml:space="preserve">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13">
    <w:p>
      <w:pPr>
        <w:pStyle w:val="FootnoteText"/>
      </w:pPr>
      <w:r>
        <w:rPr>
          <w:rStyle w:val="FootnoteReference"/>
        </w:rPr>
        <w:footnoteRef/>
      </w:r>
      <w:r>
        <w:t xml:space="preserve"> </w:t>
      </w:r>
      <w:r>
        <w:t xml:space="preserve">Este artículo está hecho, literalmente, de recortes: más de ciento cincuenta citas de la novela. Fuão ve en las comillas «la mejor evidencia del recorte», una herida que marca «una sutura de cuatro puntos» (Fuão, 2011: 39).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0" Type="http://schemas.openxmlformats.org/officeDocument/2006/relationships/image" Target="media/rId30.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2026-10-10T18:29:11Z</dcterms:created>
  <dcterms:modified xsi:type="dcterms:W3CDTF">2026-10-10T18:29:11Z</dcterms:modified>
</cp:coreProperties>
</file>

<file path=docProps/custom.xml><?xml version="1.0" encoding="utf-8"?>
<Properties xmlns="http://schemas.openxmlformats.org/officeDocument/2006/custom-properties" xmlns:vt="http://schemas.openxmlformats.org/officeDocument/2006/docPropsVTypes"/>
</file>