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283b9038d5fc7da7cd10d4024bb014ac454e9d4"/>
      <w:r>
        <w:rPr/>
        <w:t xml:space="preserve">Cosecha de piedras: el ayllu, el Estado y la mina. Dibujando </w:t>
      </w:r>
      <w:r>
        <w:rPr>
          <w:i/>
          <w:iCs/>
        </w:rPr>
        <w:t>Altiplano</w:t>
      </w:r>
      <w:r>
        <w:rPr/>
        <w:t xml:space="preserve"> de Raúl Botelho Gosálvez</w:t>
      </w:r>
    </w:p>
    <w:p>
      <w:pPr>
        <w:pStyle w:val="FirstParagraph"/>
        <w:rPr/>
      </w:pPr>
      <w:r>
        <w:rPr>
          <w:b/>
          <w:bCs/>
        </w:rPr>
        <w:t xml:space="preserve">Harvest of Stones: The Ayllu, the State and the Mine. Drawing Raúl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w:t>
      </w:r>
      <w:ins w:id="0" w:author="Unknown Author" w:date="2026-10-10T18:29:15Z">
        <w:r>
          <w:rPr/>
          <w:t xml:space="preserve"> [2011]</w:t>
        </w:r>
      </w:ins>
      <w:r>
        <w:rPr/>
        <w:t xml:space="preserve">: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parte de tres premisas. En </w:t>
      </w:r>
      <w:r>
        <w:rPr>
          <w:i/>
          <w:iCs/>
        </w:rPr>
        <w:t>Altiplano</w:t>
      </w:r>
      <w:r>
        <w:rPr/>
        <w:t xml:space="preserve">, el saber sobre el espacio es material: piedra, adobe, paja y papel. El dibujo, que obliga a decidir punto de vista, escala y límite, deja a la vista las categorías que el lector proyecta. Y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w:t>
      </w:r>
      <w:ins w:id="1" w:author="Unknown Author" w:date="2026-10-10T18:29:15Z">
        <w:r>
          <w:rPr/>
          <w:t xml:space="preserve"> [1966]</w:t>
        </w:r>
      </w:ins>
      <w:r>
        <w:rPr/>
        <w:t>: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ins w:id="2" w:author="Unknown Author" w:date="2026-10-10T18:29:15Z">
        <w:r>
          <w:rPr/>
          <w:t xml:space="preserve"> Y, como muestra Carolyn Dean para los incas, volverse piedra no era morir: «la petrificación señalaba la suspensión, pero no el fin, de la vida» (Dean, 2010: 5).</w:t>
        </w:r>
      </w:ins>
    </w:p>
    <w:p>
      <w:pPr>
        <w:pStyle w:val="BodyText"/>
        <w:rPr/>
      </w:pPr>
      <w:r>
        <w:rPr/>
        <w:t>¿Con qué leer, entonces? Con las manos. De las imágenes de la materia, Gaston Bachelard escribió: «La vista las nombra, pero la mano las conoce» (Bachelard, 1978 [1942]: 7-8, cit. en Pallasmaa, 2014</w:t>
      </w:r>
      <w:ins w:id="3" w:author="Unknown Author" w:date="2026-10-10T18:29:15Z">
        <w:r>
          <w:rPr/>
          <w:t xml:space="preserve"> [2011]</w:t>
        </w:r>
      </w:ins>
      <w:r>
        <w:rPr/>
        <w:t xml:space="preserve">: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BodyText"/>
        <w:rPr>
          <w:ins w:id="13" w:author="Unknown Author" w:date="2026-10-10T18:29:15Z"/>
        </w:rPr>
      </w:pPr>
      <w:ins w:id="4" w:author="Unknown Author" w:date="2026-10-10T18:29:15Z">
        <w:r>
          <w:rPr/>
          <w:t xml:space="preserve">La palabra </w:t>
        </w:r>
      </w:ins>
      <w:ins w:id="5" w:author="Unknown Author" w:date="2026-10-10T18:29:15Z">
        <w:r>
          <w:rPr>
            <w:i/>
            <w:iCs/>
          </w:rPr>
          <w:t>manuaje</w:t>
        </w:r>
      </w:ins>
      <w:ins w:id="6" w:author="Unknown Author" w:date="2026-10-10T18:29:15Z">
        <w:r>
          <w:rPr/>
          <w:t xml:space="preserve"> tiene antecedentes, que Cárcamo Pino repasa. Uno es el de Randall McLeod, que llamó </w:t>
        </w:r>
      </w:ins>
      <w:ins w:id="7" w:author="Unknown Author" w:date="2026-10-10T18:29:15Z">
        <w:r>
          <w:rPr>
            <w:i/>
            <w:iCs/>
          </w:rPr>
          <w:t>manuage</w:t>
        </w:r>
      </w:ins>
      <w:ins w:id="8" w:author="Unknown Author" w:date="2026-10-10T18:29:15Z">
        <w:r>
          <w:rPr/>
          <w:t xml:space="preserve"> al idioma de los </w:t>
        </w:r>
      </w:ins>
      <w:ins w:id="9" w:author="Unknown Author" w:date="2026-10-10T18:29:15Z">
        <w:r>
          <w:rPr>
            <w:i/>
            <w:iCs/>
          </w:rPr>
          <w:t>choughs</w:t>
        </w:r>
      </w:ins>
      <w:ins w:id="10" w:author="Unknown Author" w:date="2026-10-10T18:29:15Z">
        <w:r>
          <w:rPr/>
          <w:t xml:space="preserve"> en </w:t>
        </w:r>
      </w:ins>
      <w:ins w:id="11" w:author="Unknown Author" w:date="2026-10-10T18:29:15Z">
        <w:r>
          <w:rPr>
            <w:i/>
            <w:iCs/>
          </w:rPr>
          <w:t>All’s Well That Ends Well</w:t>
        </w:r>
      </w:ins>
      <w:ins w:id="12" w:author="Unknown Author" w:date="2026-10-10T18:29:15Z">
        <w:r>
          <w:rPr/>
          <w:t>,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doctor Mendoza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w:t>
        </w:r>
      </w:ins>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w:t>
      </w:r>
      <w:r>
        <w:rPr>
          <w:i/>
          <w:iCs/>
        </w:rPr>
        <w:t>ensamblaje</w:t>
      </w:r>
      <w:r>
        <w:rPr/>
        <w:t xml:space="preserve"> 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w:t>
      </w:r>
      <w:ins w:id="14" w:author="Unknown Author" w:date="2026-10-10T18:29:15Z">
        <w:r>
          <w:rPr>
            <w:rStyle w:val="FootnoteReference"/>
          </w:rPr>
          <w:footnoteReference w:id="5"/>
        </w:r>
      </w:ins>
      <w:r>
        <w:rPr/>
        <w:t xml:space="preserve"> Monteys y Fuertes llaman </w:t>
      </w:r>
      <w:r>
        <w:rPr>
          <w:i/>
          <w:iCs/>
        </w:rPr>
        <w:t>casa collage</w:t>
      </w:r>
      <w:r>
        <w:rPr/>
        <w:t xml:space="preserve"> a una casa hecha así, de ideas reunidas, que «no cabe en una sola casa» (Monteys y Fuertes, 2001: 12).</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w:t>
      </w:r>
      <w:ins w:id="15" w:author="Unknown Author" w:date="2026-10-10T18:29:15Z">
        <w:r>
          <w:rPr/>
          <w:t xml:space="preserve"> [2011]</w:t>
        </w:r>
      </w:ins>
      <w:r>
        <w:rPr/>
        <w:t>: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fuego al centro, herramientas colgadas (Botelho Gosálvez, 1982 [1945]: 8, 30-31) y, en el techo, un crucifijo con «una pequeña huaca de barro cocido» (ibid.: 10). (2) </w:t>
      </w:r>
      <w:r>
        <w:rPr>
          <w:i/>
          <w:iCs/>
        </w:rPr>
        <w:t>Operación</w:t>
      </w:r>
      <w:r>
        <w:rP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rPr/>
      </w:pPr>
      <w:r>
        <w:rPr/>
        <w:drawing>
          <wp:inline distT="0" distB="0" distL="0" distR="0">
            <wp:extent cx="5039995" cy="33839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338391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 </w:t>
      </w:r>
      <w:r>
        <w:rPr>
          <w:i/>
          <w:iCs/>
        </w:rPr>
        <w:t>gradiente de intimidad</w:t>
      </w:r>
      <w:r>
        <w:rPr/>
        <w:t xml:space="preserve"> 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rPr/>
      </w:pPr>
      <w:r>
        <w:rP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 </w:t>
      </w:r>
      <w:r>
        <w:rPr>
          <w:i/>
          <w:iCs/>
        </w:rPr>
        <w:t>hogar</w:t>
      </w:r>
      <w:r>
        <w:rPr/>
        <w:t xml:space="preserve"> 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rPr/>
      </w:pPr>
      <w:r>
        <w:rP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w:t>
      </w:r>
      <w:ins w:id="16" w:author="Unknown Author" w:date="2026-10-10T18:29:15Z">
        <w:r>
          <w:rPr/>
          <w:t xml:space="preserve">Una canción de The Voidz lleva un título que describe ese edificio: «Pyramid of Bones», pirámide de huesos (The Voidz, 2018). Arriba, el blasón; abajo, los que lo sostienen. </w:t>
        </w:r>
      </w:ins>
      <w:r>
        <w:rPr/>
        <w:t>El capítulo cierra con una fórmula: «Así los Villca, Huanca y Condori, son las generaciones del Signo Escalonado» (</w:t>
      </w:r>
      <w:ins w:id="17" w:author="Unknown Author" w:date="2026-10-10T18:29:15Z">
        <w:r>
          <w:rPr/>
          <w:t>Botelho Gosálvez, 1982 [1945]</w:t>
        </w:r>
      </w:ins>
      <w:del w:id="18" w:author="Unknown Author" w:date="2026-10-10T18:29:15Z">
        <w:r>
          <w:rPr/>
          <w:delText>ibid.</w:delText>
        </w:r>
      </w:del>
      <w:r>
        <w:rPr/>
        <w:t>: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032250" cy="57600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32250" cy="576008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w:t>
      </w:r>
      <w:ins w:id="19" w:author="Unknown Author" w:date="2026-10-10T18:29:15Z">
        <w:r>
          <w:rPr/>
          <w:t xml:space="preserve">alias «el lobo», </w:t>
        </w:r>
      </w:ins>
      <w:r>
        <w:rPr/>
        <w:t xml:space="preserve">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BodyText"/>
        <w:rPr/>
      </w:pPr>
      <w:r>
        <w:rP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w:t>
      </w:r>
      <w:ins w:id="20" w:author="Unknown Author" w:date="2026-10-10T18:29:15Z">
        <w:r>
          <w:rPr/>
          <w:t xml:space="preserve">La firma es la del lobo. </w:t>
        </w:r>
      </w:ins>
      <w:r>
        <w:rPr/>
        <w:t>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w:t>
      </w:r>
      <w:ins w:id="21" w:author="Unknown Author" w:date="2026-10-10T18:29:15Z">
        <w:r>
          <w:rPr/>
          <w:t>). Lo dicen dos versos de «Pyramid of Bones»: «They play the game by different rules / Insisting it’s all equal», juegan con otras reglas e insisten en que todo es igual (The Voidz, 2018</w:t>
        </w:r>
      </w:ins>
      <w:r>
        <w:rPr/>
        <w:t>).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 </w:t>
      </w:r>
      <w:r>
        <w:rPr>
          <w:i/>
          <w:iCs/>
        </w:rPr>
        <w:t>casa difusa</w:t>
      </w:r>
      <w:r>
        <w:rPr/>
        <w:t xml:space="preserve"> 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rPr/>
      </w:pPr>
      <w:r>
        <w:rPr/>
        <w:drawing>
          <wp:inline distT="0" distB="0" distL="0" distR="0">
            <wp:extent cx="5039995" cy="359981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3599815"/>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La huella es un </w:t>
      </w:r>
      <w:r>
        <w:rPr>
          <w:i/>
          <w:iCs/>
        </w:rPr>
        <w:t>índice</w:t>
      </w:r>
      <w:r>
        <w:rPr/>
        <w:t xml:space="preserve"> 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BodyText"/>
        <w:rPr/>
      </w:pPr>
      <w:r>
        <w:rP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 </w:t>
      </w:r>
      <w:r>
        <w:rPr>
          <w:i/>
          <w:iCs/>
        </w:rPr>
        <w:t>fotomontaje</w:t>
      </w:r>
      <w:r>
        <w:rPr/>
        <w:t>,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4214495" cy="57600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214495" cy="5760085"/>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xml:space="preserve">, «mal de ojo, brujería» (Botelho Gosálvez, 1982 [1945]: 162): la espina del muñeco reaparece en la carne, y la efigie actúa. El narrador presenta a la multitud como animales, vuelve sexual la furia de Justina y sienta al lector en la tribuna, como un juez. </w:t>
      </w:r>
      <w:ins w:id="22" w:author="Unknown Author" w:date="2026-10-10T18:29:15Z">
        <w:r>
          <w:rPr/>
          <w:t xml:space="preserve">Fuão llama </w:t>
        </w:r>
      </w:ins>
      <w:ins w:id="23" w:author="Unknown Author" w:date="2026-10-10T18:29:15Z">
        <w:r>
          <w:rPr>
            <w:i/>
            <w:iCs/>
          </w:rPr>
          <w:t>voyeurismo</w:t>
        </w:r>
      </w:ins>
      <w:ins w:id="24" w:author="Unknown Author" w:date="2026-10-10T18:29:15Z">
        <w:r>
          <w:rPr/>
          <w:t xml:space="preserve"> a esa posición: separar al observador del objeto «mediante un distanciamiento de la mirada y el ocultamiento del propio cuerpo» (Fuão, 2011: 24). </w:t>
        </w:r>
      </w:ins>
      <w:r>
        <w:rPr/>
        <w:t>Por eso la serie no dibuja el linchamiento: un pastel de ese cuerpo sería otra efigie, y reunir sus pedazos en una hoja, una collage.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«La Pacha Mama, sorda, vieja, extenuada, recibía el cuerpo de sus más fieles hijos para encerrarlos en su vientre de sequedad inexorable» (</w:t>
      </w:r>
      <w:ins w:id="25" w:author="Unknown Author" w:date="2026-10-10T18:29:15Z">
        <w:r>
          <w:rPr/>
          <w:t>Botelho Gosálvez, 1982 [1945]</w:t>
        </w:r>
      </w:ins>
      <w:del w:id="26" w:author="Unknown Author" w:date="2026-10-10T18:29:15Z">
        <w:r>
          <w:rPr/>
          <w:delText>ibid.</w:delText>
        </w:r>
      </w:del>
      <w:r>
        <w:rPr/>
        <w:t xml:space="preserve">: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37439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374396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rPr/>
      </w:pPr>
      <w:r>
        <w:rPr/>
        <w:drawing>
          <wp:inline distT="0" distB="0" distL="0" distR="0">
            <wp:extent cx="3839845" cy="57600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39845" cy="5760085"/>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w:t>
      </w:r>
      <w:del w:id="27" w:author="Unknown Author" w:date="2026-10-10T18:29:15Z">
        <w:r>
          <w:rPr/>
          <w:delText>: 155</w:delText>
        </w:r>
      </w:del>
      <w:r>
        <w:rPr/>
        <w:t xml:space="preserve">), y la palabra </w:t>
      </w:r>
      <w:r>
        <w:rPr>
          <w:i/>
          <w:iCs/>
        </w:rPr>
        <w:t>cola</w:t>
      </w:r>
      <w:r>
        <w:rP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w:t>
      </w:r>
      <w:ins w:id="28" w:author="Unknown Author" w:date="2026-10-10T18:29:15Z">
        <w:r>
          <w:rPr/>
          <w:t>ibid.</w:t>
        </w:r>
      </w:ins>
      <w:del w:id="29" w:author="Unknown Author" w:date="2026-10-10T18:29:15Z">
        <w:r>
          <w:rPr/>
          <w:delText>Alexander et al., 1977</w:delText>
        </w:r>
      </w:del>
      <w:r>
        <w:rPr/>
        <w:t>: xiii)</w:t>
      </w:r>
      <w:del w:id="30" w:author="Unknown Author" w:date="2026-10-10T18:29:15Z">
        <w:r>
          <w:rPr/>
          <w:delText xml:space="preserve">. 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 </w:delText>
        </w:r>
      </w:del>
      <w:del w:id="31" w:author="Unknown Author" w:date="2026-10-10T18:29:15Z">
        <w:r>
          <w:rPr>
            <w:i/>
            <w:iCs/>
          </w:rPr>
          <w:delText>wank’a</w:delText>
        </w:r>
      </w:del>
      <w:del w:id="32" w:author="Unknown Author" w:date="2026-10-10T18:29:15Z">
        <w:r>
          <w:rPr/>
          <w:delText xml:space="preserve"> con dueño y con lugar</w:delText>
        </w:r>
      </w:del>
      <w:r>
        <w:rPr/>
        <w:t>.</w:t>
      </w:r>
    </w:p>
    <w:p>
      <w:pPr>
        <w:pStyle w:val="BodyText"/>
        <w:rPr>
          <w:ins w:id="36" w:author="Unknown Author" w:date="2026-10-10T18:29:15Z"/>
        </w:rPr>
      </w:pPr>
      <w:ins w:id="33" w:author="Unknown Author" w:date="2026-10-10T18:29:15Z">
        <w:r>
          <w:rPr/>
          <w:t xml:space="preserve">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 </w:t>
        </w:r>
      </w:ins>
      <w:ins w:id="34" w:author="Unknown Author" w:date="2026-10-10T18:29:15Z">
        <w:r>
          <w:rPr>
            <w:i/>
            <w:iCs/>
          </w:rPr>
          <w:t>wank’a</w:t>
        </w:r>
      </w:ins>
      <w:ins w:id="35" w:author="Unknown Author" w:date="2026-10-10T18:29:15Z">
        <w:r>
          <w:rPr/>
          <w:t xml:space="preserve"> con dueño y con lugar.</w:t>
        </w:r>
      </w:ins>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construir, y olvidar también (Figura 7). </w:t>
      </w:r>
      <w:ins w:id="37" w:author="Unknown Author" w:date="2026-10-10T18:29:15Z">
        <w:r>
          <w:rPr/>
          <w:t xml:space="preserve">Dean lo dice de las piedras incas, «memorias materializadas»: «recordar una versión del pasado exige olvidar o reprimir otra versión de ese mismo pasado» (Dean, 2010: 39). </w:t>
        </w:r>
      </w:ins>
      <w:r>
        <w:rPr/>
        <w:t xml:space="preserve">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w:t>
      </w:r>
      <w:ins w:id="38" w:author="Unknown Author" w:date="2026-10-10T18:29:15Z">
        <w:r>
          <w:rPr/>
          <w:t>Dos versos seguidos de «Father Electricity» juntan los dos gestos de esa memoria: «I do not want to see the whole mess / I wish I could live in retrospect», no quiero ver todo el desastre; ojalá pudiera vivir mirando atrás (Julian Casablancas+The Voidz, 2014</w:t>
        </w:r>
      </w:ins>
      <w:del w:id="39" w:author="Unknown Author" w:date="2026-10-10T18:29:15Z">
        <w:r>
          <w:rPr/>
          <w:delText>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 Una pirca de doble cara enseña lo que esa memoria olvida: las piedras grandes dan la cara, pero adentro van las menudas, y sin ese relleno el muro se cae. El narrador también llama «legión» a la «piedrecilla menuda» que baja del cerro hasta las pircas (Botelho Gosálvez, 1982 [1945]: 8</w:delText>
        </w:r>
      </w:del>
      <w:r>
        <w:rPr/>
        <w:t xml:space="preserve">). Los </w:t>
      </w:r>
      <w:ins w:id="40" w:author="Unknown Author" w:date="2026-10-10T18:29:15Z">
        <w:r>
          <w:rPr/>
          <w:t>comunarios miran atrás, pero no para caminar, como pide el lema, sino para saltar el foso: recuerdan las cosechas, no el hambre</w:t>
        </w:r>
      </w:ins>
      <w:del w:id="41" w:author="Unknown Author" w:date="2026-10-10T18:29:15Z">
        <w:r>
          <w:rPr/>
          <w:delText xml:space="preserve">sin tierra fueron ese relleno: tres de ellos, sin nombre, cuidaron el ayllu vacío, y el retorno no los cuenta. Con la cosecha, los derrotados «olvidaron la pesadilla pasada» (ibid.: 159). Endurecerse para no sufrir la pérdida tiene nombre en aymara: </w:delText>
        </w:r>
      </w:del>
      <w:del w:id="42" w:author="Unknown Author" w:date="2026-10-10T18:29:15Z">
        <w:r>
          <w:rPr>
            <w:i/>
            <w:iCs/>
          </w:rPr>
          <w:delText>qalachuyma</w:delText>
        </w:r>
      </w:del>
      <w:del w:id="43" w:author="Unknown Author" w:date="2026-10-10T18:29:15Z">
        <w:r>
          <w:rPr/>
          <w:delText xml:space="preserve">, «corazón de piedra»; en un relato de Spedding, para volverse así «hay que lamer el batán de moler» (Spedding, 2025: XV). Contra el susto, la piedra se usa al revés: se come el bezoar del yatiri, en aymara </w:delText>
        </w:r>
      </w:del>
      <w:del w:id="44" w:author="Unknown Author" w:date="2026-10-10T18:29:15Z">
        <w:r>
          <w:rPr>
            <w:i/>
            <w:iCs/>
          </w:rPr>
          <w:delText>jayintilla</w:delText>
        </w:r>
      </w:del>
      <w:del w:id="45" w:author="Unknown Author" w:date="2026-10-10T18:29:15Z">
        <w:r>
          <w:rPr/>
          <w:delText xml:space="preserve"> (Bertonio, 2011 [1612]: 361), o la tierra del lugar del miedo, para «retornar al territorio y a la memoria» (Rodríguez y Rodríguez, 2025: 55). Los comunarios besan el suelo, pero no vuelven a la memoria. La paz se paga con ese olvido</w:delText>
        </w:r>
      </w:del>
      <w:r>
        <w:rPr/>
        <w:t>.</w:t>
      </w:r>
    </w:p>
    <w:p>
      <w:pPr>
        <w:pStyle w:val="BodyText"/>
        <w:rPr>
          <w:ins w:id="47" w:author="Unknown Author" w:date="2026-10-10T18:29:15Z"/>
        </w:rPr>
      </w:pPr>
      <w:ins w:id="46" w:author="Unknown Author" w:date="2026-10-10T18:29:15Z">
        <w:r>
          <w:rPr/>
          <w:t>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w:t>
        </w:r>
      </w:ins>
    </w:p>
    <w:p>
      <w:pPr>
        <w:pStyle w:val="BodyText"/>
        <w:rPr>
          <w:ins w:id="53" w:author="Unknown Author" w:date="2026-10-10T18:29:15Z"/>
        </w:rPr>
      </w:pPr>
      <w:ins w:id="48" w:author="Unknown Author" w:date="2026-10-10T18:29:15Z">
        <w:r>
          <w:rPr/>
          <w:t xml:space="preserve">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 </w:t>
        </w:r>
      </w:ins>
      <w:ins w:id="49" w:author="Unknown Author" w:date="2026-10-10T18:29:15Z">
        <w:r>
          <w:rPr>
            <w:i/>
            <w:iCs/>
          </w:rPr>
          <w:t>qalachuyma</w:t>
        </w:r>
      </w:ins>
      <w:ins w:id="50" w:author="Unknown Author" w:date="2026-10-10T18:29:15Z">
        <w:r>
          <w:rPr/>
          <w:t xml:space="preserve">, «corazón de piedra»; en un relato de Spedding, para volverse así «hay que lamer el batán de moler» (Spedding, 2025: XV). Contra el susto, la piedra se usa al revés: se come el bezoar del yatiri, en aymara </w:t>
        </w:r>
      </w:ins>
      <w:ins w:id="51" w:author="Unknown Author" w:date="2026-10-10T18:29:15Z">
        <w:r>
          <w:rPr>
            <w:i/>
            <w:iCs/>
          </w:rPr>
          <w:t>jayintilla</w:t>
        </w:r>
      </w:ins>
      <w:ins w:id="52" w:author="Unknown Author" w:date="2026-10-10T18:29:15Z">
        <w:r>
          <w:rPr/>
          <w:t xml:space="preserve"> (Bertonio, 2011 [1612]: 361), o la tierra del lugar del miedo, para «retornar al territorio y a la memoria» (Rodríguez y Rodríguez, 2025: 55). Los comunarios besan el suelo, pero no vuelven a la memoria. La paz se paga con ese olvido.</w:t>
        </w:r>
      </w:ins>
    </w:p>
    <w:p>
      <w:pPr>
        <w:pStyle w:val="Figura"/>
        <w:rPr/>
      </w:pPr>
      <w:r>
        <w:rPr/>
        <w:drawing>
          <wp:inline distT="0" distB="0" distL="0" distR="0">
            <wp:extent cx="5039995" cy="32397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3239770"/>
                    </a:xfrm>
                    <a:prstGeom prst="rect">
                      <a:avLst/>
                    </a:prstGeom>
                  </pic:spPr>
                </pic:pic>
              </a:graphicData>
            </a:graphic>
          </wp:inline>
        </w:drawing>
      </w:r>
    </w:p>
    <w:p>
      <w:pPr>
        <w:pStyle w:val="Piedefigura"/>
        <w:rPr/>
      </w:pPr>
      <w:r>
        <w:rPr>
          <w:b/>
          <w:bCs/>
        </w:rPr>
        <w:t>Figura 7.</w:t>
      </w:r>
      <w:r>
        <w:rPr/>
        <w:t xml:space="preserve"> </w:t>
      </w:r>
      <w:r>
        <w:rPr>
          <w:i/>
          <w:iCs/>
        </w:rPr>
        <w:t>La memoria del retorno</w:t>
      </w:r>
      <w:r>
        <w:rPr/>
        <w:t>. Diagrama. Fuente: elaboración propia con asistencia de IA.</w:t>
      </w:r>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pPr>
      <w:r>
        <w:rPr/>
        <w:drawing>
          <wp:inline distT="0" distB="0" distL="0" distR="0">
            <wp:extent cx="4338320" cy="612013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338320" cy="6120130"/>
                    </a:xfrm>
                    <a:prstGeom prst="rect">
                      <a:avLst/>
                    </a:prstGeom>
                  </pic:spPr>
                </pic:pic>
              </a:graphicData>
            </a:graphic>
          </wp:inline>
        </w:drawing>
      </w:r>
    </w:p>
    <w:p>
      <w:pPr>
        <w:pStyle w:val="Piedefigura"/>
        <w:rPr/>
      </w:pPr>
      <w:r>
        <w:rPr>
          <w:b/>
          <w:bCs/>
        </w:rPr>
        <w:t>Figura 8.</w:t>
      </w:r>
      <w:r>
        <w:rPr/>
        <w:t xml:space="preserve"> </w:t>
      </w:r>
      <w:r>
        <w:rPr>
          <w:i/>
          <w:iCs/>
        </w:rPr>
        <w:t>Tres montones</w:t>
      </w:r>
      <w:r>
        <w:rPr/>
        <w:t>. Diagrama. Fuente: elaboración propia con asistencia de IA.</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Alexander, la collage</w:t>
      </w:r>
      <w:ins w:id="54" w:author="Unknown Author" w:date="2026-10-10T18:29:15Z">
        <w:r>
          <w:rPr/>
          <w:t>, The Voidz</w:t>
        </w:r>
      </w:ins>
      <w:r>
        <w:rPr/>
        <w:t xml:space="preserve">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 </w:t>
      </w:r>
      <w:r>
        <w:rPr>
          <w:i/>
          <w:iCs/>
        </w:rPr>
        <w:t>décollage</w:t>
      </w:r>
      <w:r>
        <w:rPr/>
        <w:t xml:space="preserve"> que despega lo que la memoria pegó,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IA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Alexander, Christopher; Ishikawa, Sara y Silverstein, Murray (1977). </w:t>
      </w:r>
      <w:r>
        <w:rPr>
          <w:i/>
          <w:iCs/>
        </w:rPr>
        <w:t>A Pattern Language. Towns, Buildings, Construction</w:t>
      </w:r>
      <w:r>
        <w:rPr/>
        <w:t>. Nueva York: Oxford University Press.</w:t>
      </w:r>
    </w:p>
    <w:p>
      <w:pPr>
        <w:pStyle w:val="BodyText"/>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Bachelard, Gaston (1983 [1957]). </w:t>
      </w:r>
      <w:r>
        <w:rPr>
          <w:i/>
          <w:iCs/>
        </w:rPr>
        <w:t>La poética del espacio</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Fuão, Fernando Freitas (2011). </w:t>
      </w:r>
      <w:r>
        <w:rPr>
          <w:i/>
          <w:iCs/>
        </w:rPr>
        <w:t>A collage como trajetória amorosa</w:t>
      </w:r>
      <w:r>
        <w:rPr/>
        <w:t>. Porto Alegre: Editora da UFRGS.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ins w:id="58" w:author="Unknown Author" w:date="2026-10-10T18:29:15Z"/>
        </w:rPr>
      </w:pPr>
      <w:ins w:id="55" w:author="Unknown Author" w:date="2026-10-10T18:29:15Z">
        <w:r>
          <w:rPr/>
          <w:t xml:space="preserve">Julian Casablancas+The Voidz (2014). </w:t>
        </w:r>
      </w:ins>
      <w:ins w:id="56" w:author="Unknown Author" w:date="2026-10-10T18:29:15Z">
        <w:r>
          <w:rPr>
            <w:i/>
            <w:iCs/>
          </w:rPr>
          <w:t>Tyranny</w:t>
        </w:r>
      </w:ins>
      <w:ins w:id="57" w:author="Unknown Author" w:date="2026-10-10T18:29:15Z">
        <w:r>
          <w:rPr/>
          <w:t xml:space="preserve"> [álbum]. Cult Records. Pista 6, «Father Electricity».</w:t>
        </w:r>
      </w:ins>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Monteys, Xavier y Fuertes, Pere (2001). </w:t>
      </w:r>
      <w:r>
        <w:rPr>
          <w:i/>
          <w:iCs/>
        </w:rPr>
        <w:t>Casa collage. Un ensayo sobre la arquitectura de la casa</w:t>
      </w:r>
      <w:r>
        <w:rPr/>
        <w:t>. Barcelona: Gustavo Gili.</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ins w:id="62" w:author="Unknown Author" w:date="2026-10-10T18:29:15Z"/>
        </w:rPr>
      </w:pPr>
      <w:ins w:id="59" w:author="Unknown Author" w:date="2026-10-10T18:29:15Z">
        <w:r>
          <w:rPr/>
          <w:t xml:space="preserve">The Voidz (2018). </w:t>
        </w:r>
      </w:ins>
      <w:ins w:id="60" w:author="Unknown Author" w:date="2026-10-10T18:29:15Z">
        <w:r>
          <w:rPr>
            <w:i/>
            <w:iCs/>
          </w:rPr>
          <w:t>Virtue</w:t>
        </w:r>
      </w:ins>
      <w:ins w:id="61" w:author="Unknown Author" w:date="2026-10-10T18:29:15Z">
        <w:r>
          <w:rPr/>
          <w:t xml:space="preserve"> [álbum]. Cult Records y RCA Records. Pistas 3, «Pyramid of Bones», y 7, «All Wordz Are Made Up».</w:t>
        </w:r>
      </w:ins>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 </w:t>
      </w:r>
      <w:r>
        <w:rPr>
          <w:i/>
          <w:iCs/>
        </w:rPr>
        <w:t>décollage</w:t>
      </w:r>
      <w:r>
        <w:rPr/>
        <w:t xml:space="preserve"> 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 w:id="5">
    <w:p>
      <w:pPr>
        <w:pStyle w:val="FootnoteText"/>
        <w:spacing w:lineRule="auto" w:line="240" w:before="0" w:after="40"/>
        <w:rPr/>
      </w:pPr>
      <w:r>
        <w:rPr>
          <w:rStyle w:val="FootnoteCharacters"/>
        </w:rPr>
        <w:footnoteRef/>
      </w:r>
      <w:r>
        <w:rPr/>
        <w:t xml:space="preserve"> </w:t>
      </w:r>
      <w:r>
        <w:rPr/>
        <w:t>Este artículo está hecho, literalmente, de recortes: más de ciento cincuenta citas de la novela. Fuão ve en las comillas «la mejor evidencia del recorte», una herida que marca «una sutura de cuatro puntos» (Fuão, 2011: 39).</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2026-10-10T18:29:11Z</dcterms:created>
  <dc:creator/>
  <dc:description/>
  <dc:language>en-US</dc:language>
  <cp:lastModifiedBy/>
  <dcterms:modified xsi:type="dcterms:W3CDTF">2026-10-10T18:29:15Z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