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r>
        <w:rPr>
          <w:rFonts w:ascii="Newsreader" w:cs="Newsreader" w:eastAsia="Newsreader" w:hAnsi="Newsreader"/>
        </w:rPr>
        <w:t xml:space="preserve">Al final junta lo que está alrededor del proyecto: registros de la ruina, tipografías con motivos andinos que sirven de contraste y proyectos parecidos. Todo se mira y nada se calca (§11).</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 gramática en el navegador</w:t>
      </w:r>
      <w:r>
        <w:rPr>
          <w:rFonts w:ascii="Courier Prime" w:cs="Courier Prime" w:eastAsia="Courier Prime" w:hAnsi="Courier Prime"/>
          <w:color w:val="6D6A63"/>
          <w:sz w:val="17"/>
          <w:szCs w:val="17"/>
        </w:rPr>
        <w:tab/>
        <w:t xml:space="preserve">26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28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Lo que está alrededor</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Vecinas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Otras letras: el contraste</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La ruina: registros, no motivos</w:t>
      </w:r>
      <w:r>
        <w:rPr>
          <w:rFonts w:ascii="Courier Prime" w:cs="Courier Prime" w:eastAsia="Courier Prime" w:hAnsi="Courier Prime"/>
          <w:color w:val="6D6A63"/>
          <w:sz w:val="17"/>
          <w:szCs w:val="17"/>
        </w:rPr>
        <w:tab/>
        <w:t xml:space="preserve">31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Imágenes y libros de dominio público</w:t>
      </w:r>
      <w:r>
        <w:rPr>
          <w:rFonts w:ascii="Courier Prime" w:cs="Courier Prime" w:eastAsia="Courier Prime" w:hAnsi="Courier Prime"/>
          <w:color w:val="6D6A63"/>
          <w:sz w:val="17"/>
          <w:szCs w:val="17"/>
        </w:rPr>
        <w:tab/>
        <w:t xml:space="preserve">31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12. Ética, fuentes y pendientes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12.1. Consentimiento y créditos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12.2. Lo que no está en el repositorio</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12.3. Asistencia de inteligencia artificial</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12.4. Las referencias visuales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12.5. Lo que el proyecto no afirma</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12.6. Pendientes</w:t>
      </w:r>
      <w:r>
        <w:rPr>
          <w:rFonts w:ascii="Courier Prime" w:cs="Courier Prime" w:eastAsia="Courier Prime" w:hAnsi="Courier Prime"/>
          <w:color w:val="6D6A63"/>
          <w:sz w:val="17"/>
          <w:szCs w:val="17"/>
        </w:rPr>
        <w:tab/>
        <w:t xml:space="preserve">33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37</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Una aplicación deja intervenir la gramática de las letras en el navegador. Las dos sirven para discutir con la mano; ninguna forma que producen entra en la caja (§8).</w:t>
      </w:r>
    </w:p>
    <w:p>
      <w:r>
        <w:rPr>
          <w:rFonts w:ascii="Newsreader Medium" w:cs="Newsreader Medium" w:eastAsia="Newsreader Medium" w:hAnsi="Newsreader Medium"/>
        </w:rPr>
        <w:t xml:space="preserve">Mirar alrededor, sin calcar.</w:t>
      </w:r>
      <w:r>
        <w:rPr>
          <w:rFonts w:ascii="Newsreader" w:cs="Newsreader" w:eastAsia="Newsreader" w:hAnsi="Newsreader"/>
        </w:rPr>
        <w:t xml:space="preserve"> Libros e imágenes de dominio público, estudios y proyectos de otras personas acompañan el taller. Cada uno dice de dónde viene, con qué acción rima y qué no se toma (§11).</w:t>
      </w:r>
    </w:p>
    <w:p>
      <w:pPr>
        <w:pStyle w:val="Heading2"/>
        <w:keepNext/>
      </w:pPr>
      <w:r>
        <w:t xml:space="preserve">1.5. Cómo leer los mapas</w:t>
      </w:r>
    </w:p>
    <w:p>
      <w:r>
        <w:rPr>
          <w:rFonts w:ascii="Newsreader" w:cs="Newsreader" w:eastAsia="Newsreader" w:hAnsi="Newsreader"/>
        </w:rPr>
        <w:t xml:space="preserve">Los mapas se dibujan a mano, aunque sea con código. Se rehicieron el 17 de octubre de 2026 tomando como modelo las versiones mejoradas de Joaquin Max Cuevas Ventura: cada estado se dibuja con su material, las notas van a máquina y un hilo de tinta une las etapas.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cada material se dibuja como material</w:t>
      </w:r>
      <w:r>
        <w:rPr>
          <w:rFonts w:ascii="Newsreader" w:cs="Newsreader" w:eastAsia="Newsreader" w:hAnsi="Newsreader"/>
        </w:rPr>
        <w:t xml:space="preserve">: el aluminio se arruga y la letra sube en relieve de contorno, como la deja el punzón; el grafito raya; la cinta se corta en tiras; el calco se transparenta; el agua ondula. No son fotos: son filtros y trazos calculados;</w:t>
      </w:r>
    </w:p>
    <w:p>
      <w:pPr>
        <w:pStyle w:val="ListParagraph"/>
        <w:numPr>
          <w:ilvl w:val="0"/>
          <w:numId w:val="3"/>
        </w:numPr>
        <w:spacing w:after="60"/>
      </w:pPr>
      <w:r>
        <w:rPr>
          <w:rFonts w:ascii="Newsreader Medium" w:cs="Newsreader Medium" w:eastAsia="Newsreader Medium" w:hAnsi="Newsreader Medium"/>
        </w:rPr>
        <w:t xml:space="preserve">un hilo de tinta violeta</w:t>
      </w:r>
      <w:r>
        <w:rPr>
          <w:rFonts w:ascii="Newsreader" w:cs="Newsreader" w:eastAsia="Newsreader" w:hAnsi="Newsreader"/>
        </w:rPr>
        <w:t xml:space="preserve"> une las etapas y gotea donde la obra gotea;</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 y lo que hay que saber</w:t>
      </w:r>
      <w:r>
        <w:rPr>
          <w:rFonts w:ascii="Newsreader" w:cs="Newsreader" w:eastAsia="Newsreader" w:hAnsi="Newsreader"/>
        </w:rPr>
        <w:t xml:space="preserve"> (el pie, el poema, los datos, las notas); </w:t>
      </w:r>
      <w:r>
        <w:rPr>
          <w:rFonts w:ascii="Newsreader Medium" w:cs="Newsreader Medium" w:eastAsia="Newsreader Medium" w:hAnsi="Newsreader Medium"/>
        </w:rPr>
        <w:t xml:space="preserve">a mano, los títulos</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Las letras que aparecen en los mapas vienen de la gramática: son la propuesta de la máquina.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De arriba abajo, cinco etapas unidas por un hilo de tinta: la piscina vacía (la obra); el pie y su calco (desenterrar); las vasijas o, l y n, la placa de aluminio y la caja (contener); el frotado y el agua (devolver); y lo digital, todavía punteado. La línea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spacing w:before="120"/>
      </w:pPr>
      <w:r>
        <w:rPr>
          <w:rFonts w:ascii="Newsreader" w:cs="Newsreader" w:eastAsia="Newsreader" w:hAnsi="Newsreader"/>
        </w:rPr>
        <w:t xml:space="preserve">Villanueva Criales (2024) analiza los monolitos Bennett y Ponce con un método parecido, por componentes de diseño en tres niveles. Sirve para cotejar la gramática de las partes; lo que dice sobre las relaciones aymaras y quechuas entre cerros, piedras e imágenes no se toma, porque el proyecto no habla por esas tradiciones. Está pendiente leerlo entero.</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648450"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4845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desagüe (Posnansky), la ¿ y la ? que no son espejo (Agüero, Uribe y Berenguer), una placa sobre el agua (la obra), un lápiz (el manuaje de Cárcamo) y los anillos de un tronco (Johnson). Lo que se toma llega en hebras a la o, que se abre abajo; lo que no se toma se corta con un tope.</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hecho de sus materiales, de arriba abajo: piedra borrada, fotografía vieja, dibujo reconstructivo, escaneo, aluminio, cuerpo, video, charco y pared de azulejo. De cada tramo sale una línea hacia la decisión que nace allí: en tinta, lo que hizo la obra; en violeta, lo que hace la letra; al lado, su dibujo.</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r>
        <w:rPr>
          <w:rFonts w:ascii="Newsreader Medium" w:cs="Newsreader Medium" w:eastAsia="Newsreader Medium" w:hAnsi="Newsreader Medium"/>
        </w:rPr>
        <w:t xml:space="preserve">En lo digital, la regla ya está escrita.</w:t>
      </w:r>
      <w:r>
        <w:rPr>
          <w:rFonts w:ascii="Newsreader" w:cs="Newsreader" w:eastAsia="Newsreader" w:hAnsi="Newsreader"/>
        </w:rPr>
        <w:t xml:space="preserve">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pasa a OpenType: a cada signo le toca la primera placa que no aparezca antes en el verso. Se probó con HarfBuzz en los 42 versos del poema, y ninguna placa se repite. El antecedente es </w:t>
      </w:r>
      <w:r>
        <w:rPr>
          <w:rFonts w:ascii="Newsreader Italic" w:cs="Newsreader Italic" w:eastAsia="Newsreader Italic" w:hAnsi="Newsreader Italic"/>
        </w:rPr>
        <w:t xml:space="preserve">Beowolf</w:t>
      </w:r>
      <w:r>
        <w:rPr>
          <w:rFonts w:ascii="Newsreader" w:cs="Newsreader" w:eastAsia="Newsreader" w:hAnsi="Newsreader"/>
        </w:rPr>
        <w:t xml:space="preserve"> (LettError, 1990), con una diferencia: allí las variantes las hacía la máquina; aquí cada variante es una placa repujada, y la máquina solo reparte.</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apenas quebrados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r>
        <w:br w:type="page"/>
      </w:r>
    </w:p>
    <w:p>
      <w:pPr>
        <w:keepNext/>
        <w:spacing w:after="60" w:before="120" w:line="240" w:lineRule="auto"/>
        <w:jc w:val="center"/>
      </w:pPr>
      <w:r>
        <w:drawing>
          <wp:inline distT="0" distB="0" distL="0" distR="0">
            <wp:extent cx="5972175" cy="7962900"/>
            <wp:effectExtent t="0" r="0" b="0" l="0"/>
            <wp:docPr id="6"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Del pie a los 55 signos. Arriba, el pie a máquina y la medida de x. En el medio, las cuatro vasijas (o, l, n, a) en aguada, con sus cotas; a mano, la fuerza de la obra que da cada forma. Debajo de cada una, su familia: tinta lo hallado, violeta lo reconstruido. Abajo,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7"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8"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La cadena de estados. Del pie bajan, unidos por un hilo de tinta, el calco, la placa de aluminio con la letra en relieve, la cinta, el frotado (la primera frotada y una de las últimas que se leen) y, en la piscina, el agua y la voz. La línea punteada es lo digital: el esténcil vuelve a ser placa.</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spacing w:before="200"/>
      </w:pPr>
      <w:r>
        <w:rPr>
          <w:rFonts w:ascii="Newsreader Medium" w:cs="Newsreader Medium" w:eastAsia="Newsreader Medium" w:hAnsi="Newsreader Medium"/>
        </w:rPr>
        <w:t xml:space="preserve">Lo que cambió en el taller:</w:t>
      </w:r>
    </w:p>
    <w:p>
      <w:pPr>
        <w:pStyle w:val="ListParagraph"/>
        <w:numPr>
          <w:ilvl w:val="0"/>
          <w:numId w:val="3"/>
        </w:numPr>
        <w:spacing w:after="60"/>
      </w:pPr>
      <w:r>
        <w:rPr>
          <w:rFonts w:ascii="Newsreader Medium" w:cs="Newsreader Medium" w:eastAsia="Newsreader Medium" w:hAnsi="Newsreader Medium"/>
        </w:rPr>
        <w:t xml:space="preserve">La Acción 4 se hace con las dos manos:</w:t>
      </w:r>
      <w:r>
        <w:rPr>
          <w:rFonts w:ascii="Newsreader" w:cs="Newsreader" w:eastAsia="Newsreader" w:hAnsi="Newsreader"/>
        </w:rPr>
        <w:t xml:space="preserve"> una hunde el canal por el reverso y la otra lee el relieve a ciegas (§2.6).</w:t>
      </w:r>
    </w:p>
    <w:p>
      <w:pPr>
        <w:pStyle w:val="ListParagraph"/>
        <w:numPr>
          <w:ilvl w:val="0"/>
          <w:numId w:val="3"/>
        </w:numPr>
        <w:spacing w:after="60"/>
      </w:pPr>
      <w:r>
        <w:rPr>
          <w:rFonts w:ascii="Newsreader Medium" w:cs="Newsreader Medium" w:eastAsia="Newsreader Medium" w:hAnsi="Newsreader Medium"/>
        </w:rPr>
        <w:t xml:space="preserve">La Acción 8 suma una variante a probar, el estampado:</w:t>
      </w:r>
      <w:r>
        <w:rPr>
          <w:rFonts w:ascii="Newsreader" w:cs="Newsreader" w:eastAsia="Newsreader" w:hAnsi="Newsreader"/>
        </w:rPr>
        <w:t xml:space="preserve"> papel de algodón mojado, cepillado contra la placa y secado en su lugar, como el </w:t>
      </w:r>
      <w:r>
        <w:rPr>
          <w:rFonts w:ascii="Newsreader Italic" w:cs="Newsreader Italic" w:eastAsia="Newsreader Italic" w:hAnsi="Newsreader Italic"/>
        </w:rPr>
        <w:t xml:space="preserve">squeeze</w:t>
      </w:r>
      <w:r>
        <w:rPr>
          <w:rFonts w:ascii="Newsreader" w:cs="Newsreader" w:eastAsia="Newsreader" w:hAnsi="Newsreader"/>
        </w:rPr>
        <w:t xml:space="preserve"> de la epigrafía. Es un registro con agua y sin grafito, entre </w:t>
      </w:r>
      <w:r>
        <w:rPr>
          <w:rFonts w:ascii="Newsreader Italic" w:cs="Newsreader Italic" w:eastAsia="Newsreader Italic" w:hAnsi="Newsreader Italic"/>
        </w:rPr>
        <w:t xml:space="preserve">Frotada</w:t>
      </w:r>
      <w:r>
        <w:rPr>
          <w:rFonts w:ascii="Newsreader" w:cs="Newsreader" w:eastAsia="Newsreader" w:hAnsi="Newsreader"/>
        </w:rPr>
        <w:t xml:space="preserve"> y </w:t>
      </w:r>
      <w:r>
        <w:rPr>
          <w:rFonts w:ascii="Newsreader Italic" w:cs="Newsreader Italic" w:eastAsia="Newsreader Italic" w:hAnsi="Newsreader Italic"/>
        </w:rPr>
        <w:t xml:space="preserve">Mojada</w:t>
      </w:r>
      <w:r>
        <w:rPr>
          <w:rFonts w:ascii="Newsreader" w:cs="Newsreader" w:eastAsia="Newsreader" w:hAnsi="Newsreader"/>
        </w:rPr>
        <w:t xml:space="preserve">. Si funciona, se decide si es un estado.</w:t>
      </w:r>
    </w:p>
    <w:p>
      <w:pPr>
        <w:pStyle w:val="ListParagraph"/>
        <w:numPr>
          <w:ilvl w:val="0"/>
          <w:numId w:val="3"/>
        </w:numPr>
        <w:spacing w:after="60"/>
      </w:pPr>
      <w:r>
        <w:rPr>
          <w:rFonts w:ascii="Newsreader Medium" w:cs="Newsreader Medium" w:eastAsia="Newsreader Medium" w:hAnsi="Newsreader Medium"/>
        </w:rPr>
        <w:t xml:space="preserve">La Acción 10 tiene antecedentes:</w:t>
      </w:r>
      <w:r>
        <w:rPr>
          <w:rFonts w:ascii="Newsreader" w:cs="Newsreader" w:eastAsia="Newsreader" w:hAnsi="Newsreader"/>
        </w:rPr>
        <w:t xml:space="preserve"> las figuras de arena de Chladni (1787), las ondas de Faraday en el agua que vibra (1831) y las figuras de voz de Margaret Watts Hughes (1891). Se toma el procedimiento, no sus figuras.</w:t>
      </w:r>
    </w:p>
    <w:p>
      <w:pPr>
        <w:pStyle w:val="ListParagraph"/>
        <w:numPr>
          <w:ilvl w:val="0"/>
          <w:numId w:val="3"/>
        </w:numPr>
        <w:spacing w:after="60"/>
      </w:pPr>
      <w:r>
        <w:rPr>
          <w:rFonts w:ascii="Newsreader Medium" w:cs="Newsreader Medium" w:eastAsia="Newsreader Medium" w:hAnsi="Newsreader Medium"/>
        </w:rPr>
        <w:t xml:space="preserve">La Acción 4 tiene un antecedente directo:</w:t>
      </w:r>
      <w:r>
        <w:rPr>
          <w:rFonts w:ascii="Newsreader" w:cs="Newsreader" w:eastAsia="Newsreader" w:hAnsi="Newsreader"/>
        </w:rPr>
        <w:t xml:space="preserve"> el primer libro en relieve para ciegos, de Valentin Haüy (1786), se hacía igual. Las letras se apretaban al revés contra el reverso del papel y se leían con los dedos (§11.4).</w:t>
      </w:r>
    </w:p>
    <w:p>
      <w:pPr>
        <w:pStyle w:val="ListParagraph"/>
        <w:numPr>
          <w:ilvl w:val="0"/>
          <w:numId w:val="3"/>
        </w:numPr>
        <w:spacing w:after="60"/>
      </w:pPr>
      <w:r>
        <w:rPr>
          <w:rFonts w:ascii="Newsreader Medium" w:cs="Newsreader Medium" w:eastAsia="Newsreader Medium" w:hAnsi="Newsreader Medium"/>
        </w:rPr>
        <w:t xml:space="preserve">El fonógrafo une las Acciones 4 y 10:</w:t>
      </w:r>
      <w:r>
        <w:rPr>
          <w:rFonts w:ascii="Newsreader" w:cs="Newsreader" w:eastAsia="Newsreader" w:hAnsi="Newsreader"/>
        </w:rPr>
        <w:t xml:space="preserve"> en el de Edison (1877), la voz hundía una hoja de estaño. La voz también repuja; en la placa, la que hunde es la mano. Y el fonautógrafo de Scott de Martinville (1857-1860) escribía la voz sin poder devolverla: «lo que vuelve, vuelve escrito» (§11.4).</w:t>
      </w:r>
    </w:p>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 gramática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y deja mover la altura de x y los 20 parámetros. Cada uno lleva su valor en milímetros y canales, qué controla y de dónde sale. Tiene cuatro vistas:</w:t>
      </w:r>
    </w:p>
    <w:p>
      <w:pPr>
        <w:pStyle w:val="ListParagraph"/>
        <w:numPr>
          <w:ilvl w:val="0"/>
          <w:numId w:val="3"/>
        </w:numPr>
        <w:spacing w:after="60"/>
      </w:pPr>
      <w:r>
        <w:rPr>
          <w:rFonts w:ascii="Newsreader Medium" w:cs="Newsreader Medium" w:eastAsia="Newsreader Medium" w:hAnsi="Newsreader Medium"/>
        </w:rPr>
        <w:t xml:space="preserve">Caja:</w:t>
      </w:r>
      <w:r>
        <w:rPr>
          <w:rFonts w:ascii="Newsreader" w:cs="Newsreader" w:eastAsia="Newsreader" w:hAnsi="Newsreader"/>
        </w:rPr>
        <w:t xml:space="preserve"> los 55 cuerpos, en tinta y violeta, que se vuelven a armar al mover un parámetro.</w:t>
      </w:r>
    </w:p>
    <w:p>
      <w:pPr>
        <w:pStyle w:val="ListParagraph"/>
        <w:numPr>
          <w:ilvl w:val="0"/>
          <w:numId w:val="3"/>
        </w:numPr>
        <w:spacing w:after="60"/>
      </w:pPr>
      <w:r>
        <w:rPr>
          <w:rFonts w:ascii="Newsreader Medium" w:cs="Newsreader Medium" w:eastAsia="Newsreader Medium" w:hAnsi="Newsreader Medium"/>
        </w:rPr>
        <w:t xml:space="preserve">Signo:</w:t>
      </w:r>
      <w:r>
        <w:rPr>
          <w:rFonts w:ascii="Newsreader" w:cs="Newsreader" w:eastAsia="Newsreader" w:hAnsi="Newsreader"/>
        </w:rPr>
        <w:t xml:space="preserve"> un signo con sus partes: testigo, cuerpo, ejes, nodos, alivios, gotas y asientos.</w:t>
      </w:r>
    </w:p>
    <w:p>
      <w:pPr>
        <w:pStyle w:val="ListParagraph"/>
        <w:numPr>
          <w:ilvl w:val="0"/>
          <w:numId w:val="3"/>
        </w:numPr>
        <w:spacing w:after="60"/>
      </w:pPr>
      <w:r>
        <w:rPr>
          <w:rFonts w:ascii="Newsreader Medium" w:cs="Newsreader Medium" w:eastAsia="Newsreader Medium" w:hAnsi="Newsreader Medium"/>
        </w:rPr>
        <w:t xml:space="preserve">Texto:</w:t>
      </w:r>
      <w:r>
        <w:rPr>
          <w:rFonts w:ascii="Newsreader" w:cs="Newsreader" w:eastAsia="Newsreader" w:hAnsi="Newsreader"/>
        </w:rPr>
        <w:t xml:space="preserve"> un verso compuesto celda por celda, que puede ir sobre la piscina: las juntas de los azulejos cortan la letra.</w:t>
      </w:r>
    </w:p>
    <w:p>
      <w:pPr>
        <w:pStyle w:val="ListParagraph"/>
        <w:numPr>
          <w:ilvl w:val="0"/>
          <w:numId w:val="3"/>
        </w:numPr>
        <w:spacing w:after="60"/>
      </w:pPr>
      <w:r>
        <w:rPr>
          <w:rFonts w:ascii="Newsreader Medium" w:cs="Newsreader Medium" w:eastAsia="Newsreader Medium" w:hAnsi="Newsreader Medium"/>
        </w:rPr>
        <w:t xml:space="preserve">Estados:</w:t>
      </w:r>
      <w:r>
        <w:rPr>
          <w:rFonts w:ascii="Newsreader" w:cs="Newsreader" w:eastAsia="Newsreader" w:hAnsi="Newsreader"/>
        </w:rPr>
        <w:t xml:space="preserve"> los seis simuladores sobre un signo, con el frotado hasta que la letra no se lee y el agua tocada.</w:t>
      </w:r>
    </w:p>
    <w:p>
      <w:r>
        <w:rPr>
          <w:rFonts w:ascii="Newsreader" w:cs="Newsreader" w:eastAsia="Newsreader" w:hAnsi="Newsreader"/>
        </w:rPr>
        <w:t xml:space="preserve">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simular.py --parametros</w:t>
      </w:r>
      <w:r>
        <w:rPr>
          <w:rFonts w:ascii="Newsreader" w:cs="Newsreader" w:eastAsia="Newsreader" w:hAnsi="Newsreader"/>
        </w:rPr>
        <w:t xml:space="preserve">). Con los mismos ajustes, los 55 cuerpos de la página y los de Python coinciden hasta el píxel del borde, porque la página repite el azar de las recetas. Las versiones guardadas en la página las puede leer Claude para correr la simulación con ellas.</w:t>
      </w:r>
    </w:p>
    <w:p>
      <w:pPr>
        <w:keepNext/>
        <w:spacing w:after="60" w:before="120" w:line="240" w:lineRule="auto"/>
        <w:jc w:val="center"/>
      </w:pPr>
      <w:r>
        <w:drawing>
          <wp:inline distT="0" distB="0" distL="0" distR="0">
            <wp:extent cx="5972175" cy="4476750"/>
            <wp:effectExtent t="0" r="0" b="0" l="0"/>
            <wp:docPr id="9"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767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aplicación: la ficha de parámetros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0"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Retórica y poética. El poema entero, a máquina, en una columna de agua que gotea; en violeta, los versos que operan. A cada lado, la figura junto a su verso, con su dibujo y lo que hace en la letra. En los márgenes, los tres verbos: enterrar, contener, desenterrar.</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Lo que está alrededor</w:t>
      </w:r>
    </w:p>
    <w:p>
      <w:r>
        <w:rPr>
          <w:rFonts w:ascii="Newsreader" w:cs="Newsreader" w:eastAsia="Newsreader" w:hAnsi="Newsreader"/>
        </w:rPr>
        <w:t xml:space="preserve">Alrededor de </w:t>
      </w:r>
      <w:r>
        <w:rPr>
          <w:rFonts w:ascii="Newsreader Italic" w:cs="Newsreader Italic" w:eastAsia="Newsreader Italic" w:hAnsi="Newsreader Italic"/>
        </w:rPr>
        <w:t xml:space="preserve">Contenida</w:t>
      </w:r>
      <w:r>
        <w:rPr>
          <w:rFonts w:ascii="Newsreader" w:cs="Newsreader" w:eastAsia="Newsreader" w:hAnsi="Newsreader"/>
        </w:rPr>
        <w:t xml:space="preserve"> hay proyectos parecidos, letras que sirven de contraste y otros registros de la misma ruina. Se miran para saber qué ya existe y en qué se separa este proyecto; ninguno se calca.</w:t>
      </w:r>
    </w:p>
    <w:p>
      <w:pPr>
        <w:pStyle w:val="Heading2"/>
        <w:keepNext/>
      </w:pPr>
      <w:r>
        <w:t xml:space="preserve">11.1. Vecinas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112"/>
      </w:tblGrid>
      <w:tr>
        <w:trPr>
          <w:tblHeader/>
        </w:trPr>
        <w:tc>
          <w:tcPr>
            <w:tcW w:type="dxa" w:w="2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Proyecto</w:t>
            </w:r>
          </w:p>
        </w:tc>
        <w:tc>
          <w:tcPr>
            <w:tcW w:type="dxa" w:w="3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parece</w:t>
            </w:r>
          </w:p>
        </w:tc>
        <w:tc>
          <w:tcPr>
            <w:tcW w:type="dxa" w:w="31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separa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w:t>
            </w:r>
            <w:r>
              <w:rPr>
                <w:rFonts w:ascii="Newsreader Italic" w:cs="Newsreader Italic" w:eastAsia="Newsreader Italic" w:hAnsi="Newsreader Italic"/>
                <w:color w:val="1D1C1A"/>
                <w:sz w:val="18"/>
                <w:szCs w:val="18"/>
              </w:rPr>
              <w:t xml:space="preserve">Tianshu</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Libro del cielo</w:t>
            </w:r>
            <w:r>
              <w:rPr>
                <w:rFonts w:ascii="Newsreader" w:cs="Newsreader" w:eastAsia="Newsreader" w:hAnsi="Newsreader"/>
                <w:color w:val="1D1C1A"/>
                <w:sz w:val="18"/>
                <w:szCs w:val="18"/>
              </w:rPr>
              <w:t xml:space="preserve">), 1987-1991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Unos 4.000 caracteres inventados, tallados uno por uno en tipos de madera: una caja de signos que nadie sabe leer</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inventa signos;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recompone el alfabeto latino desde un pie</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Mirtha Dermisache, escrituras desde 1967</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escritura que tiene forma de escritura y no dice palabras: «No tiene lengua pero igual dice»</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Ella inventa el gesto;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registra un gesto ajeno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Edward Catich, </w:t>
            </w:r>
            <w:r>
              <w:rPr>
                <w:rFonts w:ascii="Newsreader Italic" w:cs="Newsreader Italic" w:eastAsia="Newsreader Italic" w:hAnsi="Newsreader Italic"/>
                <w:color w:val="1D1C1A"/>
                <w:sz w:val="18"/>
                <w:szCs w:val="18"/>
              </w:rPr>
              <w:t xml:space="preserve">The Origin of the Serif</w:t>
            </w:r>
            <w:r>
              <w:rPr>
                <w:rFonts w:ascii="Newsreader" w:cs="Newsreader" w:eastAsia="Newsreader" w:hAnsi="Newsreader"/>
                <w:color w:val="1D1C1A"/>
                <w:sz w:val="18"/>
                <w:szCs w:val="18"/>
              </w:rPr>
              <w:t xml:space="preserve">, 1968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letra que sale de una piedra: lee el gesto de la mano bajo la talla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Busca la forma ideal; aquí cada placa queda distinta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LettError,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1990</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«a» sale igual a otra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variantes las hace la máquina, no la mano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voz, 1891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escribe sobre una superficie con agua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Sus figuras no se toman como forma de letra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Cecilia Vicuña, </w:t>
            </w:r>
            <w:r>
              <w:rPr>
                <w:rFonts w:ascii="Newsreader Italic" w:cs="Newsreader Italic" w:eastAsia="Newsreader Italic" w:hAnsi="Newsreader Italic"/>
                <w:color w:val="1D1C1A"/>
                <w:sz w:val="18"/>
                <w:szCs w:val="18"/>
              </w:rPr>
              <w:t xml:space="preserve">Quipu desaparecido</w:t>
            </w:r>
            <w:r>
              <w:rPr>
                <w:rFonts w:ascii="Newsreader" w:cs="Newsreader" w:eastAsia="Newsreader" w:hAnsi="Newsreader"/>
                <w:color w:val="1D1C1A"/>
                <w:sz w:val="18"/>
                <w:szCs w:val="18"/>
              </w:rPr>
              <w:t xml:space="preserve">, 2018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poeta que escribe con las manos y con un material, sobre una memoria reprimida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quipu no se toma como motivo ni como forma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Ablanda</w:t>
            </w:r>
            <w:r>
              <w:rPr>
                <w:rFonts w:ascii="Newsreader" w:cs="Newsreader" w:eastAsia="Newsreader" w:hAnsi="Newsreader"/>
                <w:color w:val="1D1C1A"/>
                <w:sz w:val="18"/>
                <w:szCs w:val="18"/>
              </w:rPr>
              <w:t xml:space="preserve">, UCB, 2021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 de un documento antiguo a una fuente digital, en Bolivia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w:t>
            </w:r>
            <w:r>
              <w:rPr>
                <w:rFonts w:ascii="Newsreader Italic" w:cs="Newsreader Italic" w:eastAsia="Newsreader Italic" w:hAnsi="Newsreader Italic"/>
                <w:color w:val="1D1C1A"/>
                <w:sz w:val="18"/>
                <w:szCs w:val="18"/>
              </w:rPr>
              <w:t xml:space="preserve">revival</w:t>
            </w:r>
            <w:r>
              <w:rPr>
                <w:rFonts w:ascii="Newsreader" w:cs="Newsreader" w:eastAsia="Newsreader" w:hAnsi="Newsreader"/>
                <w:color w:val="1D1C1A"/>
                <w:sz w:val="18"/>
                <w:szCs w:val="18"/>
              </w:rPr>
              <w:t xml:space="preserve"> busca una letra regular; aquí se guarda la diferencia</w:t>
            </w:r>
          </w:p>
        </w:tc>
      </w:tr>
    </w:tbl>
    <w:p>
      <w:pPr>
        <w:pStyle w:val="Heading2"/>
        <w:keepNext/>
      </w:pPr>
      <w:r>
        <w:t xml:space="preserve">11.2. Otras letras: el contraste</w:t>
      </w:r>
    </w:p>
    <w:p>
      <w:r>
        <w:rPr>
          <w:rFonts w:ascii="Newsreader" w:cs="Newsreader" w:eastAsia="Newsreader" w:hAnsi="Newsreader"/>
        </w:rPr>
        <w:t xml:space="preserve">Las tipografías con motivos tiwanacotas o andinos entran como referencia visual y de contraste: muestran lo que ya existe, para no repetirlo. Se describen sin descalificar a quien las hizo. Están, entre otras, una fuente decorativa llamada </w:t>
      </w:r>
      <w:r>
        <w:rPr>
          <w:rFonts w:ascii="Newsreader Italic" w:cs="Newsreader Italic" w:eastAsia="Newsreader Italic" w:hAnsi="Newsreader Italic"/>
        </w:rPr>
        <w:t xml:space="preserve">Tiwanacu</w:t>
      </w:r>
      <w:r>
        <w:rPr>
          <w:rFonts w:ascii="Newsreader" w:cs="Newsreader" w:eastAsia="Newsreader" w:hAnsi="Newsreader"/>
        </w:rPr>
        <w:t xml:space="preserve">, cuyos temas, según el catálogo de Luc Devroye, son de Nazca; patrones arqueológicos vendidos con un nombre quechua; </w:t>
      </w:r>
      <w:r>
        <w:rPr>
          <w:rFonts w:ascii="Newsreader Italic" w:cs="Newsreader Italic" w:eastAsia="Newsreader Italic" w:hAnsi="Newsreader Italic"/>
        </w:rPr>
        <w:t xml:space="preserve">Lithos</w:t>
      </w:r>
      <w:r>
        <w:rPr>
          <w:rFonts w:ascii="Newsreader" w:cs="Newsreader" w:eastAsia="Newsreader" w:hAnsi="Newsreader"/>
        </w:rPr>
        <w:t xml:space="preserve"> y </w:t>
      </w:r>
      <w:r>
        <w:rPr>
          <w:rFonts w:ascii="Newsreader Italic" w:cs="Newsreader Italic" w:eastAsia="Newsreader Italic" w:hAnsi="Newsreader Italic"/>
        </w:rPr>
        <w:t xml:space="preserve">Neuland</w:t>
      </w:r>
      <w:r>
        <w:rPr>
          <w:rFonts w:ascii="Newsreader" w:cs="Newsreader" w:eastAsia="Newsreader" w:hAnsi="Newsreader"/>
        </w:rPr>
        <w:t xml:space="preserve">, dos letras que terminaron usándose como estereotipo «étnico», y las fuentes «wonton». Como modelo opuesto están las letras hechas para escribir lenguas, como </w:t>
      </w:r>
      <w:r>
        <w:rPr>
          <w:rFonts w:ascii="Newsreader Italic" w:cs="Newsreader Italic" w:eastAsia="Newsreader Italic" w:hAnsi="Newsreader Italic"/>
        </w:rPr>
        <w:t xml:space="preserve">Kigelia</w:t>
      </w:r>
      <w:r>
        <w:rPr>
          <w:rFonts w:ascii="Newsreader" w:cs="Newsreader" w:eastAsia="Newsreader" w:hAnsi="Newsreader"/>
        </w:rPr>
        <w:t xml:space="preserve"> (Jamra y Patel) o el </w:t>
      </w:r>
      <w:r>
        <w:rPr>
          <w:rFonts w:ascii="Newsreader Italic" w:cs="Newsreader Italic" w:eastAsia="Newsreader Italic" w:hAnsi="Newsreader Italic"/>
        </w:rPr>
        <w:t xml:space="preserve">Silabario Amazónico</w:t>
      </w:r>
      <w:r>
        <w:rPr>
          <w:rFonts w:ascii="Newsreader" w:cs="Newsreader" w:eastAsia="Newsreader" w:hAnsi="Newsreader"/>
        </w:rPr>
        <w:t xml:space="preserve"> (Juan Casco).</w:t>
      </w:r>
    </w:p>
    <w:p>
      <w:r>
        <w:rPr>
          <w:rFonts w:ascii="Newsreader Medium" w:cs="Newsreader Medium" w:eastAsia="Newsreader Medium" w:hAnsi="Newsreader Medium"/>
        </w:rPr>
        <w:t xml:space="preserve">Lo que enseñan:</w:t>
      </w:r>
      <w:r>
        <w:rPr>
          <w:rFonts w:ascii="Newsreader" w:cs="Newsreader" w:eastAsia="Newsreader" w:hAnsi="Newsreader"/>
        </w:rPr>
        <w:t xml:space="preserve"> el nombre de un lugar no es una marca, y el uso que otros le den a una letra también es parte del homenaje. Por eso el pie del espécimen y el colofón dicen de dónde viene la letra y qué no es, y el uso comercial necesita el acuerdo con Rebeca.</w:t>
      </w:r>
    </w:p>
    <w:p>
      <w:pPr>
        <w:pStyle w:val="Heading2"/>
        <w:keepNext/>
      </w:pPr>
      <w:r>
        <w:t xml:space="preserve">11.3. La ruina: registros, no motivos</w:t>
      </w:r>
    </w:p>
    <w:p>
      <w:r>
        <w:rPr>
          <w:rFonts w:ascii="Newsreader" w:cs="Newsreader" w:eastAsia="Newsreader" w:hAnsi="Newsreader"/>
        </w:rPr>
        <w:t xml:space="preserve">Tiwanaku se registró así: el grabado de Squier (1877), el libro de Wiener (1880), Stübel y Uhle (1892), las fotos de las primeras excavaciones (1903-1904) y la guía de Posnansky de 1912, del mismo autor que la lámina. Interesa la cadena de registros, que es la de la obra: piedra, grabado, foto, lámina. «No se salvó la piedra, / solo la opinión sobre ella.»</w:t>
      </w:r>
    </w:p>
    <w:p>
      <w:pPr>
        <w:pStyle w:val="Heading2"/>
        <w:keepNext/>
      </w:pPr>
      <w:r>
        <w:t xml:space="preserve">11.4. Imágenes y libros de dominio público</w:t>
      </w:r>
    </w:p>
    <w:p>
      <w:r>
        <w:rPr>
          <w:rFonts w:ascii="Newsreader" w:cs="Newsreader" w:eastAsia="Newsreader" w:hAnsi="Newsreader"/>
        </w:rPr>
        <w:t xml:space="preserve">Salen de dos búsquedas: el Public Domain Image Archive y archivos parecidos (las colecciones y los ensayos de The Public Domain Review, la Wellcome Collection, First Sounds, el Smithsonian y los archivos de libros para ciegos). Las buscó la máquina sin poder verlas: cada ficha sale de lo que dicen los archivos, y queda pendiente mirarlas. No se descargan ni se suben; queda el enlace a su página, en </w:t>
      </w:r>
      <w:r>
        <w:rPr>
          <w:rFonts w:ascii="Courier Prime" w:cs="Courier Prime" w:eastAsia="Courier Prime" w:hAnsi="Courier Prime"/>
          <w:sz w:val="18"/>
          <w:szCs w:val="18"/>
        </w:rPr>
        <w:t xml:space="preserve">tipografia/10</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00"/>
        <w:gridCol w:w="5212"/>
      </w:tblGrid>
      <w:tr>
        <w:trPr>
          <w:tblHeader/>
        </w:trPr>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Obra</w:t>
            </w:r>
          </w:p>
        </w:tc>
        <w:tc>
          <w:tcPr>
            <w:tcW w:type="dxa" w:w="5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 qué rima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Valentin Haüy, </w:t>
            </w:r>
            <w:r>
              <w:rPr>
                <w:rFonts w:ascii="Newsreader Italic" w:cs="Newsreader Italic" w:eastAsia="Newsreader Italic" w:hAnsi="Newsreader Italic"/>
                <w:color w:val="1D1C1A"/>
                <w:sz w:val="18"/>
                <w:szCs w:val="18"/>
              </w:rPr>
              <w:t xml:space="preserve">Essai sur l’éducation des aveugles</w:t>
            </w:r>
            <w:r>
              <w:rPr>
                <w:rFonts w:ascii="Newsreader" w:cs="Newsreader" w:eastAsia="Newsreader" w:hAnsi="Newsreader"/>
                <w:color w:val="1D1C1A"/>
                <w:sz w:val="18"/>
                <w:szCs w:val="18"/>
              </w:rPr>
              <w:t xml:space="preserve">, 1786</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libro en relieve para ciegos: letras apretadas al revés contra el reverso del papel, leídas con los dedos. Es la Acción 4</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Auer y Worring, 1852, y Bradbury, 1855: la impresión natural</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helecho deja su huella en una plancha de plomo; la forma pasa de plomo a cobre y a papel, como en la cadena de estados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 T. Balcomb, el fonógrafo de Edison, 1878</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hunde una hoja de estaño: repuja como la mano (Acciones 4 y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Scott de Martinville, el fonautógrafo, 1857-1860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escrita en papel ahumado, que nadie oyó hasta 2008: «lo que vuelve, vuelve escrito» (Acción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Alexander Graham Bell, «hear my voice», 1885</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disco de cera leído con luz en 2013: la máquina lee una huella, no la hace</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impresión, 1891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membrana entintada pasa sobre un vidrio mientras ella canta: una impresión hecha con la voz</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Wolfgang von Kempelen, la máquina que habla, 1791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de caucho hecha a mano. «A la boca la taparon»</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Eva Moreda Rodríguez, «Inventing the Recording» (ensayo) y su libro de 2021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primeras grabaciones en castellano, hechas en talleres pequeños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John Bulwer, </w:t>
            </w:r>
            <w:r>
              <w:rPr>
                <w:rFonts w:ascii="Newsreader Italic" w:cs="Newsreader Italic" w:eastAsia="Newsreader Italic" w:hAnsi="Newsreader Italic"/>
                <w:color w:val="1D1C1A"/>
                <w:sz w:val="18"/>
                <w:szCs w:val="18"/>
              </w:rPr>
              <w:t xml:space="preserve">Chirologia</w:t>
            </w:r>
            <w:r>
              <w:rPr>
                <w:rFonts w:ascii="Newsreader" w:cs="Newsreader" w:eastAsia="Newsreader" w:hAnsi="Newsreader"/>
                <w:color w:val="1D1C1A"/>
                <w:sz w:val="18"/>
                <w:szCs w:val="18"/>
              </w:rPr>
              <w:t xml:space="preserve">, 1644 (dos láminas)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gestos de la mano como lenguaje: el manuaje, tres siglos antes (Acciones 4 y 7)</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Juan Pablo Bonet, </w:t>
            </w:r>
            <w:r>
              <w:rPr>
                <w:rFonts w:ascii="Newsreader Italic" w:cs="Newsreader Italic" w:eastAsia="Newsreader Italic" w:hAnsi="Newsreader Italic"/>
                <w:color w:val="1D1C1A"/>
                <w:sz w:val="18"/>
                <w:szCs w:val="18"/>
              </w:rPr>
              <w:t xml:space="preserve">Reduction de las letras</w:t>
            </w:r>
            <w:r>
              <w:rPr>
                <w:rFonts w:ascii="Newsreader" w:cs="Newsreader" w:eastAsia="Newsreader" w:hAnsi="Newsreader"/>
                <w:color w:val="1D1C1A"/>
                <w:sz w:val="18"/>
                <w:szCs w:val="18"/>
              </w:rPr>
              <w:t xml:space="preserve">, 1620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alfabeto manual documentado para personas sordas. No se toma su oralismo</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Anianus, 1492; </w:t>
            </w:r>
            <w:r>
              <w:rPr>
                <w:rFonts w:ascii="Newsreader Italic" w:cs="Newsreader Italic" w:eastAsia="Newsreader Italic" w:hAnsi="Newsreader Italic"/>
                <w:color w:val="1D1C1A"/>
                <w:sz w:val="18"/>
                <w:szCs w:val="18"/>
              </w:rPr>
              <w:t xml:space="preserve">La mano como espejo de la salvación</w:t>
            </w:r>
            <w:r>
              <w:rPr>
                <w:rFonts w:ascii="Newsreader" w:cs="Newsreader" w:eastAsia="Newsreader" w:hAnsi="Newsreader"/>
                <w:color w:val="1D1C1A"/>
                <w:sz w:val="18"/>
                <w:szCs w:val="18"/>
              </w:rPr>
              <w:t xml:space="preserve">, 1466; Kensy Cooperrider, «Handy Mnemonics», 2022</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como retícula de celdas, y mil años de manos usadas como memoria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M. Worthington, </w:t>
            </w:r>
            <w:r>
              <w:rPr>
                <w:rFonts w:ascii="Newsreader Italic" w:cs="Newsreader Italic" w:eastAsia="Newsreader Italic" w:hAnsi="Newsreader Italic"/>
                <w:color w:val="1D1C1A"/>
                <w:sz w:val="18"/>
                <w:szCs w:val="18"/>
              </w:rPr>
              <w:t xml:space="preserve">The Splash of a Drop</w:t>
            </w:r>
            <w:r>
              <w:rPr>
                <w:rFonts w:ascii="Newsreader" w:cs="Newsreader" w:eastAsia="Newsreader" w:hAnsi="Newsreader"/>
                <w:color w:val="1D1C1A"/>
                <w:sz w:val="18"/>
                <w:szCs w:val="18"/>
              </w:rPr>
              <w:t xml:space="preserve">, 1895 (dos secuencias)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y la misma caída cuadro por cuadro (Acciones 8 y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Ernst Chladni, una lámina de las figuras, 1787</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figura depende de dónde apoyan los dedos (Acción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Raoul-Auger Feuillet, </w:t>
            </w:r>
            <w:r>
              <w:rPr>
                <w:rFonts w:ascii="Newsreader Italic" w:cs="Newsreader Italic" w:eastAsia="Newsreader Italic" w:hAnsi="Newsreader Italic"/>
                <w:color w:val="1D1C1A"/>
                <w:sz w:val="18"/>
                <w:szCs w:val="18"/>
              </w:rPr>
              <w:t xml:space="preserve">Choregraphie</w:t>
            </w:r>
            <w:r>
              <w:rPr>
                <w:rFonts w:ascii="Newsreader" w:cs="Newsreader" w:eastAsia="Newsreader" w:hAnsi="Newsreader"/>
                <w:color w:val="1D1C1A"/>
                <w:sz w:val="18"/>
                <w:szCs w:val="18"/>
              </w:rPr>
              <w:t xml:space="preserve">, 1701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como recorrido, no solo como línea (Acción 11)</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Wm. H. Page &amp; Co., tipos de madera cromáticos, 1874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estados como capas; la caja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Vecinas: Publicius, 1482; Silvestre, 1843; Fry, </w:t>
            </w:r>
            <w:r>
              <w:rPr>
                <w:rFonts w:ascii="Newsreader Italic" w:cs="Newsreader Italic" w:eastAsia="Newsreader Italic" w:hAnsi="Newsreader Italic"/>
                <w:color w:val="1D1C1A"/>
                <w:sz w:val="18"/>
                <w:szCs w:val="18"/>
              </w:rPr>
              <w:t xml:space="preserve">Pantographia</w:t>
            </w:r>
            <w:r>
              <w:rPr>
                <w:rFonts w:ascii="Newsreader" w:cs="Newsreader" w:eastAsia="Newsreader" w:hAnsi="Newsreader"/>
                <w:color w:val="1D1C1A"/>
                <w:sz w:val="18"/>
                <w:szCs w:val="18"/>
              </w:rPr>
              <w:t xml:space="preserve">, 1799; el tipo Moon, 1845; Hoefnagel, hacia 1595; Bierpfaff y Falck, hacia 1650; </w:t>
            </w:r>
            <w:r>
              <w:rPr>
                <w:rFonts w:ascii="Newsreader Italic" w:cs="Newsreader Italic" w:eastAsia="Newsreader Italic" w:hAnsi="Newsreader Italic"/>
                <w:color w:val="1D1C1A"/>
                <w:sz w:val="18"/>
                <w:szCs w:val="18"/>
              </w:rPr>
              <w:t xml:space="preserve">Punctuation Personified</w:t>
            </w:r>
            <w:r>
              <w:rPr>
                <w:rFonts w:ascii="Newsreader" w:cs="Newsreader" w:eastAsia="Newsreader" w:hAnsi="Newsreader"/>
                <w:color w:val="1D1C1A"/>
                <w:sz w:val="18"/>
                <w:szCs w:val="18"/>
              </w:rPr>
              <w:t xml:space="preserve">, 1824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Alfabetos de objetos, de archivo, de todas las lenguas, para los dedos, construidos, blandos y de signos. Cada uno, con en qué se separa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«The Human Alphabet», alfabetos hechos con cuerpos, 1534-1789</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vecina opuesta: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no hace letras con un cuerpo</w:t>
            </w:r>
          </w:p>
        </w:tc>
      </w:tr>
    </w:tbl>
    <w:p>
      <w:pPr>
        <w:pStyle w:val="Heading1"/>
        <w:pageBreakBefore/>
      </w:pPr>
      <w:r>
        <w:t xml:space="preserve">12. Ética, fuentes y pendientes</w:t>
      </w:r>
    </w:p>
    <w:p>
      <w:pPr>
        <w:pStyle w:val="Heading2"/>
        <w:keepNext/>
      </w:pPr>
      <w:r>
        <w:t xml:space="preserve">12.1.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12.2.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12.3. Asistencia de inteligencia artificial</w:t>
      </w:r>
    </w:p>
    <w:p>
      <w:r>
        <w:rPr>
          <w:rFonts w:ascii="Newsreader" w:cs="Newsreader" w:eastAsia="Newsreader" w:hAnsi="Newsreader"/>
        </w:rPr>
        <w:t xml:space="preserve">Los textos, los esquemas, la simulación, las láminas, la aplicación, la póliza en OpenType y este informe se hicieron con asistencia de inteligencia artificial. También parte de la búsqueda de referencias. Las formas de letra que genera la simulación son la propuesta de la máquina: están hechas para confrontarlas con las de la mano y no entran en la caja ni en la fuente.</w:t>
      </w:r>
    </w:p>
    <w:p>
      <w:pPr>
        <w:pStyle w:val="Heading2"/>
        <w:keepNext/>
      </w:pPr>
      <w:r>
        <w:t xml:space="preserve">12.4. Las referencias visuales</w:t>
      </w:r>
    </w:p>
    <w:p>
      <w:r>
        <w:rPr>
          <w:rFonts w:ascii="Newsreader" w:cs="Newsreader" w:eastAsia="Newsreader" w:hAnsi="Newsreader"/>
        </w:rPr>
        <w:t xml:space="preserve">Los motivos tiwanacotas y las tipografías «étnicas» entran como referencia visual, anotados aparte de las letras (§11). Se miran, no se calcan: ningún motivo pasa a las letras, a la caja ni a la fuente. Cada referencia dice quién hizo el registro, cuándo, con qué medio y con qué licencia, y lo ajeno se cita, no se descarga.</w:t>
      </w:r>
    </w:p>
    <w:p>
      <w:pPr>
        <w:pStyle w:val="Heading2"/>
        <w:keepNext/>
      </w:pPr>
      <w:r>
        <w:t xml:space="preserve">12.5.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12.6.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confirmar el lado de la placa; la pauta de calco ya dibuja la celda.</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a dos manos, el frotado y el estampado: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Decidir con Rebeca los nombres de los estilos (</w:t>
      </w:r>
      <w:r>
        <w:rPr>
          <w:rFonts w:ascii="Courier Prime" w:cs="Courier Prime" w:eastAsia="Courier Prime" w:hAnsi="Courier Prime"/>
          <w:sz w:val="18"/>
          <w:szCs w:val="18"/>
        </w:rPr>
        <w:t xml:space="preserve">08</w:t>
      </w:r>
      <w:r>
        <w:rPr>
          <w:rFonts w:ascii="Newsreader" w:cs="Newsreader" w:eastAsia="Newsreader" w:hAnsi="Newsreader"/>
        </w:rPr>
        <w:t xml:space="preserve">).</w:t>
      </w:r>
    </w:p>
    <w:p>
      <w:pPr>
        <w:pStyle w:val="ListParagraph"/>
        <w:numPr>
          <w:ilvl w:val="0"/>
          <w:numId w:val="7"/>
        </w:numPr>
        <w:spacing w:after="60"/>
      </w:pPr>
      <w:r>
        <w:rPr>
          <w:rFonts w:ascii="Newsreader" w:cs="Newsreader" w:eastAsia="Newsreader" w:hAnsi="Newsreader"/>
        </w:rPr>
        <w:t xml:space="preserve">Leer entero Villanueva Criales (2024) y anotar con página lo que se use.</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Anianus (1492). «Manual Mnemonic», grabado. En </w:t>
      </w:r>
      <w:r>
        <w:rPr>
          <w:rFonts w:ascii="Newsreader Italic" w:cs="Newsreader Italic" w:eastAsia="Newsreader Italic" w:hAnsi="Newsreader Italic"/>
        </w:rPr>
        <w:t xml:space="preserve">Compotus cum commento</w:t>
      </w:r>
      <w:r>
        <w:rPr>
          <w:rFonts w:ascii="Newsreader" w:cs="Newsreader" w:eastAsia="Newsreader" w:hAnsi="Newsreader"/>
        </w:rPr>
        <w:t xml:space="preserve">.</w:t>
      </w:r>
    </w:p>
    <w:p>
      <w:r>
        <w:rPr>
          <w:rFonts w:ascii="Newsreader" w:cs="Newsreader" w:eastAsia="Newsreader" w:hAnsi="Newsreader"/>
        </w:rPr>
        <w:t xml:space="preserve">Balcomb, J. T. (1878). «Edison Phonograph with a Carbon Microphone». Grabado coloreado. Wellcome Library.</w:t>
      </w:r>
    </w:p>
    <w:p>
      <w:r>
        <w:rPr>
          <w:rFonts w:ascii="Newsreader" w:cs="Newsreader" w:eastAsia="Newsreader" w:hAnsi="Newsreader"/>
        </w:rPr>
        <w:t xml:space="preserve">Bonet, Juan Pablo (1620). </w:t>
      </w:r>
      <w:r>
        <w:rPr>
          <w:rFonts w:ascii="Newsreader Italic" w:cs="Newsreader Italic" w:eastAsia="Newsreader Italic" w:hAnsi="Newsreader Italic"/>
        </w:rPr>
        <w:t xml:space="preserve">Reduction de las letras, y arte para enseñar a ablar los mudos</w:t>
      </w:r>
      <w:r>
        <w:rPr>
          <w:rFonts w:ascii="Newsreader" w:cs="Newsreader" w:eastAsia="Newsreader" w:hAnsi="Newsreader"/>
        </w:rPr>
        <w:t xml:space="preserve">. Madrid: F. Abarca de Angulo.</w:t>
      </w:r>
    </w:p>
    <w:p>
      <w:r>
        <w:rPr>
          <w:rFonts w:ascii="Newsreader" w:cs="Newsreader" w:eastAsia="Newsreader" w:hAnsi="Newsreader"/>
        </w:rPr>
        <w:t xml:space="preserve">Bulwer, John (1644). </w:t>
      </w:r>
      <w:r>
        <w:rPr>
          <w:rFonts w:ascii="Newsreader Italic" w:cs="Newsreader Italic" w:eastAsia="Newsreader Italic" w:hAnsi="Newsreader Italic"/>
        </w:rPr>
        <w:t xml:space="preserve">Chirologia, or the Naturall Language of the Hand</w:t>
      </w:r>
      <w:r>
        <w:rPr>
          <w:rFonts w:ascii="Newsreader" w:cs="Newsreader" w:eastAsia="Newsreader" w:hAnsi="Newsreader"/>
        </w:rPr>
        <w:t xml:space="preserve">. Londres.</w:t>
      </w:r>
    </w:p>
    <w:p>
      <w:r>
        <w:rPr>
          <w:rFonts w:ascii="Newsreader" w:cs="Newsreader" w:eastAsia="Newsreader" w:hAnsi="Newsreader"/>
        </w:rPr>
        <w:t xml:space="preserve">Catich, Edward M. (1968). </w:t>
      </w:r>
      <w:r>
        <w:rPr>
          <w:rFonts w:ascii="Newsreader Italic" w:cs="Newsreader Italic" w:eastAsia="Newsreader Italic" w:hAnsi="Newsreader Italic"/>
        </w:rPr>
        <w:t xml:space="preserve">The Origin of the Serif: Brush Writing and Roman Letters</w:t>
      </w:r>
      <w:r>
        <w:rPr>
          <w:rFonts w:ascii="Newsreader" w:cs="Newsreader" w:eastAsia="Newsreader" w:hAnsi="Newsreader"/>
        </w:rPr>
        <w:t xml:space="preserve">. Davenport: Catfish Press.</w:t>
      </w:r>
    </w:p>
    <w:p>
      <w:r>
        <w:rPr>
          <w:rFonts w:ascii="Newsreader" w:cs="Newsreader" w:eastAsia="Newsreader" w:hAnsi="Newsreader"/>
        </w:rPr>
        <w:t xml:space="preserve">Chladni, Ernst Florens Friedrich (1787). </w:t>
      </w:r>
      <w:r>
        <w:rPr>
          <w:rFonts w:ascii="Newsreader Italic" w:cs="Newsreader Italic" w:eastAsia="Newsreader Italic" w:hAnsi="Newsreader Italic"/>
        </w:rPr>
        <w:t xml:space="preserve">Entdeckungen über die Theorie des Klanges</w:t>
      </w:r>
      <w:r>
        <w:rPr>
          <w:rFonts w:ascii="Newsreader" w:cs="Newsreader" w:eastAsia="Newsreader" w:hAnsi="Newsreader"/>
        </w:rPr>
        <w:t xml:space="preserve">. Leipzig: Breitkopf und Härtel.</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Cooperrider, Kensy (2022). «Handy Mnemonics: The Five-Fingered Memory Machine». </w:t>
      </w:r>
      <w:r>
        <w:rPr>
          <w:rFonts w:ascii="Newsreader Italic" w:cs="Newsreader Italic" w:eastAsia="Newsreader Italic" w:hAnsi="Newsreader Italic"/>
        </w:rPr>
        <w:t xml:space="preserve">The Public Domain Review</w:t>
      </w:r>
      <w:r>
        <w:rPr>
          <w:rFonts w:ascii="Newsreader" w:cs="Newsreader" w:eastAsia="Newsreader" w:hAnsi="Newsreader"/>
        </w:rPr>
        <w:t xml:space="preserve">.</w:t>
      </w:r>
    </w:p>
    <w:p>
      <w:r>
        <w:rPr>
          <w:rFonts w:ascii="Newsreader" w:cs="Newsreader" w:eastAsia="Newsreader" w:hAnsi="Newsreader"/>
        </w:rPr>
        <w:t xml:space="preserve">Faraday, Michael (1831). «On a peculiar class of acoustical figures; and on certain forms assumed by groups of particles upon vibrating elastic surfaces». </w:t>
      </w:r>
      <w:r>
        <w:rPr>
          <w:rFonts w:ascii="Newsreader Italic" w:cs="Newsreader Italic" w:eastAsia="Newsreader Italic" w:hAnsi="Newsreader Italic"/>
        </w:rPr>
        <w:t xml:space="preserve">Philosophical Transactions of the Royal Society of London</w:t>
      </w:r>
      <w:r>
        <w:rPr>
          <w:rFonts w:ascii="Newsreader" w:cs="Newsreader" w:eastAsia="Newsreader" w:hAnsi="Newsreader"/>
        </w:rPr>
        <w:t xml:space="preserve"> 121.</w:t>
      </w:r>
    </w:p>
    <w:p>
      <w:r>
        <w:rPr>
          <w:rFonts w:ascii="Newsreader" w:cs="Newsreader" w:eastAsia="Newsreader" w:hAnsi="Newsreader"/>
        </w:rPr>
        <w:t xml:space="preserve">Feuillet, Raoul-Auger (1701). </w:t>
      </w:r>
      <w:r>
        <w:rPr>
          <w:rFonts w:ascii="Newsreader Italic" w:cs="Newsreader Italic" w:eastAsia="Newsreader Italic" w:hAnsi="Newsreader Italic"/>
        </w:rPr>
        <w:t xml:space="preserve">Choregraphie, ou l’art de décrire la dance</w:t>
      </w:r>
      <w:r>
        <w:rPr>
          <w:rFonts w:ascii="Newsreader" w:cs="Newsreader" w:eastAsia="Newsreader" w:hAnsi="Newsreader"/>
        </w:rPr>
        <w:t xml:space="preserve">. París.</w:t>
      </w:r>
    </w:p>
    <w:p>
      <w:r>
        <w:rPr>
          <w:rFonts w:ascii="Newsreader" w:cs="Newsreader" w:eastAsia="Newsreader" w:hAnsi="Newsreader"/>
        </w:rPr>
        <w:t xml:space="preserve">Fry, Edmund (1799). </w:t>
      </w:r>
      <w:r>
        <w:rPr>
          <w:rFonts w:ascii="Newsreader Italic" w:cs="Newsreader Italic" w:eastAsia="Newsreader Italic" w:hAnsi="Newsreader Italic"/>
        </w:rPr>
        <w:t xml:space="preserve">Pantographia</w:t>
      </w:r>
      <w:r>
        <w:rPr>
          <w:rFonts w:ascii="Newsreader" w:cs="Newsreader" w:eastAsia="Newsreader" w:hAnsi="Newsreader"/>
        </w:rPr>
        <w:t xml:space="preserve">. Londres.</w:t>
      </w:r>
    </w:p>
    <w:p>
      <w:r>
        <w:rPr>
          <w:rFonts w:ascii="Newsreader" w:cs="Newsreader" w:eastAsia="Newsreader" w:hAnsi="Newsreader"/>
        </w:rPr>
        <w:t xml:space="preserve">Haüy, Valentin (1786). </w:t>
      </w:r>
      <w:r>
        <w:rPr>
          <w:rFonts w:ascii="Newsreader Italic" w:cs="Newsreader Italic" w:eastAsia="Newsreader Italic" w:hAnsi="Newsreader Italic"/>
        </w:rPr>
        <w:t xml:space="preserve">Essai sur l’éducation des aveugles</w:t>
      </w:r>
      <w:r>
        <w:rPr>
          <w:rFonts w:ascii="Newsreader" w:cs="Newsreader" w:eastAsia="Newsreader" w:hAnsi="Newsreader"/>
        </w:rPr>
        <w:t xml:space="preserve">. París: impreso por los niños ciegos, bajo la dirección de Clousier.</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Kempelen, Wolfgang von (1791). </w:t>
      </w:r>
      <w:r>
        <w:rPr>
          <w:rFonts w:ascii="Newsreader Italic" w:cs="Newsreader Italic" w:eastAsia="Newsreader Italic" w:hAnsi="Newsreader Italic"/>
        </w:rPr>
        <w:t xml:space="preserve">Mechanismus der menschlichen Sprache nebst der Beschreibung seiner sprechenden Maschine</w:t>
      </w:r>
      <w:r>
        <w:rPr>
          <w:rFonts w:ascii="Newsreader" w:cs="Newsreader" w:eastAsia="Newsreader" w:hAnsi="Newsreader"/>
        </w:rPr>
        <w:t xml:space="preserve">. Viena.</w:t>
      </w:r>
    </w:p>
    <w:p>
      <w:r>
        <w:rPr>
          <w:rFonts w:ascii="Newsreader" w:cs="Newsreader" w:eastAsia="Newsreader" w:hAnsi="Newsreader"/>
        </w:rPr>
        <w:t xml:space="preserve">LettError (Erik van Blokland y Just van Rossum) (1990). </w:t>
      </w:r>
      <w:r>
        <w:rPr>
          <w:rFonts w:ascii="Newsreader Italic" w:cs="Newsreader Italic" w:eastAsia="Newsreader Italic" w:hAnsi="Newsreader Italic"/>
        </w:rPr>
        <w:t xml:space="preserve">Beowolf</w:t>
      </w:r>
      <w:r>
        <w:rPr>
          <w:rFonts w:ascii="Newsreader" w:cs="Newsreader" w:eastAsia="Newsreader" w:hAnsi="Newsreader"/>
        </w:rPr>
        <w:t xml:space="preserve">. Fuente tipográfica.</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Moore, Thomas (1855). </w:t>
      </w:r>
      <w:r>
        <w:rPr>
          <w:rFonts w:ascii="Newsreader Italic" w:cs="Newsreader Italic" w:eastAsia="Newsreader Italic" w:hAnsi="Newsreader Italic"/>
        </w:rPr>
        <w:t xml:space="preserve">The Ferns of Great Britain and Ireland</w:t>
      </w:r>
      <w:r>
        <w:rPr>
          <w:rFonts w:ascii="Newsreader" w:cs="Newsreader" w:eastAsia="Newsreader" w:hAnsi="Newsreader"/>
        </w:rPr>
        <w:t xml:space="preserve">. Edición de John Lindley; láminas de impresión natural de Henry Bradbury. Londres: Bradbury and Evans.</w:t>
      </w:r>
    </w:p>
    <w:p>
      <w:r>
        <w:rPr>
          <w:rFonts w:ascii="Newsreader" w:cs="Newsreader" w:eastAsia="Newsreader" w:hAnsi="Newsreader"/>
        </w:rPr>
        <w:t xml:space="preserve">Moreda Rodríguez, Eva (2021). </w:t>
      </w:r>
      <w:r>
        <w:rPr>
          <w:rFonts w:ascii="Newsreader Italic" w:cs="Newsreader Italic" w:eastAsia="Newsreader Italic" w:hAnsi="Newsreader Italic"/>
        </w:rPr>
        <w:t xml:space="preserve">Inventing the Recording: The Phonograph and National Culture in Spain, 1877-1914</w:t>
      </w:r>
      <w:r>
        <w:rPr>
          <w:rFonts w:ascii="Newsreader" w:cs="Newsreader" w:eastAsia="Newsreader" w:hAnsi="Newsreader"/>
        </w:rPr>
        <w:t xml:space="preserve">. Nueva York: Oxford University Press.</w:t>
      </w:r>
    </w:p>
    <w:p>
      <w:r>
        <w:rPr>
          <w:rFonts w:ascii="Newsreader" w:cs="Newsreader" w:eastAsia="Newsreader" w:hAnsi="Newsreader"/>
        </w:rPr>
        <w:t xml:space="preserve">Page, Wm. H. &amp; Co. (1874). </w:t>
      </w:r>
      <w:r>
        <w:rPr>
          <w:rFonts w:ascii="Newsreader Italic" w:cs="Newsreader Italic" w:eastAsia="Newsreader Italic" w:hAnsi="Newsreader Italic"/>
        </w:rPr>
        <w:t xml:space="preserve">Specimens of Chromatic Wood Type, Borders, Etc.</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Italic" w:cs="Newsreader Italic" w:eastAsia="Newsreader Italic" w:hAnsi="Newsreader Italic"/>
        </w:rPr>
        <w:t xml:space="preserve">Punctuation Personified: or, Pointing Made Easy</w:t>
      </w:r>
      <w:r>
        <w:rPr>
          <w:rFonts w:ascii="Newsreader" w:cs="Newsreader" w:eastAsia="Newsreader" w:hAnsi="Newsreader"/>
        </w:rPr>
        <w:t xml:space="preserve"> (1824). Londres: John Harris.</w:t>
      </w:r>
    </w:p>
    <w:p>
      <w:r>
        <w:rPr>
          <w:rFonts w:ascii="Newsreader" w:cs="Newsreader" w:eastAsia="Newsreader" w:hAnsi="Newsreader"/>
        </w:rPr>
        <w:t xml:space="preserve">Public Domain Image Archive. The Public Domain Review. pdimagearchive.org. Las imágenes y los libros de dominio público, con su página, están en </w:t>
      </w:r>
      <w:r>
        <w:rPr>
          <w:rFonts w:ascii="Courier Prime" w:cs="Courier Prime" w:eastAsia="Courier Prime" w:hAnsi="Courier Prime"/>
          <w:sz w:val="18"/>
          <w:szCs w:val="18"/>
        </w:rPr>
        <w:t xml:space="preserve">tipografia/10_imagenes_de_dominio_publico.md</w:t>
      </w:r>
      <w:r>
        <w:rPr>
          <w:rFonts w:ascii="Newsreader" w:cs="Newsreader" w:eastAsia="Newsreader" w:hAnsi="Newsreader"/>
        </w:rPr>
        <w:t xml:space="preserve">.</w:t>
      </w:r>
    </w:p>
    <w:p>
      <w:r>
        <w:rPr>
          <w:rFonts w:ascii="Newsreader" w:cs="Newsreader" w:eastAsia="Newsreader" w:hAnsi="Newsreader"/>
        </w:rPr>
        <w:t xml:space="preserve">Publicius, Jacobus (1482). «Mnemonic Alphabet», grabado. En </w:t>
      </w:r>
      <w:r>
        <w:rPr>
          <w:rFonts w:ascii="Newsreader Italic" w:cs="Newsreader Italic" w:eastAsia="Newsreader Italic" w:hAnsi="Newsreader Italic"/>
        </w:rPr>
        <w:t xml:space="preserve">Ars Oratoria. Ars Epistolandi. Ars Memorativa</w:t>
      </w:r>
      <w:r>
        <w:rPr>
          <w:rFonts w:ascii="Newsreader" w:cs="Newsreader" w:eastAsia="Newsreader" w:hAnsi="Newsreader"/>
        </w:rPr>
        <w:t xml:space="preserve">.</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Silvestre, Joseph-Balthazar (1843). </w:t>
      </w:r>
      <w:r>
        <w:rPr>
          <w:rFonts w:ascii="Newsreader Italic" w:cs="Newsreader Italic" w:eastAsia="Newsreader Italic" w:hAnsi="Newsreader Italic"/>
        </w:rPr>
        <w:t xml:space="preserve">Alphabet-album: collection de soixante feuilles d’alphabets historiés et fleuronnés</w:t>
      </w:r>
      <w:r>
        <w:rPr>
          <w:rFonts w:ascii="Newsreader" w:cs="Newsreader" w:eastAsia="Newsreader" w:hAnsi="Newsreader"/>
        </w:rPr>
        <w:t xml:space="preserve">. París.</w:t>
      </w:r>
    </w:p>
    <w:p>
      <w:r>
        <w:rPr>
          <w:rFonts w:ascii="Newsreader" w:cs="Newsreader" w:eastAsia="Newsreader" w:hAnsi="Newsreader"/>
        </w:rPr>
        <w:t xml:space="preserve">Stübel, Alphons y Max Uhle (1892). </w:t>
      </w:r>
      <w:r>
        <w:rPr>
          <w:rFonts w:ascii="Newsreader Italic" w:cs="Newsreader Italic" w:eastAsia="Newsreader Italic" w:hAnsi="Newsreader Italic"/>
        </w:rPr>
        <w:t xml:space="preserve">Die Ruinenstaette von Tiahuanaco im Hochlande des alten Peru</w:t>
      </w:r>
      <w:r>
        <w:rPr>
          <w:rFonts w:ascii="Newsreader" w:cs="Newsreader" w:eastAsia="Newsreader" w:hAnsi="Newsreader"/>
        </w:rPr>
        <w:t xml:space="preserve">. Leipzig: Hiersemann.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Villanueva Criales, Juan (2024). «Drunken Mountains: Analysis of the Bennett and Ponce Monoliths of Tiwanaku (AD 500–1100) from a Multispecies Perspective». </w:t>
      </w:r>
      <w:r>
        <w:rPr>
          <w:rFonts w:ascii="Newsreader Italic" w:cs="Newsreader Italic" w:eastAsia="Newsreader Italic" w:hAnsi="Newsreader Italic"/>
        </w:rPr>
        <w:t xml:space="preserve">Latin American Antiquity</w:t>
      </w:r>
      <w:r>
        <w:rPr>
          <w:rFonts w:ascii="Newsreader" w:cs="Newsreader" w:eastAsia="Newsreader" w:hAnsi="Newsreader"/>
        </w:rPr>
        <w:t xml:space="preserve">. DOI 10.1017/laq.2023.72.</w:t>
      </w:r>
    </w:p>
    <w:p>
      <w:r>
        <w:rPr>
          <w:rFonts w:ascii="Newsreader" w:cs="Newsreader" w:eastAsia="Newsreader" w:hAnsi="Newsreader"/>
        </w:rPr>
        <w:t xml:space="preserve">Watts Hughes, Margaret (1891). «Visible Sound: Voice-Figures». </w:t>
      </w:r>
      <w:r>
        <w:rPr>
          <w:rFonts w:ascii="Newsreader Italic" w:cs="Newsreader Italic" w:eastAsia="Newsreader Italic" w:hAnsi="Newsreader Italic"/>
        </w:rPr>
        <w:t xml:space="preserve">The Century Magazine</w:t>
      </w:r>
      <w:r>
        <w:rPr>
          <w:rFonts w:ascii="Newsreader" w:cs="Newsreader" w:eastAsia="Newsreader" w:hAnsi="Newsreader"/>
        </w:rPr>
        <w:t xml:space="preserve"> 42.</w:t>
      </w:r>
    </w:p>
    <w:p>
      <w:r>
        <w:rPr>
          <w:rFonts w:ascii="Newsreader" w:cs="Newsreader" w:eastAsia="Newsreader" w:hAnsi="Newsreader"/>
        </w:rPr>
        <w:t xml:space="preserve">Worthington, A. M. (1895). </w:t>
      </w:r>
      <w:r>
        <w:rPr>
          <w:rFonts w:ascii="Newsreader Italic" w:cs="Newsreader Italic" w:eastAsia="Newsreader Italic" w:hAnsi="Newsreader Italic"/>
        </w:rPr>
        <w:t xml:space="preserve">The Splash of a Drop</w:t>
      </w:r>
      <w:r>
        <w:rPr>
          <w:rFonts w:ascii="Newsreader" w:cs="Newsreader" w:eastAsia="Newsreader" w:hAnsi="Newsreader"/>
        </w:rPr>
        <w:t xml:space="preserve">. Londres.</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10</w:t>
      </w:r>
      <w:r>
        <w:rPr>
          <w:rFonts w:ascii="Newsreader" w:cs="Newsreader" w:eastAsia="Newsreader" w:hAnsi="Newsreader"/>
        </w:rPr>
        <w:t xml:space="preserve"> (la obra, las tesis, el sistema, la gramática, el taller, la migración, la ética, Posnansky, los nombres, las manos y las imágenes de dominio público),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w:t>
      </w:r>
      <w:r>
        <w:rPr>
          <w:rFonts w:ascii="Courier Prime" w:cs="Courier Prime" w:eastAsia="Courier Prime" w:hAnsi="Courier Prime"/>
          <w:sz w:val="18"/>
          <w:szCs w:val="18"/>
        </w:rPr>
        <w:t xml:space="preserve">aplicacion/</w:t>
      </w:r>
      <w:r>
        <w:rPr>
          <w:rFonts w:ascii="Newsreader" w:cs="Newsreader" w:eastAsia="Newsreader" w:hAnsi="Newsreader"/>
        </w:rPr>
        <w:t xml:space="preserve"> (la gramática en el navegador) y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póliza en OpenType).</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w:t>
      </w:r>
      <w:r>
        <w:rPr>
          <w:rFonts w:ascii="Courier Prime" w:cs="Courier Prime" w:eastAsia="Courier Prime" w:hAnsi="Courier Prime"/>
          <w:sz w:val="18"/>
          <w:szCs w:val="18"/>
        </w:rPr>
        <w:t xml:space="preserve">materia.py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tomando como modelo las versiones mejoradas de Joaquin Max Cuevas Ventura,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el aluminio, el grafito y el agua son filtros, no fotos.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831FDA4F-F9D1-7707-5F64-02ABCE038006}"/>
  </w:font>
  <w:font w:name="Newsreader Italic">
    <w:family w:val="auto"/>
    <w:pitch w:val="variable"/>
    <w:sig w:usb0="E0002AFF" w:usb1="C000247B" w:usb2="00000009" w:usb3="00000000" w:csb0="000001FF" w:csb1="00000000"/>
    <w:embedRegular r:id="rId2" w:fontKey="{FD3862BF-2472-61EE-5ACA-8BE2D26F7EAA}"/>
  </w:font>
  <w:font w:name="Newsreader Light">
    <w:family w:val="auto"/>
    <w:pitch w:val="variable"/>
    <w:sig w:usb0="E0002AFF" w:usb1="C000247B" w:usb2="00000009" w:usb3="00000000" w:csb0="000001FF" w:csb1="00000000"/>
    <w:embedRegular r:id="rId3" w:fontKey="{2F222723-F483-89CA-DB6F-467C88C1573C}"/>
  </w:font>
  <w:font w:name="Newsreader Light Italic">
    <w:family w:val="auto"/>
    <w:pitch w:val="variable"/>
    <w:sig w:usb0="E0002AFF" w:usb1="C000247B" w:usb2="00000009" w:usb3="00000000" w:csb0="000001FF" w:csb1="00000000"/>
    <w:embedRegular r:id="rId4" w:fontKey="{AF64797E-3E02-53FD-84B5-5A8559C38AB2}"/>
  </w:font>
  <w:font w:name="Newsreader Medium">
    <w:family w:val="auto"/>
    <w:pitch w:val="variable"/>
    <w:sig w:usb0="E0002AFF" w:usb1="C000247B" w:usb2="00000009" w:usb3="00000000" w:csb0="000001FF" w:csb1="00000000"/>
    <w:embedRegular r:id="rId5" w:fontKey="{6AD4A6BB-73A6-FFA2-6CED-9A659BC7BDD4}"/>
  </w:font>
  <w:font w:name="Courier Prime">
    <w:family w:val="auto"/>
    <w:pitch w:val="variable"/>
    <w:sig w:usb0="E0002AFF" w:usb1="C000247B" w:usb2="00000009" w:usb3="00000000" w:csb0="000001FF" w:csb1="00000000"/>
    <w:embedRegular r:id="rId6" w:fontKey="{A376FBEA-1CF6-6362-CABF-B68F14C0F36D}"/>
  </w:font>
  <w:font w:name="Courier Prime Bold">
    <w:family w:val="auto"/>
    <w:pitch w:val="variable"/>
    <w:sig w:usb0="E0002AFF" w:usb1="C000247B" w:usb2="00000009" w:usb3="00000000" w:csb0="000001FF" w:csb1="00000000"/>
    <w:embedRegular r:id="rId7" w:fontKey="{5A936085-7645-E53C-51D1-09E4760F7A6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01b133236b7ad7eea57d1efee7c2f671a0d232c1.png"/><Relationship Id="rId14" Type="http://schemas.openxmlformats.org/officeDocument/2006/relationships/image" Target="media/c5dade022b51bc635c5126c6e3f3315bc0c3bf0e.png"/><Relationship Id="rId15" Type="http://schemas.openxmlformats.org/officeDocument/2006/relationships/image" Target="media/4db3f7f5d7f0316f703f5edee0dd362c7e89c2db.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10c69fafdebacb2b35fae6079ec5575148e3a7b7.png"/><Relationship Id="rId19" Type="http://schemas.openxmlformats.org/officeDocument/2006/relationships/image" Target="media/308a9ebf2f92a207bd4b131be2b45e78d4fe3c59.jpg"/><Relationship Id="rId20" Type="http://schemas.openxmlformats.org/officeDocument/2006/relationships/image" Target="media/34fc6e263d1616e020dcd7d30d1ba64befe67da7.png"/><Relationship Id="rId21" Type="http://schemas.openxmlformats.org/officeDocument/2006/relationships/image" Target="media/04c416e5f7f6f5031d53fbe357b111799e57279c.png"/><Relationship Id="rId22" Type="http://schemas.openxmlformats.org/officeDocument/2006/relationships/image" Target="media/3a40363f737334dd361d97c29b1d04e70e6214c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2026-10-17T03:29:00.915Z</dcterms:created>
  <dcterms:modified xsi:type="dcterms:W3CDTF">2026-10-17T03:29:00.916Z</dcterms:modified>
</cp:coreProperties>
</file>

<file path=docProps/custom.xml><?xml version="1.0" encoding="utf-8"?>
<Properties xmlns="http://schemas.openxmlformats.org/officeDocument/2006/custom-properties" xmlns:vt="http://schemas.openxmlformats.org/officeDocument/2006/docPropsVTypes"/>
</file>