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83754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</w:rPr>
      </w:pPr>
      <w:r w:rsidRPr="00C27136">
        <w:rPr>
          <w:rFonts w:ascii="Times New Roman" w:eastAsia="Times New Roman" w:hAnsi="Times New Roman" w:cs="Times New Roman"/>
        </w:rPr>
        <w:fldChar w:fldCharType="begin"/>
      </w:r>
      <w:r w:rsidRPr="00C27136">
        <w:rPr>
          <w:rFonts w:ascii="Times New Roman" w:eastAsia="Times New Roman" w:hAnsi="Times New Roman" w:cs="Times New Roman"/>
        </w:rPr>
        <w:instrText xml:space="preserve"> INCLUDEPICTURE "/var/folders/r8/__nxk3y13nlc81qqdzt3fbyw0000gn/T/com.microsoft.Word/WebArchiveCopyPasteTempFiles/logo-universidad-panamericana.png" \* MERGEFORMATINET </w:instrText>
      </w:r>
      <w:r w:rsidRPr="00C27136">
        <w:rPr>
          <w:rFonts w:ascii="Times New Roman" w:eastAsia="Times New Roman" w:hAnsi="Times New Roman" w:cs="Times New Roman"/>
        </w:rPr>
        <w:fldChar w:fldCharType="separate"/>
      </w:r>
      <w:r w:rsidRPr="00C2713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806DD4" wp14:editId="190231DD">
            <wp:extent cx="2416208" cy="2112579"/>
            <wp:effectExtent l="0" t="0" r="0" b="0"/>
            <wp:docPr id="1" name="Picture 1" descr="Resultado de imagen para universidad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panamerica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91" cy="2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136">
        <w:rPr>
          <w:rFonts w:ascii="Times New Roman" w:eastAsia="Times New Roman" w:hAnsi="Times New Roman" w:cs="Times New Roman"/>
        </w:rPr>
        <w:fldChar w:fldCharType="end"/>
      </w:r>
    </w:p>
    <w:p w14:paraId="42BF879A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</w:rPr>
      </w:pPr>
    </w:p>
    <w:p w14:paraId="48C202F9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</w:rPr>
      </w:pPr>
    </w:p>
    <w:p w14:paraId="55F8F71A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</w:rPr>
      </w:pPr>
    </w:p>
    <w:p w14:paraId="4B2C88D2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C27136">
        <w:rPr>
          <w:rFonts w:ascii="Times New Roman" w:eastAsia="Times New Roman" w:hAnsi="Times New Roman" w:cs="Times New Roman"/>
          <w:sz w:val="40"/>
          <w:szCs w:val="40"/>
        </w:rPr>
        <w:t>Ricardo German Serrano Rodríguez</w:t>
      </w:r>
    </w:p>
    <w:p w14:paraId="0689BB1B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CDBB3FA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C27136">
        <w:rPr>
          <w:rFonts w:ascii="Times New Roman" w:eastAsia="Times New Roman" w:hAnsi="Times New Roman" w:cs="Times New Roman"/>
          <w:sz w:val="40"/>
          <w:szCs w:val="40"/>
        </w:rPr>
        <w:t>0192775</w:t>
      </w:r>
    </w:p>
    <w:p w14:paraId="43946E5D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05AB908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C27136">
        <w:rPr>
          <w:rFonts w:ascii="Times New Roman" w:eastAsia="Times New Roman" w:hAnsi="Times New Roman" w:cs="Times New Roman"/>
          <w:sz w:val="40"/>
          <w:szCs w:val="40"/>
        </w:rPr>
        <w:t>Joaquín Miranda Castro</w:t>
      </w:r>
    </w:p>
    <w:p w14:paraId="23793A2E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CB9BB1E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C27136">
        <w:rPr>
          <w:rFonts w:ascii="Times New Roman" w:eastAsia="Times New Roman" w:hAnsi="Times New Roman" w:cs="Times New Roman"/>
          <w:sz w:val="40"/>
          <w:szCs w:val="40"/>
        </w:rPr>
        <w:t>0192493</w:t>
      </w:r>
    </w:p>
    <w:p w14:paraId="7C4C67E1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A3A17DB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C27136">
        <w:rPr>
          <w:rFonts w:ascii="Times New Roman" w:eastAsia="Times New Roman" w:hAnsi="Times New Roman" w:cs="Times New Roman"/>
          <w:sz w:val="40"/>
          <w:szCs w:val="40"/>
        </w:rPr>
        <w:t xml:space="preserve">Juan Carlos </w:t>
      </w:r>
      <w:proofErr w:type="spellStart"/>
      <w:r w:rsidRPr="00C27136">
        <w:rPr>
          <w:rFonts w:ascii="Times New Roman" w:eastAsia="Times New Roman" w:hAnsi="Times New Roman" w:cs="Times New Roman"/>
          <w:sz w:val="40"/>
          <w:szCs w:val="40"/>
        </w:rPr>
        <w:t>Patrón</w:t>
      </w:r>
      <w:proofErr w:type="spellEnd"/>
      <w:r w:rsidRPr="00C2713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C27136">
        <w:rPr>
          <w:rFonts w:ascii="Times New Roman" w:eastAsia="Times New Roman" w:hAnsi="Times New Roman" w:cs="Times New Roman"/>
          <w:sz w:val="40"/>
          <w:szCs w:val="40"/>
        </w:rPr>
        <w:t>Ruano</w:t>
      </w:r>
      <w:proofErr w:type="spellEnd"/>
      <w:r w:rsidRPr="00C2713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1B1DC70" w14:textId="77777777" w:rsidR="00792DD7" w:rsidRPr="00C27136" w:rsidRDefault="00792DD7" w:rsidP="00792D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F629126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C27136">
        <w:rPr>
          <w:rFonts w:ascii="Times New Roman" w:eastAsia="Times New Roman" w:hAnsi="Times New Roman" w:cs="Times New Roman"/>
          <w:sz w:val="40"/>
          <w:szCs w:val="40"/>
        </w:rPr>
        <w:t>0194229</w:t>
      </w:r>
    </w:p>
    <w:p w14:paraId="63673E30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AC99A0C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B43AE4B" w14:textId="54835AA8" w:rsidR="00792DD7" w:rsidRDefault="00792DD7" w:rsidP="00792DD7">
      <w:pPr>
        <w:ind w:left="2880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C27136">
        <w:rPr>
          <w:rFonts w:ascii="Times New Roman" w:eastAsia="Times New Roman" w:hAnsi="Times New Roman" w:cs="Times New Roman"/>
          <w:sz w:val="40"/>
          <w:szCs w:val="40"/>
        </w:rPr>
        <w:t>Pruebas</w:t>
      </w:r>
      <w:proofErr w:type="spellEnd"/>
      <w:r w:rsidRPr="00C2713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C27136">
        <w:rPr>
          <w:rFonts w:ascii="Times New Roman" w:eastAsia="Times New Roman" w:hAnsi="Times New Roman" w:cs="Times New Roman"/>
          <w:sz w:val="40"/>
          <w:szCs w:val="40"/>
        </w:rPr>
        <w:t>automatizadas</w:t>
      </w:r>
      <w:proofErr w:type="spellEnd"/>
    </w:p>
    <w:p w14:paraId="4E39B7F8" w14:textId="77777777" w:rsidR="00792DD7" w:rsidRDefault="00792DD7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14:paraId="21F54D86" w14:textId="0E56BC94" w:rsidR="00792DD7" w:rsidRDefault="00792DD7" w:rsidP="00792D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Release Notes Version 1.</w:t>
      </w:r>
      <w:r>
        <w:rPr>
          <w:b/>
          <w:bCs/>
          <w:sz w:val="32"/>
          <w:szCs w:val="32"/>
        </w:rPr>
        <w:t>1</w:t>
      </w:r>
    </w:p>
    <w:p w14:paraId="1932FF93" w14:textId="308D442C" w:rsidR="0040466C" w:rsidRDefault="0040466C" w:rsidP="00792DD7">
      <w:pPr>
        <w:ind w:left="2880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2420"/>
        <w:gridCol w:w="2420"/>
        <w:gridCol w:w="2420"/>
      </w:tblGrid>
      <w:tr w:rsidR="00792DD7" w:rsidRPr="00792DD7" w14:paraId="2333D387" w14:textId="77777777" w:rsidTr="00792DD7">
        <w:trPr>
          <w:trHeight w:val="255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2A4C06A" w14:textId="77777777" w:rsidR="00792DD7" w:rsidRPr="00792DD7" w:rsidRDefault="00792DD7" w:rsidP="00792D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2D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9BE6E6" w:fill="9BE6E6"/>
            <w:vAlign w:val="bottom"/>
            <w:hideMark/>
          </w:tcPr>
          <w:p w14:paraId="75766950" w14:textId="77777777" w:rsidR="00792DD7" w:rsidRPr="00792DD7" w:rsidRDefault="00792DD7" w:rsidP="00792DD7">
            <w:pPr>
              <w:jc w:val="center"/>
              <w:rPr>
                <w:rFonts w:ascii="Droid sans" w:eastAsia="Times New Roman" w:hAnsi="Droid sans" w:cs="Arial"/>
                <w:color w:val="000000"/>
                <w:sz w:val="20"/>
                <w:szCs w:val="20"/>
              </w:rPr>
            </w:pPr>
            <w:r w:rsidRPr="00792DD7">
              <w:rPr>
                <w:rFonts w:ascii="Droid sans" w:eastAsia="Times New Roman" w:hAnsi="Droid sans" w:cs="Arial"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5E0B3" w:fill="C5E0B3"/>
            <w:vAlign w:val="bottom"/>
            <w:hideMark/>
          </w:tcPr>
          <w:p w14:paraId="5AB314DA" w14:textId="77777777" w:rsidR="00792DD7" w:rsidRPr="00792DD7" w:rsidRDefault="00792DD7" w:rsidP="00792DD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2D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Cases </w:t>
            </w:r>
          </w:p>
        </w:tc>
      </w:tr>
      <w:tr w:rsidR="00792DD7" w:rsidRPr="00792DD7" w14:paraId="5113D5B4" w14:textId="77777777" w:rsidTr="00792DD7">
        <w:trPr>
          <w:trHeight w:val="255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6469DD7" w14:textId="77777777" w:rsidR="00792DD7" w:rsidRPr="00792DD7" w:rsidRDefault="00792DD7" w:rsidP="00792D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2D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21F2A2" w14:textId="77777777" w:rsidR="00792DD7" w:rsidRPr="00792DD7" w:rsidRDefault="00792DD7" w:rsidP="00792DD7">
            <w:pPr>
              <w:rPr>
                <w:rFonts w:ascii="Droid sans" w:eastAsia="Times New Roman" w:hAnsi="Droid sans" w:cs="Arial"/>
                <w:color w:val="000000"/>
                <w:sz w:val="20"/>
                <w:szCs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660D29" w14:textId="77777777" w:rsidR="00792DD7" w:rsidRPr="00792DD7" w:rsidRDefault="00792DD7" w:rsidP="00792D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92DD7" w:rsidRPr="00792DD7" w14:paraId="112A8249" w14:textId="77777777" w:rsidTr="00792DD7">
        <w:trPr>
          <w:trHeight w:val="255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DFB3" w:fill="DADFB3"/>
            <w:vAlign w:val="bottom"/>
            <w:hideMark/>
          </w:tcPr>
          <w:p w14:paraId="00FA453E" w14:textId="77777777" w:rsidR="00792DD7" w:rsidRPr="00792DD7" w:rsidRDefault="00792DD7" w:rsidP="00792DD7">
            <w:pPr>
              <w:jc w:val="center"/>
              <w:rPr>
                <w:rFonts w:ascii="Droid sans" w:eastAsia="Times New Roman" w:hAnsi="Droid sans" w:cs="Arial"/>
                <w:b/>
                <w:bCs/>
                <w:color w:val="000000"/>
                <w:sz w:val="20"/>
                <w:szCs w:val="20"/>
              </w:rPr>
            </w:pPr>
            <w:r w:rsidRPr="00792DD7">
              <w:rPr>
                <w:rFonts w:ascii="Droid sans" w:eastAsia="Times New Roman" w:hAnsi="Droid sans" w:cs="Arial"/>
                <w:b/>
                <w:bCs/>
                <w:color w:val="000000"/>
                <w:sz w:val="20"/>
                <w:szCs w:val="20"/>
              </w:rPr>
              <w:t>Passed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C3F0FC0" w14:textId="77777777" w:rsidR="00792DD7" w:rsidRPr="00792DD7" w:rsidRDefault="00792DD7" w:rsidP="00792DD7">
            <w:pPr>
              <w:jc w:val="center"/>
              <w:rPr>
                <w:rFonts w:ascii="Droid sans" w:eastAsia="Times New Roman" w:hAnsi="Droid sans" w:cs="Arial"/>
                <w:color w:val="000000"/>
                <w:sz w:val="20"/>
                <w:szCs w:val="20"/>
              </w:rPr>
            </w:pPr>
            <w:r w:rsidRPr="00792DD7">
              <w:rPr>
                <w:rFonts w:ascii="Droid sans" w:eastAsia="Times New Roman" w:hAnsi="Droid sans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A4C0361" w14:textId="77777777" w:rsidR="00792DD7" w:rsidRPr="00792DD7" w:rsidRDefault="00792DD7" w:rsidP="00792DD7">
            <w:pPr>
              <w:jc w:val="center"/>
              <w:rPr>
                <w:rFonts w:ascii="Droid sans" w:eastAsia="Times New Roman" w:hAnsi="Droid sans" w:cs="Arial"/>
                <w:color w:val="000000"/>
                <w:sz w:val="20"/>
                <w:szCs w:val="20"/>
              </w:rPr>
            </w:pPr>
            <w:r w:rsidRPr="00792DD7">
              <w:rPr>
                <w:rFonts w:ascii="Droid sans" w:eastAsia="Times New Roman" w:hAnsi="Droid sans" w:cs="Arial"/>
                <w:color w:val="000000"/>
                <w:sz w:val="20"/>
                <w:szCs w:val="20"/>
              </w:rPr>
              <w:t>53</w:t>
            </w:r>
          </w:p>
        </w:tc>
      </w:tr>
      <w:tr w:rsidR="00792DD7" w:rsidRPr="00792DD7" w14:paraId="7F124C07" w14:textId="77777777" w:rsidTr="00792DD7">
        <w:trPr>
          <w:trHeight w:val="255"/>
        </w:trPr>
        <w:tc>
          <w:tcPr>
            <w:tcW w:w="2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6173" w:fill="FF6173"/>
            <w:vAlign w:val="bottom"/>
            <w:hideMark/>
          </w:tcPr>
          <w:p w14:paraId="26D4E4D1" w14:textId="77777777" w:rsidR="00792DD7" w:rsidRPr="00792DD7" w:rsidRDefault="00792DD7" w:rsidP="00792DD7">
            <w:pPr>
              <w:jc w:val="center"/>
              <w:rPr>
                <w:rFonts w:ascii="Droid sans" w:eastAsia="Times New Roman" w:hAnsi="Droid sans" w:cs="Arial"/>
                <w:b/>
                <w:bCs/>
                <w:color w:val="000000"/>
                <w:sz w:val="20"/>
                <w:szCs w:val="20"/>
              </w:rPr>
            </w:pPr>
            <w:r w:rsidRPr="00792DD7">
              <w:rPr>
                <w:rFonts w:ascii="Droid sans" w:eastAsia="Times New Roman" w:hAnsi="Droid sans" w:cs="Arial"/>
                <w:b/>
                <w:bCs/>
                <w:color w:val="000000"/>
                <w:sz w:val="20"/>
                <w:szCs w:val="20"/>
              </w:rPr>
              <w:t>Failed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05AE58A" w14:textId="77777777" w:rsidR="00792DD7" w:rsidRPr="00792DD7" w:rsidRDefault="00792DD7" w:rsidP="00792DD7">
            <w:pPr>
              <w:jc w:val="center"/>
              <w:rPr>
                <w:rFonts w:ascii="Droid sans" w:eastAsia="Times New Roman" w:hAnsi="Droid sans" w:cs="Arial"/>
                <w:color w:val="000000"/>
                <w:sz w:val="20"/>
                <w:szCs w:val="20"/>
              </w:rPr>
            </w:pPr>
            <w:r w:rsidRPr="00792DD7">
              <w:rPr>
                <w:rFonts w:ascii="Droid sans" w:eastAsia="Times New Roman" w:hAnsi="Droid sans" w:cs="Arial"/>
                <w:color w:val="000000"/>
                <w:sz w:val="20"/>
                <w:szCs w:val="20"/>
              </w:rPr>
              <w:t>0%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A24C124" w14:textId="77777777" w:rsidR="00792DD7" w:rsidRPr="00792DD7" w:rsidRDefault="00792DD7" w:rsidP="00792DD7">
            <w:pPr>
              <w:jc w:val="center"/>
              <w:rPr>
                <w:rFonts w:ascii="Droid sans" w:eastAsia="Times New Roman" w:hAnsi="Droid sans" w:cs="Arial"/>
                <w:color w:val="000000"/>
                <w:sz w:val="20"/>
                <w:szCs w:val="20"/>
              </w:rPr>
            </w:pPr>
            <w:r w:rsidRPr="00792DD7">
              <w:rPr>
                <w:rFonts w:ascii="Droid sans" w:eastAsia="Times New Roman" w:hAnsi="Droid sans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367D0D9F" w14:textId="73555867" w:rsidR="00792DD7" w:rsidRDefault="00792DD7" w:rsidP="00792DD7">
      <w:pPr>
        <w:ind w:left="2880"/>
      </w:pPr>
    </w:p>
    <w:p w14:paraId="2C2D5B09" w14:textId="630A263C" w:rsidR="00792DD7" w:rsidRDefault="00792DD7" w:rsidP="00792DD7">
      <w:pPr>
        <w:ind w:left="2880"/>
      </w:pPr>
    </w:p>
    <w:p w14:paraId="1769ADF5" w14:textId="6507C599" w:rsidR="00792DD7" w:rsidRDefault="00792DD7" w:rsidP="00792DD7">
      <w:r>
        <w:rPr>
          <w:noProof/>
        </w:rPr>
        <w:drawing>
          <wp:inline distT="0" distB="0" distL="0" distR="0" wp14:anchorId="05700EDF" wp14:editId="36F738C2">
            <wp:extent cx="5169877" cy="3282462"/>
            <wp:effectExtent l="0" t="0" r="12065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3467C7" w14:textId="5136D367" w:rsidR="00792DD7" w:rsidRDefault="00792DD7" w:rsidP="00792DD7"/>
    <w:p w14:paraId="758BC8F0" w14:textId="6543BBF0" w:rsidR="00792DD7" w:rsidRDefault="00792DD7" w:rsidP="00792DD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During this sprint the all of the test cases that were executed on the current build passed. Three regression tests were executed. </w:t>
      </w:r>
      <w:r w:rsidR="00CB17D1">
        <w:rPr>
          <w:rFonts w:ascii="Times New Roman" w:hAnsi="Times New Roman" w:cs="Times New Roman"/>
          <w:sz w:val="22"/>
          <w:szCs w:val="22"/>
        </w:rPr>
        <w:t xml:space="preserve">During the first regression tests the ADB call method failed which caused all of the test cases ranging from TC05 – TC18 to fail, the ADB call method was then replaced. During the second </w:t>
      </w:r>
      <w:r w:rsidR="00CB17D1">
        <w:rPr>
          <w:rFonts w:ascii="Times New Roman" w:hAnsi="Times New Roman" w:cs="Times New Roman"/>
          <w:sz w:val="22"/>
          <w:szCs w:val="22"/>
        </w:rPr>
        <w:t xml:space="preserve">regression tests </w:t>
      </w:r>
      <w:r w:rsidR="00CB17D1">
        <w:rPr>
          <w:rFonts w:ascii="Times New Roman" w:hAnsi="Times New Roman" w:cs="Times New Roman"/>
          <w:sz w:val="22"/>
          <w:szCs w:val="22"/>
        </w:rPr>
        <w:t>the previous test cases regarding the ADB call method now passed, however three test cases regarding the calculator app failed due to a test log issue. After further modifications during the last regression test 100% of the test cases passed.</w:t>
      </w:r>
    </w:p>
    <w:p w14:paraId="75D512A0" w14:textId="265D6C31" w:rsidR="00792DD7" w:rsidRDefault="00792DD7" w:rsidP="00792DD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90C5044" w14:textId="187030F3" w:rsidR="00CB17D1" w:rsidRDefault="00CB17D1" w:rsidP="00792DD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3129180" w14:textId="1A64B052" w:rsidR="00CB17D1" w:rsidRDefault="00CB17D1" w:rsidP="00792DD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3CD04F2" w14:textId="0B437283" w:rsidR="00CB17D1" w:rsidRDefault="00CB17D1" w:rsidP="00792DD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58CC0B7" w14:textId="77777777" w:rsidR="00CB17D1" w:rsidRDefault="00CB17D1" w:rsidP="00792DD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21D2029" w14:textId="77777777" w:rsidR="00792DD7" w:rsidRPr="008E770C" w:rsidRDefault="00792DD7" w:rsidP="00792DD7">
      <w:pPr>
        <w:pStyle w:val="Heading5"/>
        <w:spacing w:line="480" w:lineRule="auto"/>
        <w:ind w:left="0"/>
      </w:pPr>
      <w:r>
        <w:rPr>
          <w:b/>
          <w:sz w:val="24"/>
        </w:rPr>
        <w:t>Evaluation</w:t>
      </w:r>
    </w:p>
    <w:p w14:paraId="508F706C" w14:textId="41AABB2A" w:rsidR="00792DD7" w:rsidRDefault="00792DD7" w:rsidP="00792DD7">
      <w:pPr>
        <w:pStyle w:val="Heading5"/>
        <w:spacing w:line="480" w:lineRule="auto"/>
        <w:ind w:left="709"/>
        <w:jc w:val="both"/>
      </w:pPr>
      <w:r>
        <w:rPr>
          <w:szCs w:val="22"/>
        </w:rPr>
        <w:t>The android testing framework (v1.</w:t>
      </w:r>
      <w:r w:rsidR="00CB17D1">
        <w:rPr>
          <w:szCs w:val="22"/>
        </w:rPr>
        <w:t>1</w:t>
      </w:r>
      <w:r>
        <w:rPr>
          <w:szCs w:val="22"/>
        </w:rPr>
        <w:t>) underwent comprehensive testing</w:t>
      </w:r>
      <w:r w:rsidR="00CB17D1">
        <w:rPr>
          <w:szCs w:val="22"/>
        </w:rPr>
        <w:t xml:space="preserve"> with several bugs and issues being observed</w:t>
      </w:r>
      <w:r>
        <w:rPr>
          <w:szCs w:val="22"/>
        </w:rPr>
        <w:t xml:space="preserve">. </w:t>
      </w:r>
      <w:r>
        <w:t>Test cases were created and executed to evaluate each of functionalities added to the framework.  Correction and re</w:t>
      </w:r>
      <w:r w:rsidR="00CB17D1">
        <w:t xml:space="preserve">gression </w:t>
      </w:r>
      <w:r>
        <w:t xml:space="preserve">testing </w:t>
      </w:r>
      <w:r w:rsidR="00CB17D1">
        <w:t xml:space="preserve">were conducted during this sprint which </w:t>
      </w:r>
      <w:r w:rsidR="00E10E12">
        <w:t xml:space="preserve">ultimately </w:t>
      </w:r>
      <w:r w:rsidR="00CB17D1">
        <w:t>allowed 100% of the test cases to pass</w:t>
      </w:r>
      <w:r>
        <w:t xml:space="preserve">.  The current state of the framework is of acceptable use </w:t>
      </w:r>
      <w:r w:rsidR="00CB17D1">
        <w:t>and is allowed to continue to the following stage of development.</w:t>
      </w:r>
    </w:p>
    <w:p w14:paraId="326E64B6" w14:textId="77777777" w:rsidR="00CB17D1" w:rsidRPr="00EA03E9" w:rsidRDefault="00CB17D1" w:rsidP="00CB17D1">
      <w:pPr>
        <w:pStyle w:val="Heading5"/>
        <w:spacing w:line="480" w:lineRule="auto"/>
        <w:ind w:left="0"/>
      </w:pPr>
      <w:r>
        <w:rPr>
          <w:b/>
          <w:sz w:val="24"/>
        </w:rPr>
        <w:t xml:space="preserve">Exit Criteria </w:t>
      </w:r>
    </w:p>
    <w:p w14:paraId="501A5D1A" w14:textId="77777777" w:rsidR="00CB17D1" w:rsidRDefault="00CB17D1" w:rsidP="00CB17D1">
      <w:pPr>
        <w:pStyle w:val="Heading5"/>
        <w:numPr>
          <w:ilvl w:val="0"/>
          <w:numId w:val="2"/>
        </w:numPr>
        <w:spacing w:line="480" w:lineRule="auto"/>
        <w:jc w:val="both"/>
      </w:pPr>
      <w:r>
        <w:t xml:space="preserve">All of the test cases created must be executed </w:t>
      </w:r>
    </w:p>
    <w:p w14:paraId="1E72971F" w14:textId="2D1C5096" w:rsidR="00CB17D1" w:rsidRDefault="00CB17D1" w:rsidP="00CB17D1">
      <w:pPr>
        <w:pStyle w:val="Heading5"/>
        <w:numPr>
          <w:ilvl w:val="0"/>
          <w:numId w:val="2"/>
        </w:numPr>
        <w:spacing w:line="480" w:lineRule="auto"/>
        <w:jc w:val="both"/>
      </w:pPr>
      <w:r>
        <w:t xml:space="preserve">All of the defects in Critical severity should be verified and closed </w:t>
      </w:r>
    </w:p>
    <w:p w14:paraId="324C598B" w14:textId="3613F52D" w:rsidR="00CB17D1" w:rsidRDefault="00CB17D1" w:rsidP="00CB17D1">
      <w:pPr>
        <w:pStyle w:val="Heading5"/>
        <w:numPr>
          <w:ilvl w:val="0"/>
          <w:numId w:val="0"/>
        </w:numPr>
        <w:spacing w:line="480" w:lineRule="auto"/>
        <w:ind w:left="1069"/>
        <w:jc w:val="both"/>
      </w:pPr>
    </w:p>
    <w:p w14:paraId="1503A12C" w14:textId="77777777" w:rsidR="00CB17D1" w:rsidRDefault="00CB17D1" w:rsidP="00CB17D1">
      <w:pPr>
        <w:pStyle w:val="Heading5"/>
        <w:spacing w:line="480" w:lineRule="auto"/>
        <w:ind w:left="0"/>
      </w:pPr>
      <w:r>
        <w:rPr>
          <w:b/>
          <w:sz w:val="24"/>
        </w:rPr>
        <w:t>Conclusion</w:t>
      </w:r>
    </w:p>
    <w:p w14:paraId="474ACE4E" w14:textId="3E1D3AE1" w:rsidR="00CB17D1" w:rsidRDefault="00CB17D1" w:rsidP="00CB17D1">
      <w:pPr>
        <w:pStyle w:val="Heading5"/>
        <w:numPr>
          <w:ilvl w:val="0"/>
          <w:numId w:val="0"/>
        </w:numPr>
        <w:spacing w:line="480" w:lineRule="auto"/>
        <w:jc w:val="both"/>
      </w:pPr>
      <w:r>
        <w:t xml:space="preserve">As the exit criteria were met the framework is suggested to continue to the next development phase. </w:t>
      </w:r>
      <w:r>
        <w:t xml:space="preserve">No bugs or issues present a risk </w:t>
      </w:r>
      <w:r>
        <w:t>the framework system as a whole. The issue</w:t>
      </w:r>
      <w:r>
        <w:t>s that were presented were logged</w:t>
      </w:r>
      <w:r w:rsidR="00E10E12">
        <w:t xml:space="preserve">, </w:t>
      </w:r>
      <w:r>
        <w:t>raised</w:t>
      </w:r>
      <w:r w:rsidR="00E10E12">
        <w:t>, and resolved</w:t>
      </w:r>
      <w:r>
        <w:t>.</w:t>
      </w:r>
    </w:p>
    <w:p w14:paraId="36B1845C" w14:textId="77777777" w:rsidR="00CB17D1" w:rsidRDefault="00CB17D1" w:rsidP="00CB17D1">
      <w:pPr>
        <w:pStyle w:val="Heading5"/>
        <w:numPr>
          <w:ilvl w:val="0"/>
          <w:numId w:val="0"/>
        </w:numPr>
        <w:spacing w:line="480" w:lineRule="auto"/>
        <w:jc w:val="both"/>
      </w:pPr>
    </w:p>
    <w:p w14:paraId="041EF374" w14:textId="77777777" w:rsidR="00CB17D1" w:rsidRPr="005B3FFB" w:rsidRDefault="00CB17D1" w:rsidP="00792DD7">
      <w:pPr>
        <w:pStyle w:val="Heading5"/>
        <w:spacing w:line="480" w:lineRule="auto"/>
        <w:ind w:left="709"/>
        <w:jc w:val="both"/>
      </w:pPr>
    </w:p>
    <w:p w14:paraId="5FEDB5CF" w14:textId="0EA89E7E" w:rsidR="00792DD7" w:rsidRDefault="00792DD7" w:rsidP="00792DD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8E770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F590503" w14:textId="5C05A73D" w:rsidR="00792DD7" w:rsidRDefault="00792DD7" w:rsidP="00792DD7"/>
    <w:sectPr w:rsidR="00792DD7" w:rsidSect="00E7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89A065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296" w:firstLine="0"/>
      </w:pPr>
      <w:rPr>
        <w:rFonts w:hint="default"/>
        <w:lang w:val="en-GB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0"/>
        </w:tabs>
        <w:ind w:left="1872" w:hanging="576"/>
      </w:pPr>
      <w:rPr>
        <w:rFonts w:hint="default"/>
      </w:rPr>
    </w:lvl>
    <w:lvl w:ilvl="6">
      <w:start w:val="1"/>
      <w:numFmt w:val="lowerRoman"/>
      <w:pStyle w:val="Heading7"/>
      <w:lvlText w:val="%7)"/>
      <w:lvlJc w:val="left"/>
      <w:pPr>
        <w:tabs>
          <w:tab w:val="num" w:pos="0"/>
        </w:tabs>
        <w:ind w:left="2304" w:hanging="432"/>
      </w:pPr>
      <w:rPr>
        <w:rFonts w:hint="default"/>
      </w:rPr>
    </w:lvl>
    <w:lvl w:ilvl="7">
      <w:start w:val="1"/>
      <w:numFmt w:val="none"/>
      <w:pStyle w:val="Heading8"/>
      <w:lvlText w:val="-"/>
      <w:lvlJc w:val="left"/>
      <w:pPr>
        <w:tabs>
          <w:tab w:val="num" w:pos="0"/>
        </w:tabs>
        <w:ind w:left="2592" w:hanging="288"/>
      </w:pPr>
      <w:rPr>
        <w:rFonts w:hint="default"/>
      </w:rPr>
    </w:lvl>
    <w:lvl w:ilvl="8">
      <w:start w:val="1"/>
      <w:numFmt w:val="decimal"/>
      <w:pStyle w:val="Heading9"/>
      <w:lvlText w:val="%9)"/>
      <w:lvlJc w:val="left"/>
      <w:pPr>
        <w:tabs>
          <w:tab w:val="num" w:pos="0"/>
        </w:tabs>
        <w:ind w:left="1872" w:hanging="576"/>
      </w:pPr>
      <w:rPr>
        <w:rFonts w:hint="default"/>
      </w:rPr>
    </w:lvl>
  </w:abstractNum>
  <w:abstractNum w:abstractNumId="1" w15:restartNumberingAfterBreak="0">
    <w:nsid w:val="64E9171C"/>
    <w:multiLevelType w:val="hybridMultilevel"/>
    <w:tmpl w:val="A7F4B86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D7"/>
    <w:rsid w:val="0040466C"/>
    <w:rsid w:val="00792DD7"/>
    <w:rsid w:val="00CB17D1"/>
    <w:rsid w:val="00E10E12"/>
    <w:rsid w:val="00E7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8DDA5"/>
  <w15:chartTrackingRefBased/>
  <w15:docId w15:val="{F0A89F5C-FB25-1747-8327-B5FD9F86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D7"/>
  </w:style>
  <w:style w:type="paragraph" w:styleId="Heading1">
    <w:name w:val="heading 1"/>
    <w:basedOn w:val="Normal"/>
    <w:link w:val="Heading1Char"/>
    <w:qFormat/>
    <w:rsid w:val="00792DD7"/>
    <w:pPr>
      <w:numPr>
        <w:numId w:val="1"/>
      </w:numPr>
      <w:spacing w:before="120" w:after="120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2">
    <w:name w:val="heading 2"/>
    <w:basedOn w:val="Normal"/>
    <w:link w:val="Heading2Char"/>
    <w:qFormat/>
    <w:rsid w:val="00792DD7"/>
    <w:pPr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3">
    <w:name w:val="heading 3"/>
    <w:basedOn w:val="Normal"/>
    <w:link w:val="Heading3Char"/>
    <w:qFormat/>
    <w:rsid w:val="00792DD7"/>
    <w:pPr>
      <w:numPr>
        <w:ilvl w:val="2"/>
        <w:numId w:val="1"/>
      </w:numPr>
      <w:spacing w:before="120" w:after="120"/>
      <w:outlineLvl w:val="2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Heading4">
    <w:name w:val="heading 4"/>
    <w:basedOn w:val="Normal"/>
    <w:link w:val="Heading4Char"/>
    <w:qFormat/>
    <w:rsid w:val="00792DD7"/>
    <w:pPr>
      <w:numPr>
        <w:ilvl w:val="3"/>
        <w:numId w:val="1"/>
      </w:numPr>
      <w:outlineLvl w:val="3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5">
    <w:name w:val="heading 5"/>
    <w:basedOn w:val="Normal"/>
    <w:link w:val="Heading5Char"/>
    <w:qFormat/>
    <w:rsid w:val="00792DD7"/>
    <w:pPr>
      <w:numPr>
        <w:ilvl w:val="4"/>
        <w:numId w:val="1"/>
      </w:numPr>
      <w:spacing w:after="120"/>
      <w:outlineLvl w:val="4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6">
    <w:name w:val="heading 6"/>
    <w:basedOn w:val="Normal"/>
    <w:link w:val="Heading6Char"/>
    <w:qFormat/>
    <w:rsid w:val="00792DD7"/>
    <w:pPr>
      <w:numPr>
        <w:ilvl w:val="5"/>
        <w:numId w:val="1"/>
      </w:numPr>
      <w:spacing w:after="120"/>
      <w:outlineLvl w:val="5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7">
    <w:name w:val="heading 7"/>
    <w:basedOn w:val="Normal"/>
    <w:link w:val="Heading7Char"/>
    <w:qFormat/>
    <w:rsid w:val="00792DD7"/>
    <w:pPr>
      <w:numPr>
        <w:ilvl w:val="6"/>
        <w:numId w:val="1"/>
      </w:numPr>
      <w:spacing w:after="120"/>
      <w:outlineLvl w:val="6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8">
    <w:name w:val="heading 8"/>
    <w:basedOn w:val="Normal"/>
    <w:link w:val="Heading8Char"/>
    <w:qFormat/>
    <w:rsid w:val="00792DD7"/>
    <w:pPr>
      <w:numPr>
        <w:ilvl w:val="7"/>
        <w:numId w:val="1"/>
      </w:numPr>
      <w:spacing w:after="120"/>
      <w:outlineLvl w:val="7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9">
    <w:name w:val="heading 9"/>
    <w:basedOn w:val="Normal"/>
    <w:link w:val="Heading9Char"/>
    <w:qFormat/>
    <w:rsid w:val="00792DD7"/>
    <w:pPr>
      <w:numPr>
        <w:ilvl w:val="8"/>
        <w:numId w:val="1"/>
      </w:numPr>
      <w:spacing w:after="120"/>
      <w:outlineLvl w:val="8"/>
    </w:pPr>
    <w:rPr>
      <w:rFonts w:ascii="Times New Roman" w:eastAsia="Times New Roman" w:hAnsi="Times New Roman" w:cs="Times New Roman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DD7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92DD7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792DD7"/>
    <w:rPr>
      <w:rFonts w:ascii="Times New Roman" w:eastAsia="Times New Roman" w:hAnsi="Times New Roman" w:cs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charliepatron/Documents/QA%20Test%20Cases%20fin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400" b="0" i="0">
                <a:solidFill>
                  <a:srgbClr val="757575"/>
                </a:solidFill>
                <a:latin typeface="+mn-lt"/>
              </a:defRPr>
            </a:pPr>
            <a:r>
              <a:rPr lang="en-US"/>
              <a:t>Results</a:t>
            </a:r>
          </a:p>
        </c:rich>
      </c:tx>
      <c:overlay val="0"/>
    </c:title>
    <c:autoTitleDeleted val="0"/>
    <c:view3D>
      <c:rotX val="50"/>
      <c:rotY val="0"/>
      <c:rAngAx val="1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</c:spPr>
            <c:extLst>
              <c:ext xmlns:c16="http://schemas.microsoft.com/office/drawing/2014/chart" uri="{C3380CC4-5D6E-409C-BE32-E72D297353CC}">
                <c16:uniqueId val="{00000001-57FE-914E-8A05-3F783DE2AFF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</c:spPr>
            <c:extLst>
              <c:ext xmlns:c16="http://schemas.microsoft.com/office/drawing/2014/chart" uri="{C3380CC4-5D6E-409C-BE32-E72D297353CC}">
                <c16:uniqueId val="{00000003-57FE-914E-8A05-3F783DE2AFF5}"/>
              </c:ext>
            </c:extLst>
          </c:dPt>
          <c:cat>
            <c:strRef>
              <c:f>'Test Cases'!$J$6:$J$7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'Test Cases'!$K$6:$K$7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7FE-914E-8A05-3F783DE2AFF5}"/>
            </c:ext>
          </c:extLst>
        </c:ser>
        <c:ser>
          <c:idx val="1"/>
          <c:order val="1"/>
          <c:tx>
            <c:strRef>
              <c:f>'Test Cases'!$K$4:$K$5</c:f>
              <c:strCache>
                <c:ptCount val="2"/>
                <c:pt idx="0">
                  <c:v>Percentage</c:v>
                </c:pt>
              </c:strCache>
            </c:strRef>
          </c:tx>
          <c:cat>
            <c:strRef>
              <c:f>'Test Cases'!$J$6:$J$7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'Test Cases'!$K$6:$K$7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7FE-914E-8A05-3F783DE2AFF5}"/>
            </c:ext>
          </c:extLst>
        </c:ser>
        <c:ser>
          <c:idx val="2"/>
          <c:order val="2"/>
          <c:tx>
            <c:strRef>
              <c:f>'Test Cases'!$L$4:$L$5</c:f>
              <c:strCache>
                <c:ptCount val="2"/>
                <c:pt idx="0">
                  <c:v>Test Cases </c:v>
                </c:pt>
              </c:strCache>
            </c:strRef>
          </c:tx>
          <c:cat>
            <c:strRef>
              <c:f>'Test Cases'!$J$6:$J$7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'Test Cases'!$L$6:$L$7</c:f>
              <c:numCache>
                <c:formatCode>General</c:formatCode>
                <c:ptCount val="2"/>
                <c:pt idx="0">
                  <c:v>53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7FE-914E-8A05-3F783DE2AF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layout>
        <c:manualLayout>
          <c:xMode val="edge"/>
          <c:yMode val="edge"/>
          <c:x val="0.27946234241572365"/>
          <c:y val="0.8973467933995376"/>
        </c:manualLayout>
      </c:layout>
      <c:overlay val="0"/>
      <c:txPr>
        <a:bodyPr/>
        <a:lstStyle/>
        <a:p>
          <a:pPr lvl="0">
            <a:defRPr sz="2000" b="0" i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Patron</dc:creator>
  <cp:keywords/>
  <dc:description/>
  <cp:lastModifiedBy>Juan Patron</cp:lastModifiedBy>
  <cp:revision>1</cp:revision>
  <dcterms:created xsi:type="dcterms:W3CDTF">2020-05-12T01:13:00Z</dcterms:created>
  <dcterms:modified xsi:type="dcterms:W3CDTF">2020-05-12T01:39:00Z</dcterms:modified>
</cp:coreProperties>
</file>