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9D320" w14:textId="77777777" w:rsidR="00B82A2F" w:rsidRDefault="00000000">
      <w:pPr>
        <w:spacing w:after="40"/>
      </w:pPr>
      <w:r>
        <w:rPr>
          <w:rFonts w:ascii="Calibri" w:hAnsi="Calibri"/>
          <w:b/>
          <w:color w:val="D99B00"/>
          <w:sz w:val="20"/>
        </w:rPr>
        <w:t>DUOC UC – ESCUELA DE INFORMÁTICA Y TELECOMUNICACIONES</w:t>
      </w:r>
      <w:r>
        <w:rPr>
          <w:rFonts w:ascii="Calibri" w:hAnsi="Calibri"/>
          <w:b/>
          <w:color w:val="D99B00"/>
          <w:sz w:val="20"/>
        </w:rPr>
        <w:br/>
      </w:r>
      <w:r>
        <w:rPr>
          <w:rFonts w:ascii="Calibri" w:hAnsi="Calibri"/>
          <w:b/>
          <w:color w:val="0A2540"/>
          <w:sz w:val="36"/>
        </w:rPr>
        <w:t>Guía 2: Desarrollo Proyecto APT – Asignatura Capstone</w:t>
      </w:r>
    </w:p>
    <w:tbl>
      <w:tblPr>
        <w:tblW w:w="0" w:type="auto"/>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ook w:val="04A0" w:firstRow="1" w:lastRow="0" w:firstColumn="1" w:lastColumn="0" w:noHBand="0" w:noVBand="1"/>
      </w:tblPr>
      <w:tblGrid>
        <w:gridCol w:w="3168"/>
        <w:gridCol w:w="7056"/>
      </w:tblGrid>
      <w:tr w:rsidR="00B82A2F" w14:paraId="7D3CB2D1" w14:textId="77777777">
        <w:trPr>
          <w:jc w:val="center"/>
        </w:trPr>
        <w:tc>
          <w:tcPr>
            <w:tcW w:w="3168" w:type="dxa"/>
            <w:shd w:val="clear" w:color="auto" w:fill="F4F6F9"/>
            <w:tcMar>
              <w:top w:w="70" w:type="dxa"/>
              <w:left w:w="120" w:type="dxa"/>
              <w:bottom w:w="70" w:type="dxa"/>
              <w:right w:w="120" w:type="dxa"/>
            </w:tcMar>
          </w:tcPr>
          <w:p w14:paraId="3A656C3C" w14:textId="77777777" w:rsidR="00B82A2F" w:rsidRDefault="00000000">
            <w:pPr>
              <w:spacing w:before="40" w:after="80"/>
            </w:pPr>
            <w:r>
              <w:rPr>
                <w:rFonts w:ascii="Calibri" w:hAnsi="Calibri"/>
                <w:b/>
                <w:color w:val="0A2540"/>
                <w:sz w:val="19"/>
              </w:rPr>
              <w:t>Nombre del Proyecto</w:t>
            </w:r>
          </w:p>
        </w:tc>
        <w:tc>
          <w:tcPr>
            <w:tcW w:w="7056" w:type="dxa"/>
            <w:shd w:val="clear" w:color="auto" w:fill="FFFFFF"/>
            <w:tcMar>
              <w:top w:w="70" w:type="dxa"/>
              <w:left w:w="120" w:type="dxa"/>
              <w:bottom w:w="70" w:type="dxa"/>
              <w:right w:w="120" w:type="dxa"/>
            </w:tcMar>
          </w:tcPr>
          <w:p w14:paraId="5FF60C24" w14:textId="77777777" w:rsidR="00B82A2F" w:rsidRDefault="00000000">
            <w:pPr>
              <w:spacing w:before="40" w:after="80"/>
            </w:pPr>
            <w:r>
              <w:rPr>
                <w:rFonts w:ascii="Calibri" w:hAnsi="Calibri"/>
                <w:color w:val="222222"/>
                <w:sz w:val="19"/>
              </w:rPr>
              <w:t>WeManager 2.0: Rediseño e Integración Transaccional del Sistema OMS e Inventario Multialmacén para WeStorage</w:t>
            </w:r>
          </w:p>
        </w:tc>
      </w:tr>
      <w:tr w:rsidR="00B82A2F" w14:paraId="712FAABE" w14:textId="77777777">
        <w:trPr>
          <w:jc w:val="center"/>
        </w:trPr>
        <w:tc>
          <w:tcPr>
            <w:tcW w:w="3168" w:type="dxa"/>
            <w:shd w:val="clear" w:color="auto" w:fill="F4F6F9"/>
            <w:tcMar>
              <w:top w:w="70" w:type="dxa"/>
              <w:left w:w="120" w:type="dxa"/>
              <w:bottom w:w="70" w:type="dxa"/>
              <w:right w:w="120" w:type="dxa"/>
            </w:tcMar>
          </w:tcPr>
          <w:p w14:paraId="1CA4F1CA" w14:textId="77777777" w:rsidR="00B82A2F" w:rsidRDefault="00000000">
            <w:pPr>
              <w:spacing w:before="40" w:after="80"/>
            </w:pPr>
            <w:r>
              <w:rPr>
                <w:rFonts w:ascii="Calibri" w:hAnsi="Calibri"/>
                <w:b/>
                <w:color w:val="0A2540"/>
                <w:sz w:val="19"/>
              </w:rPr>
              <w:t>Asignatura / Sigla / Sede</w:t>
            </w:r>
          </w:p>
        </w:tc>
        <w:tc>
          <w:tcPr>
            <w:tcW w:w="7056" w:type="dxa"/>
            <w:shd w:val="clear" w:color="auto" w:fill="FFFFFF"/>
            <w:tcMar>
              <w:top w:w="70" w:type="dxa"/>
              <w:left w:w="120" w:type="dxa"/>
              <w:bottom w:w="70" w:type="dxa"/>
              <w:right w:w="120" w:type="dxa"/>
            </w:tcMar>
          </w:tcPr>
          <w:p w14:paraId="7EDCA194" w14:textId="77777777" w:rsidR="00B82A2F" w:rsidRDefault="00000000">
            <w:pPr>
              <w:spacing w:before="40" w:after="80"/>
            </w:pPr>
            <w:r>
              <w:rPr>
                <w:rFonts w:ascii="Calibri" w:hAnsi="Calibri"/>
                <w:color w:val="222222"/>
                <w:sz w:val="19"/>
              </w:rPr>
              <w:t>Capstone (301D) – Carrera Ingeniería en Informática – Sede San Bernardo</w:t>
            </w:r>
          </w:p>
        </w:tc>
      </w:tr>
      <w:tr w:rsidR="00B82A2F" w14:paraId="4A3341B5" w14:textId="77777777">
        <w:trPr>
          <w:jc w:val="center"/>
        </w:trPr>
        <w:tc>
          <w:tcPr>
            <w:tcW w:w="3168" w:type="dxa"/>
            <w:shd w:val="clear" w:color="auto" w:fill="F4F6F9"/>
            <w:tcMar>
              <w:top w:w="70" w:type="dxa"/>
              <w:left w:w="120" w:type="dxa"/>
              <w:bottom w:w="70" w:type="dxa"/>
              <w:right w:w="120" w:type="dxa"/>
            </w:tcMar>
          </w:tcPr>
          <w:p w14:paraId="4CB61E27" w14:textId="77777777" w:rsidR="00B82A2F" w:rsidRDefault="00000000">
            <w:pPr>
              <w:spacing w:before="40" w:after="80"/>
            </w:pPr>
            <w:r>
              <w:rPr>
                <w:rFonts w:ascii="Calibri" w:hAnsi="Calibri"/>
                <w:b/>
                <w:color w:val="0A2540"/>
                <w:sz w:val="19"/>
              </w:rPr>
              <w:t>Docente Evaluador</w:t>
            </w:r>
          </w:p>
        </w:tc>
        <w:tc>
          <w:tcPr>
            <w:tcW w:w="7056" w:type="dxa"/>
            <w:shd w:val="clear" w:color="auto" w:fill="FFFFFF"/>
            <w:tcMar>
              <w:top w:w="70" w:type="dxa"/>
              <w:left w:w="120" w:type="dxa"/>
              <w:bottom w:w="70" w:type="dxa"/>
              <w:right w:w="120" w:type="dxa"/>
            </w:tcMar>
          </w:tcPr>
          <w:p w14:paraId="01AFA400" w14:textId="77777777" w:rsidR="00B82A2F" w:rsidRDefault="00000000">
            <w:pPr>
              <w:spacing w:before="40" w:after="80"/>
            </w:pPr>
            <w:r>
              <w:rPr>
                <w:rFonts w:ascii="Calibri" w:hAnsi="Calibri"/>
                <w:color w:val="222222"/>
                <w:sz w:val="19"/>
              </w:rPr>
              <w:t>Rodrigo José Álvarez Perello</w:t>
            </w:r>
          </w:p>
        </w:tc>
      </w:tr>
      <w:tr w:rsidR="00B82A2F" w14:paraId="001149AC" w14:textId="77777777">
        <w:trPr>
          <w:jc w:val="center"/>
        </w:trPr>
        <w:tc>
          <w:tcPr>
            <w:tcW w:w="3168" w:type="dxa"/>
            <w:shd w:val="clear" w:color="auto" w:fill="F4F6F9"/>
            <w:tcMar>
              <w:top w:w="70" w:type="dxa"/>
              <w:left w:w="120" w:type="dxa"/>
              <w:bottom w:w="70" w:type="dxa"/>
              <w:right w:w="120" w:type="dxa"/>
            </w:tcMar>
          </w:tcPr>
          <w:p w14:paraId="2B6C8EF4" w14:textId="77777777" w:rsidR="00B82A2F" w:rsidRDefault="00000000">
            <w:pPr>
              <w:spacing w:before="40" w:after="80"/>
            </w:pPr>
            <w:r>
              <w:rPr>
                <w:rFonts w:ascii="Calibri" w:hAnsi="Calibri"/>
                <w:b/>
                <w:color w:val="0A2540"/>
                <w:sz w:val="19"/>
              </w:rPr>
              <w:t>Integrantes (Equipo)</w:t>
            </w:r>
          </w:p>
        </w:tc>
        <w:tc>
          <w:tcPr>
            <w:tcW w:w="7056" w:type="dxa"/>
            <w:shd w:val="clear" w:color="auto" w:fill="FFFFFF"/>
            <w:tcMar>
              <w:top w:w="70" w:type="dxa"/>
              <w:left w:w="120" w:type="dxa"/>
              <w:bottom w:w="70" w:type="dxa"/>
              <w:right w:w="120" w:type="dxa"/>
            </w:tcMar>
          </w:tcPr>
          <w:p w14:paraId="7EB4FB15" w14:textId="77777777" w:rsidR="00B82A2F" w:rsidRDefault="00000000">
            <w:pPr>
              <w:spacing w:before="40" w:after="80"/>
            </w:pPr>
            <w:r>
              <w:rPr>
                <w:rFonts w:ascii="Calibri" w:hAnsi="Calibri"/>
                <w:color w:val="222222"/>
                <w:sz w:val="19"/>
              </w:rPr>
              <w:t>Joaquín Ignacio Muñoz Adasme (Scrum Master), Cristóbal Alonso Altamirano Fajardo (Developer) y José Ignacio Alegría Faundez (Developer)</w:t>
            </w:r>
          </w:p>
        </w:tc>
      </w:tr>
      <w:tr w:rsidR="00B82A2F" w14:paraId="397B7EF8" w14:textId="77777777">
        <w:trPr>
          <w:jc w:val="center"/>
        </w:trPr>
        <w:tc>
          <w:tcPr>
            <w:tcW w:w="3168" w:type="dxa"/>
            <w:shd w:val="clear" w:color="auto" w:fill="F4F6F9"/>
            <w:tcMar>
              <w:top w:w="70" w:type="dxa"/>
              <w:left w:w="120" w:type="dxa"/>
              <w:bottom w:w="70" w:type="dxa"/>
              <w:right w:w="120" w:type="dxa"/>
            </w:tcMar>
          </w:tcPr>
          <w:p w14:paraId="3243F479" w14:textId="77777777" w:rsidR="00B82A2F" w:rsidRDefault="00000000">
            <w:pPr>
              <w:spacing w:before="40" w:after="80"/>
            </w:pPr>
            <w:r>
              <w:rPr>
                <w:rFonts w:ascii="Calibri" w:hAnsi="Calibri"/>
                <w:b/>
                <w:color w:val="0A2540"/>
                <w:sz w:val="19"/>
              </w:rPr>
              <w:t>Product Owner (Cliente)</w:t>
            </w:r>
          </w:p>
        </w:tc>
        <w:tc>
          <w:tcPr>
            <w:tcW w:w="7056" w:type="dxa"/>
            <w:shd w:val="clear" w:color="auto" w:fill="FFFFFF"/>
            <w:tcMar>
              <w:top w:w="70" w:type="dxa"/>
              <w:left w:w="120" w:type="dxa"/>
              <w:bottom w:w="70" w:type="dxa"/>
              <w:right w:w="120" w:type="dxa"/>
            </w:tcMar>
          </w:tcPr>
          <w:p w14:paraId="74068725" w14:textId="77777777" w:rsidR="00B82A2F" w:rsidRDefault="00000000">
            <w:pPr>
              <w:spacing w:before="40" w:after="80"/>
            </w:pPr>
            <w:r>
              <w:rPr>
                <w:rFonts w:ascii="Calibri" w:hAnsi="Calibri"/>
                <w:color w:val="222222"/>
                <w:sz w:val="19"/>
              </w:rPr>
              <w:t>Ismael Depablos – Operador Logístico WeStorage (Centros Enea y San Bernardo)</w:t>
            </w:r>
          </w:p>
        </w:tc>
      </w:tr>
    </w:tbl>
    <w:p w14:paraId="51C2B28E" w14:textId="77777777" w:rsidR="00B82A2F" w:rsidRDefault="00B82A2F">
      <w:pPr>
        <w:spacing w:after="120"/>
      </w:pPr>
    </w:p>
    <w:p w14:paraId="3548CFD9" w14:textId="77777777" w:rsidR="00B82A2F" w:rsidRDefault="00000000">
      <w:pPr>
        <w:spacing w:before="160" w:after="80"/>
      </w:pPr>
      <w:r>
        <w:rPr>
          <w:rFonts w:ascii="Calibri" w:hAnsi="Calibri"/>
          <w:b/>
          <w:color w:val="0A2540"/>
          <w:sz w:val="28"/>
        </w:rPr>
        <w:t>1. Resumen avance Proyecto APT</w:t>
      </w:r>
    </w:p>
    <w:p w14:paraId="455A7EA4" w14:textId="77777777" w:rsidR="00B82A2F" w:rsidRDefault="00000000">
      <w:pPr>
        <w:spacing w:after="120"/>
      </w:pPr>
      <w:r>
        <w:rPr>
          <w:rFonts w:ascii="Calibri" w:hAnsi="Calibri"/>
          <w:sz w:val="20"/>
        </w:rPr>
        <w:t>A continuación, se presentan los campos completados correspondientes al estado de avance actual, ajustes a los objetivos, metodología de trabajo y evidencias disciplinarias:</w:t>
      </w:r>
    </w:p>
    <w:tbl>
      <w:tblPr>
        <w:tblW w:w="0" w:type="auto"/>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ook w:val="04A0" w:firstRow="1" w:lastRow="0" w:firstColumn="1" w:lastColumn="0" w:noHBand="0" w:noVBand="1"/>
      </w:tblPr>
      <w:tblGrid>
        <w:gridCol w:w="2592"/>
        <w:gridCol w:w="7632"/>
      </w:tblGrid>
      <w:tr w:rsidR="00B82A2F" w14:paraId="438C60D2" w14:textId="77777777">
        <w:trPr>
          <w:jc w:val="center"/>
        </w:trPr>
        <w:tc>
          <w:tcPr>
            <w:tcW w:w="2592" w:type="dxa"/>
            <w:shd w:val="clear" w:color="auto" w:fill="0A2540"/>
            <w:tcMar>
              <w:top w:w="100" w:type="dxa"/>
              <w:left w:w="120" w:type="dxa"/>
              <w:bottom w:w="100" w:type="dxa"/>
              <w:right w:w="120" w:type="dxa"/>
            </w:tcMar>
          </w:tcPr>
          <w:p w14:paraId="3BB92601" w14:textId="77777777" w:rsidR="00B82A2F" w:rsidRDefault="00000000">
            <w:pPr>
              <w:spacing w:before="40" w:after="80"/>
            </w:pPr>
            <w:r>
              <w:rPr>
                <w:rFonts w:ascii="Calibri" w:hAnsi="Calibri"/>
                <w:b/>
                <w:color w:val="FFFFFF"/>
                <w:sz w:val="19"/>
              </w:rPr>
              <w:t>Resumen de avance proyecto APT</w:t>
            </w:r>
          </w:p>
        </w:tc>
        <w:tc>
          <w:tcPr>
            <w:tcW w:w="7632" w:type="dxa"/>
            <w:shd w:val="clear" w:color="auto" w:fill="FFFFFF"/>
            <w:tcMar>
              <w:top w:w="100" w:type="dxa"/>
              <w:left w:w="140" w:type="dxa"/>
              <w:bottom w:w="100" w:type="dxa"/>
              <w:right w:w="140" w:type="dxa"/>
            </w:tcMar>
          </w:tcPr>
          <w:p w14:paraId="48F3D8B1" w14:textId="77777777" w:rsidR="00B82A2F" w:rsidRDefault="00000000">
            <w:pPr>
              <w:spacing w:before="40" w:after="80"/>
            </w:pPr>
            <w:r>
              <w:rPr>
                <w:rFonts w:ascii="Calibri" w:hAnsi="Calibri"/>
                <w:color w:val="222222"/>
                <w:sz w:val="19"/>
              </w:rPr>
              <w:t xml:space="preserve">El proyecto </w:t>
            </w:r>
            <w:r>
              <w:rPr>
                <w:rFonts w:ascii="Calibri" w:hAnsi="Calibri"/>
                <w:b/>
                <w:color w:val="222222"/>
                <w:sz w:val="19"/>
              </w:rPr>
              <w:t>WeManager 2.0</w:t>
            </w:r>
            <w:r>
              <w:rPr>
                <w:rFonts w:ascii="Calibri" w:hAnsi="Calibri"/>
                <w:color w:val="222222"/>
                <w:sz w:val="19"/>
              </w:rPr>
              <w:t xml:space="preserve">, desarrollado para el operador logístico chileno </w:t>
            </w:r>
            <w:r>
              <w:rPr>
                <w:rFonts w:ascii="Calibri" w:hAnsi="Calibri"/>
                <w:b/>
                <w:color w:val="222222"/>
                <w:sz w:val="19"/>
              </w:rPr>
              <w:t>WeStorage</w:t>
            </w:r>
            <w:r>
              <w:rPr>
                <w:rFonts w:ascii="Calibri" w:hAnsi="Calibri"/>
                <w:color w:val="222222"/>
                <w:sz w:val="19"/>
              </w:rPr>
              <w:t xml:space="preserve"> (especializado en soluciones integrales de almacenamiento, fulfillment, dark stores y distribución en sus centros de Enea y San Bernardo), avanzó satisfactoriamente desde la Fase 1 de levantamiento y diseño conceptual hacia la consolidación arquitectural y el desarrollo del núcleo transaccional (backend core), situándose en un nivel de madurez tecnológica </w:t>
            </w:r>
            <w:r>
              <w:rPr>
                <w:rFonts w:ascii="Calibri" w:hAnsi="Calibri"/>
                <w:b/>
                <w:color w:val="222222"/>
                <w:sz w:val="19"/>
              </w:rPr>
              <w:t>TRL 3 validado y en tránsito hacia TRL 5</w:t>
            </w:r>
            <w:r>
              <w:rPr>
                <w:rFonts w:ascii="Calibri" w:hAnsi="Calibri"/>
                <w:color w:val="222222"/>
                <w:sz w:val="19"/>
              </w:rPr>
              <w:t xml:space="preserve"> (validación en entorno relevante de staging).</w:t>
            </w:r>
          </w:p>
          <w:p w14:paraId="4DCCE075" w14:textId="77777777" w:rsidR="00B82A2F" w:rsidRDefault="00000000">
            <w:pPr>
              <w:spacing w:before="40" w:after="80"/>
            </w:pPr>
            <w:r>
              <w:rPr>
                <w:rFonts w:ascii="Calibri" w:hAnsi="Calibri"/>
                <w:b/>
                <w:color w:val="0A2540"/>
                <w:sz w:val="19"/>
              </w:rPr>
              <w:t>Actividades ejecutadas y objetivos específicos cumplidos hasta la fecha:</w:t>
            </w:r>
          </w:p>
          <w:p w14:paraId="47CBC065" w14:textId="77777777" w:rsidR="00B82A2F" w:rsidRDefault="00000000">
            <w:pPr>
              <w:spacing w:before="40" w:after="80"/>
            </w:pPr>
            <w:r>
              <w:rPr>
                <w:rFonts w:ascii="Calibri" w:hAnsi="Calibri"/>
                <w:b/>
                <w:color w:val="222222"/>
                <w:sz w:val="19"/>
              </w:rPr>
              <w:t xml:space="preserve">1. Levantamiento de requerimientos y gestión del Backlog (Objetivo Específico 1 cumplido): </w:t>
            </w:r>
            <w:r>
              <w:rPr>
                <w:rFonts w:ascii="Calibri" w:hAnsi="Calibri"/>
                <w:color w:val="222222"/>
                <w:sz w:val="19"/>
              </w:rPr>
              <w:t>Se especificaron las épicas, historias de usuario y criterios de aceptación en Atlassian Jira y Confluence, abordando tanto el riesgo de sobreventa (overselling) en la sincronización con marketplaces (Mercado Libre, Shopify/Multivende) como los cuellos de botella de rendimiento de la plataforma legacy (donde el módulo de Órdenes Web tardaba hasta 1 minuto en responder por cargar todos los registros sin paginación).</w:t>
            </w:r>
          </w:p>
          <w:p w14:paraId="6EA0BF00" w14:textId="77777777" w:rsidR="00B82A2F" w:rsidRDefault="00000000">
            <w:pPr>
              <w:spacing w:before="40" w:after="80"/>
            </w:pPr>
            <w:r>
              <w:rPr>
                <w:rFonts w:ascii="Calibri" w:hAnsi="Calibri"/>
                <w:b/>
                <w:color w:val="222222"/>
                <w:sz w:val="19"/>
              </w:rPr>
              <w:t xml:space="preserve">2. Diseño e implementación del Modelo de Datos en PostgreSQL (Objetivo Específico 2 cumplido): </w:t>
            </w:r>
            <w:r>
              <w:rPr>
                <w:rFonts w:ascii="Calibri" w:hAnsi="Calibri"/>
                <w:color w:val="222222"/>
                <w:sz w:val="19"/>
              </w:rPr>
              <w:t>Se construyó el esquema relacional normalizado en PostgreSQL con soporte para atributos semiestructurados (JSONB) y restricciones de integridad (CHECK y claves foráneas), aislando estrictamente el stock físico (on-hand), reservado y disponible para venta.</w:t>
            </w:r>
          </w:p>
          <w:p w14:paraId="27CC5AD0" w14:textId="77777777" w:rsidR="00B82A2F" w:rsidRDefault="00000000">
            <w:pPr>
              <w:spacing w:before="40" w:after="80"/>
            </w:pPr>
            <w:r>
              <w:rPr>
                <w:rFonts w:ascii="Calibri" w:hAnsi="Calibri"/>
                <w:b/>
                <w:color w:val="222222"/>
                <w:sz w:val="19"/>
              </w:rPr>
              <w:t xml:space="preserve">3. Definición y construcción de Arquitectura Hexagonal en Golang (Objetivo Específico 3 en avance): </w:t>
            </w:r>
            <w:r>
              <w:rPr>
                <w:rFonts w:ascii="Calibri" w:hAnsi="Calibri"/>
                <w:color w:val="222222"/>
                <w:sz w:val="19"/>
              </w:rPr>
              <w:t>Se evolucionó la propuesta técnica hacia un backend en Golang (Go) estructurado bajo el patrón de Arquitectura Hexagonal (Puertos y Adaptadores). Este hito separó por completo el núcleo de negocio de los controladores de entrada HTTP (API REST), de la persistencia en PostgreSQL y de las APIs externas. Además, se implementó y validó la prueba de concepto del módulo más crítico: la paginación de órdenes en backend y los módulos iniciales de autenticación, roles y recepción de webhooks, solucionando de raíz el problema de tiempos de espera de 1 minuto.</w:t>
            </w:r>
          </w:p>
          <w:p w14:paraId="65C4A21F" w14:textId="77777777" w:rsidR="00B82A2F" w:rsidRDefault="00000000">
            <w:pPr>
              <w:spacing w:before="40" w:after="80"/>
            </w:pPr>
            <w:r>
              <w:rPr>
                <w:rFonts w:ascii="Calibri" w:hAnsi="Calibri"/>
                <w:b/>
                <w:color w:val="222222"/>
                <w:sz w:val="19"/>
              </w:rPr>
              <w:t xml:space="preserve">4. Diseño de Mockups UI estandarizados y base Frontend en React (Objetivo Específico 4 en </w:t>
            </w:r>
            <w:r>
              <w:rPr>
                <w:rFonts w:ascii="Calibri" w:hAnsi="Calibri"/>
                <w:b/>
                <w:color w:val="222222"/>
                <w:sz w:val="19"/>
              </w:rPr>
              <w:lastRenderedPageBreak/>
              <w:t xml:space="preserve">inicio): </w:t>
            </w:r>
            <w:r>
              <w:rPr>
                <w:rFonts w:ascii="Calibri" w:hAnsi="Calibri"/>
                <w:color w:val="222222"/>
                <w:sz w:val="19"/>
              </w:rPr>
              <w:t>Se diseñaron prototipos visuales unificados para corregir la inconsistencia visual del sistema legacy (botones, colores y disposición de pantallas dispares) y se inició la estructuración del cliente web reactivo en React.</w:t>
            </w:r>
          </w:p>
        </w:tc>
      </w:tr>
      <w:tr w:rsidR="00B82A2F" w14:paraId="0CE05423" w14:textId="77777777">
        <w:trPr>
          <w:jc w:val="center"/>
        </w:trPr>
        <w:tc>
          <w:tcPr>
            <w:tcW w:w="2592" w:type="dxa"/>
            <w:shd w:val="clear" w:color="auto" w:fill="0A2540"/>
            <w:tcMar>
              <w:top w:w="100" w:type="dxa"/>
              <w:left w:w="120" w:type="dxa"/>
              <w:bottom w:w="100" w:type="dxa"/>
              <w:right w:w="120" w:type="dxa"/>
            </w:tcMar>
          </w:tcPr>
          <w:p w14:paraId="7B6B1ECB" w14:textId="77777777" w:rsidR="00B82A2F" w:rsidRDefault="00000000">
            <w:pPr>
              <w:spacing w:before="40" w:after="80"/>
            </w:pPr>
            <w:r>
              <w:rPr>
                <w:rFonts w:ascii="Calibri" w:hAnsi="Calibri"/>
                <w:b/>
                <w:color w:val="FFFFFF"/>
                <w:sz w:val="19"/>
              </w:rPr>
              <w:lastRenderedPageBreak/>
              <w:t>Objetivos</w:t>
            </w:r>
            <w:r>
              <w:rPr>
                <w:rFonts w:ascii="Calibri" w:hAnsi="Calibri"/>
                <w:b/>
                <w:color w:val="FFFFFF"/>
                <w:sz w:val="19"/>
              </w:rPr>
              <w:br/>
              <w:t>(Ajustes incorporados en Fase 2)</w:t>
            </w:r>
          </w:p>
        </w:tc>
        <w:tc>
          <w:tcPr>
            <w:tcW w:w="7632" w:type="dxa"/>
            <w:shd w:val="clear" w:color="auto" w:fill="F9FAFC"/>
            <w:tcMar>
              <w:top w:w="100" w:type="dxa"/>
              <w:left w:w="140" w:type="dxa"/>
              <w:bottom w:w="100" w:type="dxa"/>
              <w:right w:w="140" w:type="dxa"/>
            </w:tcMar>
          </w:tcPr>
          <w:p w14:paraId="57894F06" w14:textId="77777777" w:rsidR="00B82A2F" w:rsidRDefault="00000000">
            <w:pPr>
              <w:spacing w:before="40" w:after="80"/>
            </w:pPr>
            <w:r>
              <w:rPr>
                <w:rFonts w:ascii="Calibri" w:hAnsi="Calibri"/>
                <w:b/>
                <w:color w:val="0A2540"/>
                <w:sz w:val="19"/>
              </w:rPr>
              <w:t>Objetivo General (Ajustado y precisado tecnológicamente):</w:t>
            </w:r>
          </w:p>
          <w:p w14:paraId="49A98DFE" w14:textId="77777777" w:rsidR="00B82A2F" w:rsidRDefault="00000000">
            <w:pPr>
              <w:spacing w:before="40" w:after="80"/>
            </w:pPr>
            <w:r>
              <w:rPr>
                <w:rFonts w:ascii="Calibri" w:hAnsi="Calibri"/>
                <w:color w:val="222222"/>
                <w:sz w:val="19"/>
              </w:rPr>
              <w:t xml:space="preserve">Desarrollar una solución de software web para la gestión de órdenes (OMS) e inventario multialmacén (WeManager 2.0) para WeStorage, mediante una </w:t>
            </w:r>
            <w:r>
              <w:rPr>
                <w:rFonts w:ascii="Calibri" w:hAnsi="Calibri"/>
                <w:b/>
                <w:color w:val="222222"/>
                <w:sz w:val="19"/>
              </w:rPr>
              <w:t>Arquitectura Hexagonal en Golang, PostgreSQL y React</w:t>
            </w:r>
            <w:r>
              <w:rPr>
                <w:rFonts w:ascii="Calibri" w:hAnsi="Calibri"/>
                <w:color w:val="222222"/>
                <w:sz w:val="19"/>
              </w:rPr>
              <w:t>, integrando servicios de e-commerce, consultas paginadas de alto rendimiento y validaciones transaccionales atómicas para evitar la sobreventa, eliminar los altos tiempos de respuesta y asegurar la trazabilidad operativa de los pedidos.</w:t>
            </w:r>
          </w:p>
          <w:p w14:paraId="08B929EF" w14:textId="77777777" w:rsidR="00B82A2F" w:rsidRDefault="00000000">
            <w:pPr>
              <w:spacing w:before="40" w:after="80"/>
            </w:pPr>
            <w:r>
              <w:rPr>
                <w:rFonts w:ascii="Calibri" w:hAnsi="Calibri"/>
                <w:b/>
                <w:color w:val="0A2540"/>
                <w:sz w:val="19"/>
              </w:rPr>
              <w:t>Objetivos Específicos y detalle de ajustes:</w:t>
            </w:r>
          </w:p>
          <w:p w14:paraId="428A7570" w14:textId="77777777" w:rsidR="00B82A2F" w:rsidRDefault="00000000">
            <w:pPr>
              <w:spacing w:before="40" w:after="80"/>
            </w:pPr>
            <w:r>
              <w:rPr>
                <w:rFonts w:ascii="Calibri" w:hAnsi="Calibri"/>
                <w:b/>
                <w:color w:val="222222"/>
                <w:sz w:val="19"/>
              </w:rPr>
              <w:t xml:space="preserve">• OE1 (Sin ajustes - Completado): </w:t>
            </w:r>
            <w:r>
              <w:rPr>
                <w:rFonts w:ascii="Calibri" w:hAnsi="Calibri"/>
                <w:color w:val="222222"/>
                <w:sz w:val="19"/>
              </w:rPr>
              <w:t>Levantar y especificar los requerimientos funcionales y técnicos mediante historias de usuario y diagramas de arquitectura en Jira.</w:t>
            </w:r>
          </w:p>
          <w:p w14:paraId="54C82BB1" w14:textId="77777777" w:rsidR="00B82A2F" w:rsidRDefault="00000000">
            <w:pPr>
              <w:spacing w:before="40" w:after="80"/>
            </w:pPr>
            <w:r>
              <w:rPr>
                <w:rFonts w:ascii="Calibri" w:hAnsi="Calibri"/>
                <w:b/>
                <w:color w:val="222222"/>
                <w:sz w:val="19"/>
              </w:rPr>
              <w:t xml:space="preserve">• OE2 (Sin ajustes - Completado): </w:t>
            </w:r>
            <w:r>
              <w:rPr>
                <w:rFonts w:ascii="Calibri" w:hAnsi="Calibri"/>
                <w:color w:val="222222"/>
                <w:sz w:val="19"/>
              </w:rPr>
              <w:t>Diseñar e implementar un modelo de datos escalable en PostgreSQL que gestione el stock transaccional (físico, reservado y disponible) y el catálogo multicanal.</w:t>
            </w:r>
          </w:p>
          <w:p w14:paraId="1E41159F" w14:textId="77777777" w:rsidR="00B82A2F" w:rsidRDefault="00000000">
            <w:pPr>
              <w:spacing w:before="40" w:after="80"/>
            </w:pPr>
            <w:r>
              <w:rPr>
                <w:rFonts w:ascii="Calibri" w:hAnsi="Calibri"/>
                <w:b/>
                <w:color w:val="222222"/>
                <w:sz w:val="19"/>
              </w:rPr>
              <w:t xml:space="preserve">• OE3 (Ajustado en stack tecnológico - En curso): </w:t>
            </w:r>
            <w:r>
              <w:rPr>
                <w:rFonts w:ascii="Calibri" w:hAnsi="Calibri"/>
                <w:color w:val="222222"/>
                <w:sz w:val="19"/>
              </w:rPr>
              <w:t>Construir el backend transaccional en Golang bajo Arquitectura Hexagonal, implementando paginación optimizada de órdenes, gestión de autenticación/roles, control de concurrencia y adaptadores para la ingesta de webhooks de marketplaces (reemplazando la alternativa preliminar de Node.js/FastAPI por Golang para maximizar rendimiento y mantenibilidad).</w:t>
            </w:r>
          </w:p>
          <w:p w14:paraId="41E732F4" w14:textId="77777777" w:rsidR="00B82A2F" w:rsidRDefault="00000000">
            <w:pPr>
              <w:spacing w:before="40" w:after="80"/>
            </w:pPr>
            <w:r>
              <w:rPr>
                <w:rFonts w:ascii="Calibri" w:hAnsi="Calibri"/>
                <w:b/>
                <w:color w:val="222222"/>
                <w:sz w:val="19"/>
              </w:rPr>
              <w:t xml:space="preserve">• OE4 (Ajustado en estandarización visual - En curso): </w:t>
            </w:r>
            <w:r>
              <w:rPr>
                <w:rFonts w:ascii="Calibri" w:hAnsi="Calibri"/>
                <w:color w:val="222222"/>
                <w:sz w:val="19"/>
              </w:rPr>
              <w:t>Desarrollar una interfaz frontend reactiva en React bajo un patrón de diseño único y estandarizado para el monitoreo de existencias, filtros paginados por bodega y seguimiento de estados de órdenes.</w:t>
            </w:r>
          </w:p>
          <w:p w14:paraId="5D9A8B56" w14:textId="77777777" w:rsidR="00B82A2F" w:rsidRDefault="00000000">
            <w:pPr>
              <w:spacing w:before="40" w:after="80"/>
            </w:pPr>
            <w:r>
              <w:rPr>
                <w:rFonts w:ascii="Calibri" w:hAnsi="Calibri"/>
                <w:b/>
                <w:color w:val="222222"/>
                <w:sz w:val="19"/>
              </w:rPr>
              <w:t xml:space="preserve">• OE5 (Ajustado a meta TRL 5 - Programado): </w:t>
            </w:r>
            <w:r>
              <w:rPr>
                <w:rFonts w:ascii="Calibri" w:hAnsi="Calibri"/>
                <w:color w:val="222222"/>
                <w:sz w:val="19"/>
              </w:rPr>
              <w:t>Ejecutar pruebas unitarias del núcleo de negocio sin dependencia de infraestructura y pruebas de integración/concurrencia en entorno relevante (staging de WeStorage y sandboxes) para validar la integridad del inventario y los tiempos de respuesta.</w:t>
            </w:r>
          </w:p>
        </w:tc>
      </w:tr>
      <w:tr w:rsidR="00B82A2F" w14:paraId="1D1213E6" w14:textId="77777777">
        <w:trPr>
          <w:jc w:val="center"/>
        </w:trPr>
        <w:tc>
          <w:tcPr>
            <w:tcW w:w="2592" w:type="dxa"/>
            <w:shd w:val="clear" w:color="auto" w:fill="0A2540"/>
            <w:tcMar>
              <w:top w:w="100" w:type="dxa"/>
              <w:left w:w="120" w:type="dxa"/>
              <w:bottom w:w="100" w:type="dxa"/>
              <w:right w:w="120" w:type="dxa"/>
            </w:tcMar>
          </w:tcPr>
          <w:p w14:paraId="150879CA" w14:textId="77777777" w:rsidR="00B82A2F" w:rsidRDefault="00000000">
            <w:pPr>
              <w:spacing w:before="40" w:after="80"/>
            </w:pPr>
            <w:r>
              <w:rPr>
                <w:rFonts w:ascii="Calibri" w:hAnsi="Calibri"/>
                <w:b/>
                <w:color w:val="FFFFFF"/>
                <w:sz w:val="19"/>
              </w:rPr>
              <w:t>Metodología</w:t>
            </w:r>
          </w:p>
        </w:tc>
        <w:tc>
          <w:tcPr>
            <w:tcW w:w="7632" w:type="dxa"/>
            <w:shd w:val="clear" w:color="auto" w:fill="FFFFFF"/>
            <w:tcMar>
              <w:top w:w="100" w:type="dxa"/>
              <w:left w:w="140" w:type="dxa"/>
              <w:bottom w:w="100" w:type="dxa"/>
              <w:right w:w="140" w:type="dxa"/>
            </w:tcMar>
          </w:tcPr>
          <w:p w14:paraId="01350145" w14:textId="77777777" w:rsidR="00B82A2F" w:rsidRDefault="00000000">
            <w:pPr>
              <w:spacing w:before="40" w:after="80"/>
            </w:pPr>
            <w:r>
              <w:rPr>
                <w:rFonts w:ascii="Calibri" w:hAnsi="Calibri"/>
                <w:color w:val="222222"/>
                <w:sz w:val="19"/>
              </w:rPr>
              <w:t xml:space="preserve">Se mantiene la metodología ágil </w:t>
            </w:r>
            <w:r>
              <w:rPr>
                <w:rFonts w:ascii="Calibri" w:hAnsi="Calibri"/>
                <w:b/>
                <w:color w:val="222222"/>
                <w:sz w:val="19"/>
              </w:rPr>
              <w:t>Scrum</w:t>
            </w:r>
            <w:r>
              <w:rPr>
                <w:rFonts w:ascii="Calibri" w:hAnsi="Calibri"/>
                <w:color w:val="222222"/>
                <w:sz w:val="19"/>
              </w:rPr>
              <w:t xml:space="preserve"> organizada en </w:t>
            </w:r>
            <w:r>
              <w:rPr>
                <w:rFonts w:ascii="Calibri" w:hAnsi="Calibri"/>
                <w:b/>
                <w:color w:val="222222"/>
                <w:sz w:val="19"/>
              </w:rPr>
              <w:t>4 Sprints de 2 semanas de duración</w:t>
            </w:r>
            <w:r>
              <w:rPr>
                <w:rFonts w:ascii="Calibri" w:hAnsi="Calibri"/>
                <w:color w:val="222222"/>
                <w:sz w:val="19"/>
              </w:rPr>
              <w:t xml:space="preserve"> cada uno, entregando valor incremental continuo y alineando los entregables con el avance de madurez tecnológica desde TRL 3 hacia TRL 5:</w:t>
            </w:r>
          </w:p>
          <w:p w14:paraId="697E6119" w14:textId="77777777" w:rsidR="00B82A2F" w:rsidRDefault="00000000">
            <w:pPr>
              <w:spacing w:before="40" w:after="80"/>
            </w:pPr>
            <w:r>
              <w:rPr>
                <w:rFonts w:ascii="Calibri" w:hAnsi="Calibri"/>
                <w:b/>
                <w:color w:val="0A2540"/>
                <w:sz w:val="19"/>
              </w:rPr>
              <w:t>• Roles del Equipo Scrum:</w:t>
            </w:r>
          </w:p>
          <w:p w14:paraId="305FDC4B" w14:textId="77777777" w:rsidR="00B82A2F" w:rsidRDefault="00000000">
            <w:pPr>
              <w:spacing w:before="40" w:after="80"/>
            </w:pPr>
            <w:r>
              <w:rPr>
                <w:rFonts w:ascii="Calibri" w:hAnsi="Calibri"/>
                <w:b/>
                <w:color w:val="222222"/>
                <w:sz w:val="19"/>
              </w:rPr>
              <w:t xml:space="preserve">  - Product Owner: </w:t>
            </w:r>
            <w:r>
              <w:rPr>
                <w:rFonts w:ascii="Calibri" w:hAnsi="Calibri"/>
                <w:color w:val="222222"/>
                <w:sz w:val="19"/>
              </w:rPr>
              <w:t>Ismael Depablos (Contraparte de WeStorage; define prioridades de negocio y valida incrementos en cada cierre de Sprint).</w:t>
            </w:r>
          </w:p>
          <w:p w14:paraId="6892F0E0" w14:textId="77777777" w:rsidR="00B82A2F" w:rsidRDefault="00000000">
            <w:pPr>
              <w:spacing w:before="40" w:after="80"/>
            </w:pPr>
            <w:r>
              <w:rPr>
                <w:rFonts w:ascii="Calibri" w:hAnsi="Calibri"/>
                <w:b/>
                <w:color w:val="222222"/>
                <w:sz w:val="19"/>
              </w:rPr>
              <w:t xml:space="preserve">  - Scrum Master: </w:t>
            </w:r>
            <w:r>
              <w:rPr>
                <w:rFonts w:ascii="Calibri" w:hAnsi="Calibri"/>
                <w:color w:val="222222"/>
                <w:sz w:val="19"/>
              </w:rPr>
              <w:t>Joaquín Muñoz (Facilita las ceremonias, administra el tablero en Atlassian Jira y gestiona la eliminación de impedimentos).</w:t>
            </w:r>
          </w:p>
          <w:p w14:paraId="682FB417" w14:textId="77777777" w:rsidR="00B82A2F" w:rsidRDefault="00000000">
            <w:pPr>
              <w:spacing w:before="40" w:after="80"/>
            </w:pPr>
            <w:r>
              <w:rPr>
                <w:rFonts w:ascii="Calibri" w:hAnsi="Calibri"/>
                <w:b/>
                <w:color w:val="222222"/>
                <w:sz w:val="19"/>
              </w:rPr>
              <w:t xml:space="preserve">  - Developers (Equipo de Desarrollo): </w:t>
            </w:r>
            <w:r>
              <w:rPr>
                <w:rFonts w:ascii="Calibri" w:hAnsi="Calibri"/>
                <w:color w:val="222222"/>
                <w:sz w:val="19"/>
              </w:rPr>
              <w:t>Cristóbal Altamirano, José Alegría y Joaquín Muñoz (Diseño de base de datos, construcción de arquitectura hexagonal en Golang, adaptadores REST y vistas en React).</w:t>
            </w:r>
          </w:p>
          <w:p w14:paraId="091CB3B8" w14:textId="77777777" w:rsidR="00B82A2F" w:rsidRDefault="00000000">
            <w:pPr>
              <w:spacing w:before="40" w:after="80"/>
            </w:pPr>
            <w:r>
              <w:rPr>
                <w:rFonts w:ascii="Calibri" w:hAnsi="Calibri"/>
                <w:b/>
                <w:color w:val="0A2540"/>
                <w:sz w:val="19"/>
              </w:rPr>
              <w:t>• Ceremonias y Flujo Metodológico:</w:t>
            </w:r>
          </w:p>
          <w:p w14:paraId="2D2759C2" w14:textId="77777777" w:rsidR="00B82A2F" w:rsidRDefault="00000000">
            <w:pPr>
              <w:spacing w:before="40" w:after="80"/>
            </w:pPr>
            <w:r>
              <w:rPr>
                <w:rFonts w:ascii="Calibri" w:hAnsi="Calibri"/>
                <w:b/>
                <w:color w:val="222222"/>
                <w:sz w:val="19"/>
              </w:rPr>
              <w:t xml:space="preserve">  - Sprint Planning: </w:t>
            </w:r>
            <w:r>
              <w:rPr>
                <w:rFonts w:ascii="Calibri" w:hAnsi="Calibri"/>
                <w:color w:val="222222"/>
                <w:sz w:val="19"/>
              </w:rPr>
              <w:t>Selección y descomposición técnica de historias de usuario desde el Product Backlog en Jira con criterios de aceptación verificables.</w:t>
            </w:r>
          </w:p>
          <w:p w14:paraId="59AB3EFE" w14:textId="77777777" w:rsidR="00B82A2F" w:rsidRDefault="00000000">
            <w:pPr>
              <w:spacing w:before="40" w:after="80"/>
            </w:pPr>
            <w:r>
              <w:rPr>
                <w:rFonts w:ascii="Calibri" w:hAnsi="Calibri"/>
                <w:b/>
                <w:color w:val="222222"/>
                <w:sz w:val="19"/>
              </w:rPr>
              <w:t xml:space="preserve">  - Daily Scrum: </w:t>
            </w:r>
            <w:r>
              <w:rPr>
                <w:rFonts w:ascii="Calibri" w:hAnsi="Calibri"/>
                <w:color w:val="222222"/>
                <w:sz w:val="19"/>
              </w:rPr>
              <w:t xml:space="preserve">Reuniones breves de sincronización técnica, seguimiento de tareas y </w:t>
            </w:r>
            <w:r>
              <w:rPr>
                <w:rFonts w:ascii="Calibri" w:hAnsi="Calibri"/>
                <w:color w:val="222222"/>
                <w:sz w:val="19"/>
              </w:rPr>
              <w:lastRenderedPageBreak/>
              <w:t>comunicación continua con el cliente.</w:t>
            </w:r>
          </w:p>
          <w:p w14:paraId="199C761C" w14:textId="77777777" w:rsidR="00B82A2F" w:rsidRDefault="00000000">
            <w:pPr>
              <w:spacing w:before="40" w:after="80"/>
            </w:pPr>
            <w:r>
              <w:rPr>
                <w:rFonts w:ascii="Calibri" w:hAnsi="Calibri"/>
                <w:b/>
                <w:color w:val="222222"/>
                <w:sz w:val="19"/>
              </w:rPr>
              <w:t xml:space="preserve">  - Sprint Review: </w:t>
            </w:r>
            <w:r>
              <w:rPr>
                <w:rFonts w:ascii="Calibri" w:hAnsi="Calibri"/>
                <w:color w:val="222222"/>
                <w:sz w:val="19"/>
              </w:rPr>
              <w:t>Demostración funcional del incremento (modelo SQL, endpoints paginados en Go y mockups UI) ante el Product Owner y docente para recibir retroalimentación.</w:t>
            </w:r>
          </w:p>
          <w:p w14:paraId="226BCFDD" w14:textId="77777777" w:rsidR="00B82A2F" w:rsidRDefault="00000000">
            <w:pPr>
              <w:spacing w:before="40" w:after="80"/>
            </w:pPr>
            <w:r>
              <w:rPr>
                <w:rFonts w:ascii="Calibri" w:hAnsi="Calibri"/>
                <w:b/>
                <w:color w:val="222222"/>
                <w:sz w:val="19"/>
              </w:rPr>
              <w:t xml:space="preserve">  - Sprint Retrospective: </w:t>
            </w:r>
            <w:r>
              <w:rPr>
                <w:rFonts w:ascii="Calibri" w:hAnsi="Calibri"/>
                <w:color w:val="222222"/>
                <w:sz w:val="19"/>
              </w:rPr>
              <w:t>Instancia de mejora continua al finalizar cada sprint para ajustar el proceso y equilibrar la carga de trabajo.</w:t>
            </w:r>
          </w:p>
        </w:tc>
      </w:tr>
      <w:tr w:rsidR="00B82A2F" w14:paraId="0FCEC7ED" w14:textId="77777777">
        <w:trPr>
          <w:jc w:val="center"/>
        </w:trPr>
        <w:tc>
          <w:tcPr>
            <w:tcW w:w="2592" w:type="dxa"/>
            <w:shd w:val="clear" w:color="auto" w:fill="0A2540"/>
            <w:tcMar>
              <w:top w:w="100" w:type="dxa"/>
              <w:left w:w="120" w:type="dxa"/>
              <w:bottom w:w="100" w:type="dxa"/>
              <w:right w:w="120" w:type="dxa"/>
            </w:tcMar>
          </w:tcPr>
          <w:p w14:paraId="59922463" w14:textId="77777777" w:rsidR="00B82A2F" w:rsidRDefault="00000000">
            <w:pPr>
              <w:spacing w:before="40" w:after="80"/>
            </w:pPr>
            <w:r>
              <w:rPr>
                <w:rFonts w:ascii="Calibri" w:hAnsi="Calibri"/>
                <w:b/>
                <w:color w:val="FFFFFF"/>
                <w:sz w:val="19"/>
              </w:rPr>
              <w:lastRenderedPageBreak/>
              <w:t>Evidencias de avance</w:t>
            </w:r>
            <w:r>
              <w:rPr>
                <w:rFonts w:ascii="Calibri" w:hAnsi="Calibri"/>
                <w:b/>
                <w:color w:val="FFFFFF"/>
                <w:sz w:val="19"/>
              </w:rPr>
              <w:br/>
              <w:t>(Descripción, justificación y resguardo de calidad)</w:t>
            </w:r>
          </w:p>
        </w:tc>
        <w:tc>
          <w:tcPr>
            <w:tcW w:w="7632" w:type="dxa"/>
            <w:shd w:val="clear" w:color="auto" w:fill="F9FAFC"/>
            <w:tcMar>
              <w:top w:w="100" w:type="dxa"/>
              <w:left w:w="140" w:type="dxa"/>
              <w:bottom w:w="100" w:type="dxa"/>
              <w:right w:w="140" w:type="dxa"/>
            </w:tcMar>
          </w:tcPr>
          <w:p w14:paraId="568ACEE4" w14:textId="77777777" w:rsidR="00B82A2F" w:rsidRDefault="00000000">
            <w:pPr>
              <w:spacing w:before="40" w:after="80"/>
            </w:pPr>
            <w:r>
              <w:rPr>
                <w:rFonts w:ascii="Calibri" w:hAnsi="Calibri"/>
                <w:b/>
                <w:color w:val="0A2540"/>
                <w:sz w:val="19"/>
              </w:rPr>
              <w:t>Evidencias seleccionadas para dar cuenta del desarrollo del proyecto:</w:t>
            </w:r>
          </w:p>
          <w:p w14:paraId="262FF45F" w14:textId="77777777" w:rsidR="00B82A2F" w:rsidRDefault="00000000">
            <w:pPr>
              <w:spacing w:before="40" w:after="80"/>
            </w:pPr>
            <w:r>
              <w:rPr>
                <w:rFonts w:ascii="Calibri" w:hAnsi="Calibri"/>
                <w:b/>
                <w:color w:val="222222"/>
                <w:sz w:val="19"/>
              </w:rPr>
              <w:t xml:space="preserve">1. Especificación de Requerimientos (SRS) y Backlog activo en Atlassian Jira: </w:t>
            </w:r>
            <w:r>
              <w:rPr>
                <w:rFonts w:ascii="Calibri" w:hAnsi="Calibri"/>
                <w:color w:val="222222"/>
                <w:sz w:val="19"/>
              </w:rPr>
              <w:t>Contiene las épicas, historias de usuario priorizadas, criterios de aceptación y asignación por Sprint. Justifica el cumplimiento del OE1 y demuestra el control metodológico del proyecto.</w:t>
            </w:r>
          </w:p>
          <w:p w14:paraId="18BE9770" w14:textId="77777777" w:rsidR="00B82A2F" w:rsidRDefault="00000000">
            <w:pPr>
              <w:spacing w:before="40" w:after="80"/>
            </w:pPr>
            <w:r>
              <w:rPr>
                <w:rFonts w:ascii="Calibri" w:hAnsi="Calibri"/>
                <w:b/>
                <w:color w:val="222222"/>
                <w:sz w:val="19"/>
              </w:rPr>
              <w:t xml:space="preserve">2. Diagrama Entidad-Relación (DER) y Scripts DDL en PostgreSQL: </w:t>
            </w:r>
            <w:r>
              <w:rPr>
                <w:rFonts w:ascii="Calibri" w:hAnsi="Calibri"/>
                <w:color w:val="222222"/>
                <w:sz w:val="19"/>
              </w:rPr>
              <w:t>Contiene la definición de tablas normalizadas, tipos JSONB para metadatos de marketplaces, claves foráneas y restricciones CHECK para separar el stock físico, reservado y disponible. Justifica el logro del OE2 y demuestra el sustento transaccional contra la sobreventa.</w:t>
            </w:r>
          </w:p>
          <w:p w14:paraId="62C45CA2" w14:textId="77777777" w:rsidR="00B82A2F" w:rsidRDefault="00000000">
            <w:pPr>
              <w:spacing w:before="40" w:after="80"/>
            </w:pPr>
            <w:r>
              <w:rPr>
                <w:rFonts w:ascii="Calibri" w:hAnsi="Calibri"/>
                <w:b/>
                <w:color w:val="222222"/>
                <w:sz w:val="19"/>
              </w:rPr>
              <w:t xml:space="preserve">3. Repositorio Git con Arquitectura Hexagonal en Golang y PoC de Paginación (Hito TRL 3): </w:t>
            </w:r>
            <w:r>
              <w:rPr>
                <w:rFonts w:ascii="Calibri" w:hAnsi="Calibri"/>
                <w:color w:val="222222"/>
                <w:sz w:val="19"/>
              </w:rPr>
              <w:t>Evidencia la estructura de carpetas desacoplada (Controladores HTTP en Go, Núcleo de Negocio/Casos de Uso y Adaptadores de Base de Datos/APIs externas), junto con los módulos de autenticación, roles y consultas paginadas de órdenes. Justifica el avance del OE3 y comprueba empíricamente la reducción del tiempo de respuesta desde 1 minuto a milisegundos.</w:t>
            </w:r>
          </w:p>
          <w:p w14:paraId="22228E7E" w14:textId="77777777" w:rsidR="00B82A2F" w:rsidRDefault="00000000">
            <w:pPr>
              <w:spacing w:before="40" w:after="80"/>
            </w:pPr>
            <w:r>
              <w:rPr>
                <w:rFonts w:ascii="Calibri" w:hAnsi="Calibri"/>
                <w:b/>
                <w:color w:val="222222"/>
                <w:sz w:val="19"/>
              </w:rPr>
              <w:t xml:space="preserve">4. Mockups de Interfaz de Usuario (UI) Estandarizados: </w:t>
            </w:r>
            <w:r>
              <w:rPr>
                <w:rFonts w:ascii="Calibri" w:hAnsi="Calibri"/>
                <w:color w:val="222222"/>
                <w:sz w:val="19"/>
              </w:rPr>
              <w:t>Prototipos visuales de alta fidelidad que unifican colores, botones, tablas paginadas y filtros para WeManager 2.0, justificando el avance del OE4 previo a la codificación intensiva en React.</w:t>
            </w:r>
          </w:p>
          <w:p w14:paraId="22C130DF" w14:textId="77777777" w:rsidR="00B82A2F" w:rsidRDefault="00000000">
            <w:pPr>
              <w:spacing w:before="40" w:after="80"/>
            </w:pPr>
            <w:r>
              <w:rPr>
                <w:rFonts w:ascii="Calibri" w:hAnsi="Calibri"/>
                <w:b/>
                <w:color w:val="0A2540"/>
                <w:sz w:val="19"/>
              </w:rPr>
              <w:t>Resguardo de la calidad disciplinar (Ingeniería en Informática):</w:t>
            </w:r>
          </w:p>
          <w:p w14:paraId="687C9E38" w14:textId="77777777" w:rsidR="00B82A2F" w:rsidRDefault="00000000">
            <w:pPr>
              <w:spacing w:before="40" w:after="80"/>
            </w:pPr>
            <w:r>
              <w:rPr>
                <w:rFonts w:ascii="Calibri" w:hAnsi="Calibri"/>
                <w:color w:val="222222"/>
                <w:sz w:val="19"/>
              </w:rPr>
              <w:t>La calidad técnica se resguardó mediante: (a) aplicación estricta de Arquitectura Hexagonal en Golang para que el núcleo no dependa de tecnologías externas y sea 100% testeable mediante pruebas unitarias aisladas; (b) uso de transacciones ACID, bloqueos de fila e índices en PostgreSQL para asegurar consistencia concurrente; (c) control de versiones en Git con revisión cruzada entre los tres integrantes; y (d) validación directa con el Product Owner de WeStorage.</w:t>
            </w:r>
          </w:p>
        </w:tc>
      </w:tr>
    </w:tbl>
    <w:p w14:paraId="0AD89310" w14:textId="77777777" w:rsidR="00B82A2F" w:rsidRDefault="00000000">
      <w:r>
        <w:br w:type="page"/>
      </w:r>
    </w:p>
    <w:p w14:paraId="318E76A0" w14:textId="77777777" w:rsidR="00B82A2F" w:rsidRDefault="00000000">
      <w:pPr>
        <w:spacing w:before="80" w:after="80"/>
      </w:pPr>
      <w:r>
        <w:rPr>
          <w:rFonts w:ascii="Calibri" w:hAnsi="Calibri"/>
          <w:b/>
          <w:color w:val="0A2540"/>
          <w:sz w:val="28"/>
        </w:rPr>
        <w:lastRenderedPageBreak/>
        <w:t>2. Monitoreo del Plan de Trabajo</w:t>
      </w:r>
    </w:p>
    <w:p w14:paraId="4169993D" w14:textId="77777777" w:rsidR="00B82A2F" w:rsidRDefault="00000000">
      <w:pPr>
        <w:spacing w:after="120"/>
      </w:pPr>
      <w:r>
        <w:rPr>
          <w:rFonts w:ascii="Calibri" w:hAnsi="Calibri"/>
          <w:sz w:val="20"/>
        </w:rPr>
        <w:t>A continuación, se presenta el monitoreo detallado de las actividades del Plan de Trabajo en esta Fase 2, especificando las competencias disciplinares asociadas, los recursos utilizados, la redistribución real de responsables dentro del equipo y los ajustes efectuados:</w:t>
      </w:r>
    </w:p>
    <w:tbl>
      <w:tblPr>
        <w:tblW w:w="0" w:type="auto"/>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ook w:val="04A0" w:firstRow="1" w:lastRow="0" w:firstColumn="1" w:lastColumn="0" w:noHBand="0" w:noVBand="1"/>
      </w:tblPr>
      <w:tblGrid>
        <w:gridCol w:w="1499"/>
        <w:gridCol w:w="1655"/>
        <w:gridCol w:w="1105"/>
        <w:gridCol w:w="1100"/>
        <w:gridCol w:w="1079"/>
        <w:gridCol w:w="1634"/>
        <w:gridCol w:w="1024"/>
        <w:gridCol w:w="1368"/>
      </w:tblGrid>
      <w:tr w:rsidR="00B82A2F" w14:paraId="2DB922E4" w14:textId="77777777">
        <w:trPr>
          <w:jc w:val="center"/>
        </w:trPr>
        <w:tc>
          <w:tcPr>
            <w:tcW w:w="10224" w:type="dxa"/>
            <w:gridSpan w:val="8"/>
            <w:shd w:val="clear" w:color="auto" w:fill="0A2540"/>
            <w:tcMar>
              <w:top w:w="80" w:type="dxa"/>
              <w:left w:w="120" w:type="dxa"/>
              <w:bottom w:w="80" w:type="dxa"/>
              <w:right w:w="120" w:type="dxa"/>
            </w:tcMar>
          </w:tcPr>
          <w:p w14:paraId="0B288D15" w14:textId="77777777" w:rsidR="00B82A2F" w:rsidRDefault="00000000">
            <w:pPr>
              <w:spacing w:before="40" w:after="80"/>
              <w:jc w:val="center"/>
            </w:pPr>
            <w:r>
              <w:rPr>
                <w:rFonts w:ascii="Calibri" w:hAnsi="Calibri"/>
                <w:b/>
                <w:color w:val="FFFFFF"/>
                <w:sz w:val="21"/>
              </w:rPr>
              <w:t>Plan de Trabajo – Proyecto APT WeManager 2.0 (Monitoreo Fase 2)</w:t>
            </w:r>
          </w:p>
        </w:tc>
      </w:tr>
      <w:tr w:rsidR="00B82A2F" w14:paraId="22F81E5A" w14:textId="77777777">
        <w:trPr>
          <w:jc w:val="center"/>
        </w:trPr>
        <w:tc>
          <w:tcPr>
            <w:tcW w:w="1512" w:type="dxa"/>
            <w:shd w:val="clear" w:color="auto" w:fill="1E3A5F"/>
            <w:tcMar>
              <w:top w:w="70" w:type="dxa"/>
              <w:left w:w="80" w:type="dxa"/>
              <w:bottom w:w="70" w:type="dxa"/>
              <w:right w:w="80" w:type="dxa"/>
            </w:tcMar>
          </w:tcPr>
          <w:p w14:paraId="327C4A83" w14:textId="77777777" w:rsidR="00B82A2F" w:rsidRDefault="00000000">
            <w:pPr>
              <w:spacing w:before="40" w:after="80"/>
            </w:pPr>
            <w:r>
              <w:rPr>
                <w:rFonts w:ascii="Calibri" w:hAnsi="Calibri"/>
                <w:b/>
                <w:color w:val="FFFFFF"/>
                <w:sz w:val="17"/>
              </w:rPr>
              <w:t>Competencia o unidades de competencias</w:t>
            </w:r>
          </w:p>
        </w:tc>
        <w:tc>
          <w:tcPr>
            <w:tcW w:w="1656" w:type="dxa"/>
            <w:shd w:val="clear" w:color="auto" w:fill="1E3A5F"/>
            <w:tcMar>
              <w:top w:w="70" w:type="dxa"/>
              <w:left w:w="80" w:type="dxa"/>
              <w:bottom w:w="70" w:type="dxa"/>
              <w:right w:w="80" w:type="dxa"/>
            </w:tcMar>
          </w:tcPr>
          <w:p w14:paraId="65435A94" w14:textId="77777777" w:rsidR="00B82A2F" w:rsidRDefault="00000000">
            <w:pPr>
              <w:spacing w:before="40" w:after="80"/>
            </w:pPr>
            <w:r>
              <w:rPr>
                <w:rFonts w:ascii="Calibri" w:hAnsi="Calibri"/>
                <w:b/>
                <w:color w:val="FFFFFF"/>
                <w:sz w:val="17"/>
              </w:rPr>
              <w:t>Actividades</w:t>
            </w:r>
          </w:p>
        </w:tc>
        <w:tc>
          <w:tcPr>
            <w:tcW w:w="1080" w:type="dxa"/>
            <w:shd w:val="clear" w:color="auto" w:fill="1E3A5F"/>
            <w:tcMar>
              <w:top w:w="70" w:type="dxa"/>
              <w:left w:w="80" w:type="dxa"/>
              <w:bottom w:w="70" w:type="dxa"/>
              <w:right w:w="80" w:type="dxa"/>
            </w:tcMar>
          </w:tcPr>
          <w:p w14:paraId="63F6DB8C" w14:textId="77777777" w:rsidR="00B82A2F" w:rsidRDefault="00000000">
            <w:pPr>
              <w:spacing w:before="40" w:after="80"/>
            </w:pPr>
            <w:r>
              <w:rPr>
                <w:rFonts w:ascii="Calibri" w:hAnsi="Calibri"/>
                <w:b/>
                <w:color w:val="FFFFFF"/>
                <w:sz w:val="17"/>
              </w:rPr>
              <w:t>Recursos</w:t>
            </w:r>
          </w:p>
        </w:tc>
        <w:tc>
          <w:tcPr>
            <w:tcW w:w="936" w:type="dxa"/>
            <w:shd w:val="clear" w:color="auto" w:fill="1E3A5F"/>
            <w:tcMar>
              <w:top w:w="70" w:type="dxa"/>
              <w:left w:w="80" w:type="dxa"/>
              <w:bottom w:w="70" w:type="dxa"/>
              <w:right w:w="80" w:type="dxa"/>
            </w:tcMar>
          </w:tcPr>
          <w:p w14:paraId="10516666" w14:textId="77777777" w:rsidR="00B82A2F" w:rsidRDefault="00000000">
            <w:pPr>
              <w:spacing w:before="40" w:after="80"/>
            </w:pPr>
            <w:r>
              <w:rPr>
                <w:rFonts w:ascii="Calibri" w:hAnsi="Calibri"/>
                <w:b/>
                <w:color w:val="FFFFFF"/>
                <w:sz w:val="17"/>
              </w:rPr>
              <w:t>Duración</w:t>
            </w:r>
          </w:p>
        </w:tc>
        <w:tc>
          <w:tcPr>
            <w:tcW w:w="1080" w:type="dxa"/>
            <w:shd w:val="clear" w:color="auto" w:fill="1E3A5F"/>
            <w:tcMar>
              <w:top w:w="70" w:type="dxa"/>
              <w:left w:w="80" w:type="dxa"/>
              <w:bottom w:w="70" w:type="dxa"/>
              <w:right w:w="80" w:type="dxa"/>
            </w:tcMar>
          </w:tcPr>
          <w:p w14:paraId="1DD2170C" w14:textId="77777777" w:rsidR="00B82A2F" w:rsidRDefault="00000000">
            <w:pPr>
              <w:spacing w:before="40" w:after="80"/>
            </w:pPr>
            <w:r>
              <w:rPr>
                <w:rFonts w:ascii="Calibri" w:hAnsi="Calibri"/>
                <w:b/>
                <w:color w:val="FFFFFF"/>
                <w:sz w:val="17"/>
              </w:rPr>
              <w:t>Responsable</w:t>
            </w:r>
          </w:p>
        </w:tc>
        <w:tc>
          <w:tcPr>
            <w:tcW w:w="1656" w:type="dxa"/>
            <w:shd w:val="clear" w:color="auto" w:fill="1E3A5F"/>
            <w:tcMar>
              <w:top w:w="70" w:type="dxa"/>
              <w:left w:w="80" w:type="dxa"/>
              <w:bottom w:w="70" w:type="dxa"/>
              <w:right w:w="80" w:type="dxa"/>
            </w:tcMar>
          </w:tcPr>
          <w:p w14:paraId="1FCADF7C" w14:textId="77777777" w:rsidR="00B82A2F" w:rsidRDefault="00000000">
            <w:pPr>
              <w:spacing w:before="40" w:after="80"/>
            </w:pPr>
            <w:r>
              <w:rPr>
                <w:rFonts w:ascii="Calibri" w:hAnsi="Calibri"/>
                <w:b/>
                <w:color w:val="FFFFFF"/>
                <w:sz w:val="17"/>
              </w:rPr>
              <w:t>Observaciones (Facilitadores [F] / Dificultades [O])</w:t>
            </w:r>
          </w:p>
        </w:tc>
        <w:tc>
          <w:tcPr>
            <w:tcW w:w="936" w:type="dxa"/>
            <w:shd w:val="clear" w:color="auto" w:fill="1E3A5F"/>
            <w:tcMar>
              <w:top w:w="70" w:type="dxa"/>
              <w:left w:w="80" w:type="dxa"/>
              <w:bottom w:w="70" w:type="dxa"/>
              <w:right w:w="80" w:type="dxa"/>
            </w:tcMar>
          </w:tcPr>
          <w:p w14:paraId="44EC4D65" w14:textId="77777777" w:rsidR="00B82A2F" w:rsidRDefault="00000000">
            <w:pPr>
              <w:spacing w:before="40" w:after="80"/>
            </w:pPr>
            <w:r>
              <w:rPr>
                <w:rFonts w:ascii="Calibri" w:hAnsi="Calibri"/>
                <w:b/>
                <w:color w:val="FFFFFF"/>
                <w:sz w:val="17"/>
              </w:rPr>
              <w:t>Estado de avance</w:t>
            </w:r>
          </w:p>
        </w:tc>
        <w:tc>
          <w:tcPr>
            <w:tcW w:w="1368" w:type="dxa"/>
            <w:shd w:val="clear" w:color="auto" w:fill="1E3A5F"/>
            <w:tcMar>
              <w:top w:w="70" w:type="dxa"/>
              <w:left w:w="80" w:type="dxa"/>
              <w:bottom w:w="70" w:type="dxa"/>
              <w:right w:w="80" w:type="dxa"/>
            </w:tcMar>
          </w:tcPr>
          <w:p w14:paraId="3862021F" w14:textId="77777777" w:rsidR="00B82A2F" w:rsidRDefault="00000000">
            <w:pPr>
              <w:spacing w:before="40" w:after="80"/>
            </w:pPr>
            <w:r>
              <w:rPr>
                <w:rFonts w:ascii="Calibri" w:hAnsi="Calibri"/>
                <w:b/>
                <w:color w:val="FFFFFF"/>
                <w:sz w:val="17"/>
              </w:rPr>
              <w:t>Ajustes</w:t>
            </w:r>
          </w:p>
        </w:tc>
      </w:tr>
      <w:tr w:rsidR="00B82A2F" w14:paraId="24E651BF" w14:textId="77777777">
        <w:trPr>
          <w:jc w:val="center"/>
        </w:trPr>
        <w:tc>
          <w:tcPr>
            <w:tcW w:w="1512" w:type="dxa"/>
            <w:shd w:val="clear" w:color="auto" w:fill="FFFFFF"/>
            <w:tcMar>
              <w:top w:w="70" w:type="dxa"/>
              <w:left w:w="80" w:type="dxa"/>
              <w:bottom w:w="70" w:type="dxa"/>
              <w:right w:w="80" w:type="dxa"/>
            </w:tcMar>
          </w:tcPr>
          <w:p w14:paraId="23B13A4A" w14:textId="77777777" w:rsidR="00B82A2F" w:rsidRDefault="00000000">
            <w:pPr>
              <w:spacing w:before="40" w:after="80"/>
            </w:pPr>
            <w:r>
              <w:rPr>
                <w:rFonts w:ascii="Calibri" w:hAnsi="Calibri"/>
                <w:color w:val="222222"/>
                <w:sz w:val="17"/>
              </w:rPr>
              <w:t>Gestionar proyectos informáticos, ofreciendo alternativas para la toma de decisiones de acuerdo a los requerimientos de la organización.</w:t>
            </w:r>
          </w:p>
        </w:tc>
        <w:tc>
          <w:tcPr>
            <w:tcW w:w="1656" w:type="dxa"/>
            <w:shd w:val="clear" w:color="auto" w:fill="FFFFFF"/>
            <w:tcMar>
              <w:top w:w="70" w:type="dxa"/>
              <w:left w:w="80" w:type="dxa"/>
              <w:bottom w:w="70" w:type="dxa"/>
              <w:right w:w="80" w:type="dxa"/>
            </w:tcMar>
          </w:tcPr>
          <w:p w14:paraId="6115E952" w14:textId="77777777" w:rsidR="00B82A2F" w:rsidRDefault="00000000">
            <w:pPr>
              <w:spacing w:before="40" w:after="80"/>
            </w:pPr>
            <w:r>
              <w:rPr>
                <w:rFonts w:ascii="Calibri" w:hAnsi="Calibri"/>
                <w:color w:val="222222"/>
                <w:sz w:val="17"/>
              </w:rPr>
              <w:t>1. Planificación y Backlog Inicial: Creación del proyecto en Jira, levantamiento con WeStorage, redacción de historias de usuario y criterios de aceptación.</w:t>
            </w:r>
          </w:p>
        </w:tc>
        <w:tc>
          <w:tcPr>
            <w:tcW w:w="1080" w:type="dxa"/>
            <w:shd w:val="clear" w:color="auto" w:fill="FFFFFF"/>
            <w:tcMar>
              <w:top w:w="70" w:type="dxa"/>
              <w:left w:w="80" w:type="dxa"/>
              <w:bottom w:w="70" w:type="dxa"/>
              <w:right w:w="80" w:type="dxa"/>
            </w:tcMar>
          </w:tcPr>
          <w:p w14:paraId="20A4D0B9" w14:textId="77777777" w:rsidR="00B82A2F" w:rsidRDefault="00000000">
            <w:pPr>
              <w:spacing w:before="40" w:after="80"/>
            </w:pPr>
            <w:r>
              <w:rPr>
                <w:rFonts w:ascii="Calibri" w:hAnsi="Calibri"/>
                <w:color w:val="222222"/>
                <w:sz w:val="17"/>
              </w:rPr>
              <w:t>Atlassian Jira, Confluence, Discord, Reuniones con PO (Ismael Depablos).</w:t>
            </w:r>
          </w:p>
        </w:tc>
        <w:tc>
          <w:tcPr>
            <w:tcW w:w="936" w:type="dxa"/>
            <w:shd w:val="clear" w:color="auto" w:fill="FFFFFF"/>
            <w:tcMar>
              <w:top w:w="70" w:type="dxa"/>
              <w:left w:w="80" w:type="dxa"/>
              <w:bottom w:w="70" w:type="dxa"/>
              <w:right w:w="80" w:type="dxa"/>
            </w:tcMar>
          </w:tcPr>
          <w:p w14:paraId="6DE80C31" w14:textId="77777777" w:rsidR="00B82A2F" w:rsidRDefault="00000000">
            <w:pPr>
              <w:spacing w:before="40" w:after="80"/>
            </w:pPr>
            <w:r>
              <w:rPr>
                <w:rFonts w:ascii="Calibri" w:hAnsi="Calibri"/>
                <w:color w:val="222222"/>
                <w:sz w:val="17"/>
              </w:rPr>
              <w:t>4 semanas (Fase inicial).</w:t>
            </w:r>
          </w:p>
        </w:tc>
        <w:tc>
          <w:tcPr>
            <w:tcW w:w="1080" w:type="dxa"/>
            <w:shd w:val="clear" w:color="auto" w:fill="FFFFFF"/>
            <w:tcMar>
              <w:top w:w="70" w:type="dxa"/>
              <w:left w:w="80" w:type="dxa"/>
              <w:bottom w:w="70" w:type="dxa"/>
              <w:right w:w="80" w:type="dxa"/>
            </w:tcMar>
          </w:tcPr>
          <w:p w14:paraId="7A289C79" w14:textId="77777777" w:rsidR="00B82A2F" w:rsidRDefault="00000000">
            <w:pPr>
              <w:spacing w:before="40" w:after="80"/>
            </w:pPr>
            <w:r>
              <w:rPr>
                <w:rFonts w:ascii="Calibri" w:hAnsi="Calibri"/>
                <w:color w:val="222222"/>
                <w:sz w:val="17"/>
              </w:rPr>
              <w:t>Joaquín Muñoz (Scrum Master), Cristóbal Altamirano y José Alegría.</w:t>
            </w:r>
          </w:p>
        </w:tc>
        <w:tc>
          <w:tcPr>
            <w:tcW w:w="1656" w:type="dxa"/>
            <w:shd w:val="clear" w:color="auto" w:fill="FFFFFF"/>
            <w:tcMar>
              <w:top w:w="70" w:type="dxa"/>
              <w:left w:w="80" w:type="dxa"/>
              <w:bottom w:w="70" w:type="dxa"/>
              <w:right w:w="80" w:type="dxa"/>
            </w:tcMar>
          </w:tcPr>
          <w:p w14:paraId="0307C4B9" w14:textId="77777777" w:rsidR="00B82A2F" w:rsidRDefault="00000000">
            <w:pPr>
              <w:spacing w:before="40" w:after="80"/>
            </w:pPr>
            <w:r>
              <w:rPr>
                <w:rFonts w:ascii="Calibri" w:hAnsi="Calibri"/>
                <w:color w:val="222222"/>
                <w:sz w:val="17"/>
              </w:rPr>
              <w:t>[F]: Claridad de la problemática de WeStorage y disponibilidad del Product Owner.</w:t>
            </w:r>
            <w:r>
              <w:rPr>
                <w:rFonts w:ascii="Calibri" w:hAnsi="Calibri"/>
                <w:color w:val="222222"/>
                <w:sz w:val="17"/>
              </w:rPr>
              <w:br/>
              <w:t>[O]: Ajustes de alcance tras detectar tiempos de carga de 1 minuto en Órdenes Web.</w:t>
            </w:r>
          </w:p>
        </w:tc>
        <w:tc>
          <w:tcPr>
            <w:tcW w:w="936" w:type="dxa"/>
            <w:shd w:val="clear" w:color="auto" w:fill="FFFFFF"/>
            <w:tcMar>
              <w:top w:w="70" w:type="dxa"/>
              <w:left w:w="80" w:type="dxa"/>
              <w:bottom w:w="70" w:type="dxa"/>
              <w:right w:w="80" w:type="dxa"/>
            </w:tcMar>
          </w:tcPr>
          <w:p w14:paraId="5C129CEF" w14:textId="77777777" w:rsidR="00B82A2F" w:rsidRDefault="00000000">
            <w:pPr>
              <w:spacing w:before="40" w:after="80"/>
            </w:pPr>
            <w:r>
              <w:rPr>
                <w:rFonts w:ascii="Calibri" w:hAnsi="Calibri"/>
                <w:b/>
                <w:color w:val="0A2540"/>
                <w:sz w:val="17"/>
              </w:rPr>
              <w:t>Completado</w:t>
            </w:r>
          </w:p>
        </w:tc>
        <w:tc>
          <w:tcPr>
            <w:tcW w:w="1368" w:type="dxa"/>
            <w:shd w:val="clear" w:color="auto" w:fill="FFFFFF"/>
            <w:tcMar>
              <w:top w:w="70" w:type="dxa"/>
              <w:left w:w="80" w:type="dxa"/>
              <w:bottom w:w="70" w:type="dxa"/>
              <w:right w:w="80" w:type="dxa"/>
            </w:tcMar>
          </w:tcPr>
          <w:p w14:paraId="511B71B7" w14:textId="77777777" w:rsidR="00B82A2F" w:rsidRDefault="00000000">
            <w:pPr>
              <w:spacing w:before="40" w:after="80"/>
            </w:pPr>
            <w:r>
              <w:rPr>
                <w:rFonts w:ascii="Calibri" w:hAnsi="Calibri"/>
                <w:color w:val="222222"/>
                <w:sz w:val="17"/>
              </w:rPr>
              <w:t>Se incorporaron historias de usuario específicas para paginación de órdenes, estandarización visual y control de roles.</w:t>
            </w:r>
          </w:p>
        </w:tc>
      </w:tr>
      <w:tr w:rsidR="00B82A2F" w14:paraId="570ECD9A" w14:textId="77777777">
        <w:trPr>
          <w:jc w:val="center"/>
        </w:trPr>
        <w:tc>
          <w:tcPr>
            <w:tcW w:w="1512" w:type="dxa"/>
            <w:shd w:val="clear" w:color="auto" w:fill="F9FAFC"/>
            <w:tcMar>
              <w:top w:w="70" w:type="dxa"/>
              <w:left w:w="80" w:type="dxa"/>
              <w:bottom w:w="70" w:type="dxa"/>
              <w:right w:w="80" w:type="dxa"/>
            </w:tcMar>
          </w:tcPr>
          <w:p w14:paraId="32DAE52E" w14:textId="77777777" w:rsidR="00B82A2F" w:rsidRDefault="00000000">
            <w:pPr>
              <w:spacing w:before="40" w:after="80"/>
            </w:pPr>
            <w:r>
              <w:rPr>
                <w:rFonts w:ascii="Calibri" w:hAnsi="Calibri"/>
                <w:color w:val="222222"/>
                <w:sz w:val="17"/>
              </w:rPr>
              <w:t>Construir modelos de datos para soportar los requerimientos de la organización de acuerdo a un diseño definido y escalable en el tiempo.</w:t>
            </w:r>
          </w:p>
        </w:tc>
        <w:tc>
          <w:tcPr>
            <w:tcW w:w="1656" w:type="dxa"/>
            <w:shd w:val="clear" w:color="auto" w:fill="F9FAFC"/>
            <w:tcMar>
              <w:top w:w="70" w:type="dxa"/>
              <w:left w:w="80" w:type="dxa"/>
              <w:bottom w:w="70" w:type="dxa"/>
              <w:right w:w="80" w:type="dxa"/>
            </w:tcMar>
          </w:tcPr>
          <w:p w14:paraId="1296D28E" w14:textId="77777777" w:rsidR="00B82A2F" w:rsidRDefault="00000000">
            <w:pPr>
              <w:spacing w:before="40" w:after="80"/>
            </w:pPr>
            <w:r>
              <w:rPr>
                <w:rFonts w:ascii="Calibri" w:hAnsi="Calibri"/>
                <w:color w:val="222222"/>
                <w:sz w:val="17"/>
              </w:rPr>
              <w:t>2. Modelado de Base de Datos Transaccional: Diseño relacional normalizado en PostgreSQL, scripts DDL con restricciones CHECK y columnas JSONB.</w:t>
            </w:r>
          </w:p>
        </w:tc>
        <w:tc>
          <w:tcPr>
            <w:tcW w:w="1080" w:type="dxa"/>
            <w:shd w:val="clear" w:color="auto" w:fill="F9FAFC"/>
            <w:tcMar>
              <w:top w:w="70" w:type="dxa"/>
              <w:left w:w="80" w:type="dxa"/>
              <w:bottom w:w="70" w:type="dxa"/>
              <w:right w:w="80" w:type="dxa"/>
            </w:tcMar>
          </w:tcPr>
          <w:p w14:paraId="3F1857F2" w14:textId="77777777" w:rsidR="00B82A2F" w:rsidRDefault="00000000">
            <w:pPr>
              <w:spacing w:before="40" w:after="80"/>
            </w:pPr>
            <w:r>
              <w:rPr>
                <w:rFonts w:ascii="Calibri" w:hAnsi="Calibri"/>
                <w:color w:val="222222"/>
                <w:sz w:val="17"/>
              </w:rPr>
              <w:t>PostgreSQL, Herramientas DER, Git.</w:t>
            </w:r>
          </w:p>
        </w:tc>
        <w:tc>
          <w:tcPr>
            <w:tcW w:w="936" w:type="dxa"/>
            <w:shd w:val="clear" w:color="auto" w:fill="F9FAFC"/>
            <w:tcMar>
              <w:top w:w="70" w:type="dxa"/>
              <w:left w:w="80" w:type="dxa"/>
              <w:bottom w:w="70" w:type="dxa"/>
              <w:right w:w="80" w:type="dxa"/>
            </w:tcMar>
          </w:tcPr>
          <w:p w14:paraId="23F2A7E5" w14:textId="77777777" w:rsidR="00B82A2F" w:rsidRDefault="00000000">
            <w:pPr>
              <w:spacing w:before="40" w:after="80"/>
            </w:pPr>
            <w:r>
              <w:rPr>
                <w:rFonts w:ascii="Calibri" w:hAnsi="Calibri"/>
                <w:color w:val="222222"/>
                <w:sz w:val="17"/>
              </w:rPr>
              <w:t>4 semanas (Fase de diseño y datos).</w:t>
            </w:r>
          </w:p>
        </w:tc>
        <w:tc>
          <w:tcPr>
            <w:tcW w:w="1080" w:type="dxa"/>
            <w:shd w:val="clear" w:color="auto" w:fill="F9FAFC"/>
            <w:tcMar>
              <w:top w:w="70" w:type="dxa"/>
              <w:left w:w="80" w:type="dxa"/>
              <w:bottom w:w="70" w:type="dxa"/>
              <w:right w:w="80" w:type="dxa"/>
            </w:tcMar>
          </w:tcPr>
          <w:p w14:paraId="2F1FD2E3" w14:textId="77777777" w:rsidR="00B82A2F" w:rsidRDefault="00000000">
            <w:pPr>
              <w:spacing w:before="40" w:after="80"/>
            </w:pPr>
            <w:r>
              <w:rPr>
                <w:rFonts w:ascii="Calibri" w:hAnsi="Calibri"/>
                <w:color w:val="222222"/>
                <w:sz w:val="17"/>
              </w:rPr>
              <w:t>Joaquín Muñoz y José Alegría.</w:t>
            </w:r>
          </w:p>
        </w:tc>
        <w:tc>
          <w:tcPr>
            <w:tcW w:w="1656" w:type="dxa"/>
            <w:shd w:val="clear" w:color="auto" w:fill="F9FAFC"/>
            <w:tcMar>
              <w:top w:w="70" w:type="dxa"/>
              <w:left w:w="80" w:type="dxa"/>
              <w:bottom w:w="70" w:type="dxa"/>
              <w:right w:w="80" w:type="dxa"/>
            </w:tcMar>
          </w:tcPr>
          <w:p w14:paraId="72EA0802" w14:textId="77777777" w:rsidR="00B82A2F" w:rsidRDefault="00000000">
            <w:pPr>
              <w:spacing w:before="40" w:after="80"/>
            </w:pPr>
            <w:r>
              <w:rPr>
                <w:rFonts w:ascii="Calibri" w:hAnsi="Calibri"/>
                <w:color w:val="222222"/>
                <w:sz w:val="17"/>
              </w:rPr>
              <w:t>[F]: Conocimiento previo del equipo en SQL relacional.</w:t>
            </w:r>
            <w:r>
              <w:rPr>
                <w:rFonts w:ascii="Calibri" w:hAnsi="Calibri"/>
                <w:color w:val="222222"/>
                <w:sz w:val="17"/>
              </w:rPr>
              <w:br/>
              <w:t>[O]: Complejidad técnica para aislar stock físico, reservado y disponible e indexar búsquedas masivas.</w:t>
            </w:r>
          </w:p>
        </w:tc>
        <w:tc>
          <w:tcPr>
            <w:tcW w:w="936" w:type="dxa"/>
            <w:shd w:val="clear" w:color="auto" w:fill="F9FAFC"/>
            <w:tcMar>
              <w:top w:w="70" w:type="dxa"/>
              <w:left w:w="80" w:type="dxa"/>
              <w:bottom w:w="70" w:type="dxa"/>
              <w:right w:w="80" w:type="dxa"/>
            </w:tcMar>
          </w:tcPr>
          <w:p w14:paraId="174221C0" w14:textId="77777777" w:rsidR="00B82A2F" w:rsidRDefault="00000000">
            <w:pPr>
              <w:spacing w:before="40" w:after="80"/>
            </w:pPr>
            <w:r>
              <w:rPr>
                <w:rFonts w:ascii="Calibri" w:hAnsi="Calibri"/>
                <w:b/>
                <w:color w:val="0A2540"/>
                <w:sz w:val="17"/>
              </w:rPr>
              <w:t>Completado</w:t>
            </w:r>
          </w:p>
        </w:tc>
        <w:tc>
          <w:tcPr>
            <w:tcW w:w="1368" w:type="dxa"/>
            <w:shd w:val="clear" w:color="auto" w:fill="F9FAFC"/>
            <w:tcMar>
              <w:top w:w="70" w:type="dxa"/>
              <w:left w:w="80" w:type="dxa"/>
              <w:bottom w:w="70" w:type="dxa"/>
              <w:right w:w="80" w:type="dxa"/>
            </w:tcMar>
          </w:tcPr>
          <w:p w14:paraId="5F158150" w14:textId="77777777" w:rsidR="00B82A2F" w:rsidRDefault="00000000">
            <w:pPr>
              <w:spacing w:before="40" w:after="80"/>
            </w:pPr>
            <w:r>
              <w:rPr>
                <w:rFonts w:ascii="Calibri" w:hAnsi="Calibri"/>
                <w:color w:val="222222"/>
                <w:sz w:val="17"/>
              </w:rPr>
              <w:t>Se añadieron índices compuestos para acelerar la paginación del módulo de órdenes y soporte multialmacén (Enea y San Bernardo).</w:t>
            </w:r>
          </w:p>
        </w:tc>
      </w:tr>
      <w:tr w:rsidR="00B82A2F" w14:paraId="0DC94B8A" w14:textId="77777777">
        <w:trPr>
          <w:jc w:val="center"/>
        </w:trPr>
        <w:tc>
          <w:tcPr>
            <w:tcW w:w="1512" w:type="dxa"/>
            <w:shd w:val="clear" w:color="auto" w:fill="FFFFFF"/>
            <w:tcMar>
              <w:top w:w="70" w:type="dxa"/>
              <w:left w:w="80" w:type="dxa"/>
              <w:bottom w:w="70" w:type="dxa"/>
              <w:right w:w="80" w:type="dxa"/>
            </w:tcMar>
          </w:tcPr>
          <w:p w14:paraId="6DF26A3B" w14:textId="77777777" w:rsidR="00B82A2F" w:rsidRDefault="00000000">
            <w:pPr>
              <w:spacing w:before="40" w:after="80"/>
            </w:pPr>
            <w:r>
              <w:rPr>
                <w:rFonts w:ascii="Calibri" w:hAnsi="Calibri"/>
                <w:color w:val="222222"/>
                <w:sz w:val="17"/>
              </w:rPr>
              <w:t>Desarrollar una solución de software utilizando técnicas que permitan sistematizar el proceso de desarrollo y mantenimiento.</w:t>
            </w:r>
          </w:p>
        </w:tc>
        <w:tc>
          <w:tcPr>
            <w:tcW w:w="1656" w:type="dxa"/>
            <w:shd w:val="clear" w:color="auto" w:fill="FFFFFF"/>
            <w:tcMar>
              <w:top w:w="70" w:type="dxa"/>
              <w:left w:w="80" w:type="dxa"/>
              <w:bottom w:w="70" w:type="dxa"/>
              <w:right w:w="80" w:type="dxa"/>
            </w:tcMar>
          </w:tcPr>
          <w:p w14:paraId="07E238BF" w14:textId="77777777" w:rsidR="00B82A2F" w:rsidRDefault="00000000">
            <w:pPr>
              <w:spacing w:before="40" w:after="80"/>
            </w:pPr>
            <w:r>
              <w:rPr>
                <w:rFonts w:ascii="Calibri" w:hAnsi="Calibri"/>
                <w:color w:val="222222"/>
                <w:sz w:val="17"/>
              </w:rPr>
              <w:t>3. Definición de Arquitectura Hexagonal y PoC TRL 3: Estructuración del núcleo desacoplado en Golang, puertos/adaptadores y prueba de concepto de paginación.</w:t>
            </w:r>
          </w:p>
        </w:tc>
        <w:tc>
          <w:tcPr>
            <w:tcW w:w="1080" w:type="dxa"/>
            <w:shd w:val="clear" w:color="auto" w:fill="FFFFFF"/>
            <w:tcMar>
              <w:top w:w="70" w:type="dxa"/>
              <w:left w:w="80" w:type="dxa"/>
              <w:bottom w:w="70" w:type="dxa"/>
              <w:right w:w="80" w:type="dxa"/>
            </w:tcMar>
          </w:tcPr>
          <w:p w14:paraId="0CA7ACAA" w14:textId="77777777" w:rsidR="00B82A2F" w:rsidRDefault="00000000">
            <w:pPr>
              <w:spacing w:before="40" w:after="80"/>
            </w:pPr>
            <w:r>
              <w:rPr>
                <w:rFonts w:ascii="Calibri" w:hAnsi="Calibri"/>
                <w:color w:val="222222"/>
                <w:sz w:val="17"/>
              </w:rPr>
              <w:t>Golang (Go), PostgreSQL, Git, IDE de desarrollo.</w:t>
            </w:r>
          </w:p>
        </w:tc>
        <w:tc>
          <w:tcPr>
            <w:tcW w:w="936" w:type="dxa"/>
            <w:shd w:val="clear" w:color="auto" w:fill="FFFFFF"/>
            <w:tcMar>
              <w:top w:w="70" w:type="dxa"/>
              <w:left w:w="80" w:type="dxa"/>
              <w:bottom w:w="70" w:type="dxa"/>
              <w:right w:w="80" w:type="dxa"/>
            </w:tcMar>
          </w:tcPr>
          <w:p w14:paraId="1797AEDB" w14:textId="77777777" w:rsidR="00B82A2F" w:rsidRDefault="00000000">
            <w:pPr>
              <w:spacing w:before="40" w:after="80"/>
            </w:pPr>
            <w:r>
              <w:rPr>
                <w:rFonts w:ascii="Calibri" w:hAnsi="Calibri"/>
                <w:color w:val="222222"/>
                <w:sz w:val="17"/>
              </w:rPr>
              <w:t>4 semanas (Transición Fase 1 a Fase 2).</w:t>
            </w:r>
          </w:p>
        </w:tc>
        <w:tc>
          <w:tcPr>
            <w:tcW w:w="1080" w:type="dxa"/>
            <w:shd w:val="clear" w:color="auto" w:fill="FFFFFF"/>
            <w:tcMar>
              <w:top w:w="70" w:type="dxa"/>
              <w:left w:w="80" w:type="dxa"/>
              <w:bottom w:w="70" w:type="dxa"/>
              <w:right w:w="80" w:type="dxa"/>
            </w:tcMar>
          </w:tcPr>
          <w:p w14:paraId="311BCAC5" w14:textId="77777777" w:rsidR="00B82A2F" w:rsidRDefault="00000000">
            <w:pPr>
              <w:spacing w:before="40" w:after="80"/>
            </w:pPr>
            <w:r>
              <w:rPr>
                <w:rFonts w:ascii="Calibri" w:hAnsi="Calibri"/>
                <w:color w:val="222222"/>
                <w:sz w:val="17"/>
              </w:rPr>
              <w:t>Cristóbal Altamirano, José Alegría y Joaquín Muñoz.</w:t>
            </w:r>
          </w:p>
        </w:tc>
        <w:tc>
          <w:tcPr>
            <w:tcW w:w="1656" w:type="dxa"/>
            <w:shd w:val="clear" w:color="auto" w:fill="FFFFFF"/>
            <w:tcMar>
              <w:top w:w="70" w:type="dxa"/>
              <w:left w:w="80" w:type="dxa"/>
              <w:bottom w:w="70" w:type="dxa"/>
              <w:right w:w="80" w:type="dxa"/>
            </w:tcMar>
          </w:tcPr>
          <w:p w14:paraId="123EBEC9" w14:textId="77777777" w:rsidR="00B82A2F" w:rsidRDefault="00000000">
            <w:pPr>
              <w:spacing w:before="40" w:after="80"/>
            </w:pPr>
            <w:r>
              <w:rPr>
                <w:rFonts w:ascii="Calibri" w:hAnsi="Calibri"/>
                <w:color w:val="222222"/>
                <w:sz w:val="17"/>
              </w:rPr>
              <w:t>[F]: Alto rendimiento, concurrencia nativa y tipado estático de Golang.</w:t>
            </w:r>
            <w:r>
              <w:rPr>
                <w:rFonts w:ascii="Calibri" w:hAnsi="Calibri"/>
                <w:color w:val="222222"/>
                <w:sz w:val="17"/>
              </w:rPr>
              <w:br/>
              <w:t>[O]: Curva de aprendizaje inicial para aislar correctamente los puertos y adaptadores.</w:t>
            </w:r>
          </w:p>
        </w:tc>
        <w:tc>
          <w:tcPr>
            <w:tcW w:w="936" w:type="dxa"/>
            <w:shd w:val="clear" w:color="auto" w:fill="FFFFFF"/>
            <w:tcMar>
              <w:top w:w="70" w:type="dxa"/>
              <w:left w:w="80" w:type="dxa"/>
              <w:bottom w:w="70" w:type="dxa"/>
              <w:right w:w="80" w:type="dxa"/>
            </w:tcMar>
          </w:tcPr>
          <w:p w14:paraId="0C29E8FC" w14:textId="77777777" w:rsidR="00B82A2F" w:rsidRDefault="00000000">
            <w:pPr>
              <w:spacing w:before="40" w:after="80"/>
            </w:pPr>
            <w:r>
              <w:rPr>
                <w:rFonts w:ascii="Calibri" w:hAnsi="Calibri"/>
                <w:b/>
                <w:color w:val="0A2540"/>
                <w:sz w:val="17"/>
              </w:rPr>
              <w:t>Completado / Ajustada</w:t>
            </w:r>
          </w:p>
        </w:tc>
        <w:tc>
          <w:tcPr>
            <w:tcW w:w="1368" w:type="dxa"/>
            <w:shd w:val="clear" w:color="auto" w:fill="FFFFFF"/>
            <w:tcMar>
              <w:top w:w="70" w:type="dxa"/>
              <w:left w:w="80" w:type="dxa"/>
              <w:bottom w:w="70" w:type="dxa"/>
              <w:right w:w="80" w:type="dxa"/>
            </w:tcMar>
          </w:tcPr>
          <w:p w14:paraId="3EDBB55B" w14:textId="77777777" w:rsidR="00B82A2F" w:rsidRDefault="00000000">
            <w:pPr>
              <w:spacing w:before="40" w:after="80"/>
            </w:pPr>
            <w:r>
              <w:rPr>
                <w:rFonts w:ascii="Calibri" w:hAnsi="Calibri"/>
                <w:color w:val="222222"/>
                <w:sz w:val="17"/>
              </w:rPr>
              <w:t>Ajuste tecnológico clave: Se migró el stack backend preliminar (Node.js/FastAPI) a Golang bajo Arquitectura Hexagonal para maximizar rendimiento y mantenibilidad.</w:t>
            </w:r>
          </w:p>
        </w:tc>
      </w:tr>
      <w:tr w:rsidR="00B82A2F" w14:paraId="3820CB45" w14:textId="77777777">
        <w:trPr>
          <w:jc w:val="center"/>
        </w:trPr>
        <w:tc>
          <w:tcPr>
            <w:tcW w:w="1512" w:type="dxa"/>
            <w:shd w:val="clear" w:color="auto" w:fill="F9FAFC"/>
            <w:tcMar>
              <w:top w:w="70" w:type="dxa"/>
              <w:left w:w="80" w:type="dxa"/>
              <w:bottom w:w="70" w:type="dxa"/>
              <w:right w:w="80" w:type="dxa"/>
            </w:tcMar>
          </w:tcPr>
          <w:p w14:paraId="7E639AB0" w14:textId="77777777" w:rsidR="00B82A2F" w:rsidRDefault="00000000">
            <w:pPr>
              <w:spacing w:before="40" w:after="80"/>
            </w:pPr>
            <w:r>
              <w:rPr>
                <w:rFonts w:ascii="Calibri" w:hAnsi="Calibri"/>
                <w:color w:val="222222"/>
                <w:sz w:val="17"/>
              </w:rPr>
              <w:t xml:space="preserve">Desarrollar una solución de software utilizando técnicas que permitan sistematizar el </w:t>
            </w:r>
            <w:r>
              <w:rPr>
                <w:rFonts w:ascii="Calibri" w:hAnsi="Calibri"/>
                <w:color w:val="222222"/>
                <w:sz w:val="17"/>
              </w:rPr>
              <w:lastRenderedPageBreak/>
              <w:t>proceso de desarrollo y mantenimiento.</w:t>
            </w:r>
          </w:p>
        </w:tc>
        <w:tc>
          <w:tcPr>
            <w:tcW w:w="1656" w:type="dxa"/>
            <w:shd w:val="clear" w:color="auto" w:fill="F9FAFC"/>
            <w:tcMar>
              <w:top w:w="70" w:type="dxa"/>
              <w:left w:w="80" w:type="dxa"/>
              <w:bottom w:w="70" w:type="dxa"/>
              <w:right w:w="80" w:type="dxa"/>
            </w:tcMar>
          </w:tcPr>
          <w:p w14:paraId="4E323C8F" w14:textId="77777777" w:rsidR="00B82A2F" w:rsidRDefault="00000000">
            <w:pPr>
              <w:spacing w:before="40" w:after="80"/>
            </w:pPr>
            <w:r>
              <w:rPr>
                <w:rFonts w:ascii="Calibri" w:hAnsi="Calibri"/>
                <w:color w:val="222222"/>
                <w:sz w:val="17"/>
              </w:rPr>
              <w:lastRenderedPageBreak/>
              <w:t xml:space="preserve">4. Desarrollo de API REST, Módulos Clave y Worker de Stock: Construcción de endpoints en Go (órdenes paginadas, </w:t>
            </w:r>
            <w:r>
              <w:rPr>
                <w:rFonts w:ascii="Calibri" w:hAnsi="Calibri"/>
                <w:color w:val="222222"/>
                <w:sz w:val="17"/>
              </w:rPr>
              <w:lastRenderedPageBreak/>
              <w:t>auth, roles), reserva atómica y webhooks.</w:t>
            </w:r>
          </w:p>
        </w:tc>
        <w:tc>
          <w:tcPr>
            <w:tcW w:w="1080" w:type="dxa"/>
            <w:shd w:val="clear" w:color="auto" w:fill="F9FAFC"/>
            <w:tcMar>
              <w:top w:w="70" w:type="dxa"/>
              <w:left w:w="80" w:type="dxa"/>
              <w:bottom w:w="70" w:type="dxa"/>
              <w:right w:w="80" w:type="dxa"/>
            </w:tcMar>
          </w:tcPr>
          <w:p w14:paraId="784A2611" w14:textId="77777777" w:rsidR="00B82A2F" w:rsidRDefault="00000000">
            <w:pPr>
              <w:spacing w:before="40" w:after="80"/>
            </w:pPr>
            <w:r>
              <w:rPr>
                <w:rFonts w:ascii="Calibri" w:hAnsi="Calibri"/>
                <w:color w:val="222222"/>
                <w:sz w:val="17"/>
              </w:rPr>
              <w:lastRenderedPageBreak/>
              <w:t xml:space="preserve">Golang, API REST Controllers, PostgreSQL, Sandbox Mercado </w:t>
            </w:r>
            <w:r>
              <w:rPr>
                <w:rFonts w:ascii="Calibri" w:hAnsi="Calibri"/>
                <w:color w:val="222222"/>
                <w:sz w:val="17"/>
              </w:rPr>
              <w:lastRenderedPageBreak/>
              <w:t>Libre / Shopify.</w:t>
            </w:r>
          </w:p>
        </w:tc>
        <w:tc>
          <w:tcPr>
            <w:tcW w:w="936" w:type="dxa"/>
            <w:shd w:val="clear" w:color="auto" w:fill="F9FAFC"/>
            <w:tcMar>
              <w:top w:w="70" w:type="dxa"/>
              <w:left w:w="80" w:type="dxa"/>
              <w:bottom w:w="70" w:type="dxa"/>
              <w:right w:w="80" w:type="dxa"/>
            </w:tcMar>
          </w:tcPr>
          <w:p w14:paraId="4FA35E80" w14:textId="77777777" w:rsidR="00B82A2F" w:rsidRDefault="00000000">
            <w:pPr>
              <w:spacing w:before="40" w:after="80"/>
            </w:pPr>
            <w:r>
              <w:rPr>
                <w:rFonts w:ascii="Calibri" w:hAnsi="Calibri"/>
                <w:color w:val="222222"/>
                <w:sz w:val="17"/>
              </w:rPr>
              <w:lastRenderedPageBreak/>
              <w:t>4 semanas (Fase 2 en ejecución).</w:t>
            </w:r>
          </w:p>
        </w:tc>
        <w:tc>
          <w:tcPr>
            <w:tcW w:w="1080" w:type="dxa"/>
            <w:shd w:val="clear" w:color="auto" w:fill="F9FAFC"/>
            <w:tcMar>
              <w:top w:w="70" w:type="dxa"/>
              <w:left w:w="80" w:type="dxa"/>
              <w:bottom w:w="70" w:type="dxa"/>
              <w:right w:w="80" w:type="dxa"/>
            </w:tcMar>
          </w:tcPr>
          <w:p w14:paraId="496D25F2" w14:textId="77777777" w:rsidR="00B82A2F" w:rsidRDefault="00000000">
            <w:pPr>
              <w:spacing w:before="40" w:after="80"/>
            </w:pPr>
            <w:r>
              <w:rPr>
                <w:rFonts w:ascii="Calibri" w:hAnsi="Calibri"/>
                <w:color w:val="222222"/>
                <w:sz w:val="17"/>
              </w:rPr>
              <w:t>Cristóbal Altamirano y José Alegría.</w:t>
            </w:r>
          </w:p>
        </w:tc>
        <w:tc>
          <w:tcPr>
            <w:tcW w:w="1656" w:type="dxa"/>
            <w:shd w:val="clear" w:color="auto" w:fill="F9FAFC"/>
            <w:tcMar>
              <w:top w:w="70" w:type="dxa"/>
              <w:left w:w="80" w:type="dxa"/>
              <w:bottom w:w="70" w:type="dxa"/>
              <w:right w:w="80" w:type="dxa"/>
            </w:tcMar>
          </w:tcPr>
          <w:p w14:paraId="7B559FC2" w14:textId="77777777" w:rsidR="00B82A2F" w:rsidRDefault="00000000">
            <w:pPr>
              <w:spacing w:before="40" w:after="80"/>
            </w:pPr>
            <w:r>
              <w:rPr>
                <w:rFonts w:ascii="Calibri" w:hAnsi="Calibri"/>
                <w:color w:val="222222"/>
                <w:sz w:val="17"/>
              </w:rPr>
              <w:t>[F]: Arquitectura hexagonal ya consolidada y documentación pública de APIs.</w:t>
            </w:r>
            <w:r>
              <w:rPr>
                <w:rFonts w:ascii="Calibri" w:hAnsi="Calibri"/>
                <w:color w:val="222222"/>
                <w:sz w:val="17"/>
              </w:rPr>
              <w:br/>
              <w:t xml:space="preserve">[O]: Manejo de </w:t>
            </w:r>
            <w:r>
              <w:rPr>
                <w:rFonts w:ascii="Calibri" w:hAnsi="Calibri"/>
                <w:color w:val="222222"/>
                <w:sz w:val="17"/>
              </w:rPr>
              <w:lastRenderedPageBreak/>
              <w:t>límites de tasa (rate limits) y control de concurrencia simultánea.</w:t>
            </w:r>
          </w:p>
        </w:tc>
        <w:tc>
          <w:tcPr>
            <w:tcW w:w="936" w:type="dxa"/>
            <w:shd w:val="clear" w:color="auto" w:fill="F9FAFC"/>
            <w:tcMar>
              <w:top w:w="70" w:type="dxa"/>
              <w:left w:w="80" w:type="dxa"/>
              <w:bottom w:w="70" w:type="dxa"/>
              <w:right w:w="80" w:type="dxa"/>
            </w:tcMar>
          </w:tcPr>
          <w:p w14:paraId="1EDED66E" w14:textId="77777777" w:rsidR="00B82A2F" w:rsidRDefault="00000000">
            <w:pPr>
              <w:spacing w:before="40" w:after="80"/>
            </w:pPr>
            <w:r>
              <w:rPr>
                <w:rFonts w:ascii="Calibri" w:hAnsi="Calibri"/>
                <w:b/>
                <w:color w:val="0A2540"/>
                <w:sz w:val="17"/>
              </w:rPr>
              <w:lastRenderedPageBreak/>
              <w:t>En curso</w:t>
            </w:r>
          </w:p>
        </w:tc>
        <w:tc>
          <w:tcPr>
            <w:tcW w:w="1368" w:type="dxa"/>
            <w:shd w:val="clear" w:color="auto" w:fill="F9FAFC"/>
            <w:tcMar>
              <w:top w:w="70" w:type="dxa"/>
              <w:left w:w="80" w:type="dxa"/>
              <w:bottom w:w="70" w:type="dxa"/>
              <w:right w:w="80" w:type="dxa"/>
            </w:tcMar>
          </w:tcPr>
          <w:p w14:paraId="65D504AA" w14:textId="77777777" w:rsidR="00B82A2F" w:rsidRDefault="00000000">
            <w:pPr>
              <w:spacing w:before="40" w:after="80"/>
            </w:pPr>
            <w:r>
              <w:rPr>
                <w:rFonts w:ascii="Calibri" w:hAnsi="Calibri"/>
                <w:color w:val="222222"/>
                <w:sz w:val="17"/>
              </w:rPr>
              <w:t xml:space="preserve">Se redistribuyó equitativamente la responsabilidad técnica entre Cristóbal </w:t>
            </w:r>
            <w:r>
              <w:rPr>
                <w:rFonts w:ascii="Calibri" w:hAnsi="Calibri"/>
                <w:color w:val="222222"/>
                <w:sz w:val="17"/>
              </w:rPr>
              <w:lastRenderedPageBreak/>
              <w:t>Altamirano y José Alegría (corrigiendo la asignación nominal única de la Fase 1).</w:t>
            </w:r>
          </w:p>
        </w:tc>
      </w:tr>
      <w:tr w:rsidR="00B82A2F" w14:paraId="4459D59F" w14:textId="77777777">
        <w:trPr>
          <w:jc w:val="center"/>
        </w:trPr>
        <w:tc>
          <w:tcPr>
            <w:tcW w:w="1512" w:type="dxa"/>
            <w:shd w:val="clear" w:color="auto" w:fill="FFFFFF"/>
            <w:tcMar>
              <w:top w:w="70" w:type="dxa"/>
              <w:left w:w="80" w:type="dxa"/>
              <w:bottom w:w="70" w:type="dxa"/>
              <w:right w:w="80" w:type="dxa"/>
            </w:tcMar>
          </w:tcPr>
          <w:p w14:paraId="5D22E3EA" w14:textId="77777777" w:rsidR="00B82A2F" w:rsidRDefault="00000000">
            <w:pPr>
              <w:spacing w:before="40" w:after="80"/>
            </w:pPr>
            <w:r>
              <w:rPr>
                <w:rFonts w:ascii="Calibri" w:hAnsi="Calibri"/>
                <w:color w:val="222222"/>
                <w:sz w:val="17"/>
              </w:rPr>
              <w:lastRenderedPageBreak/>
              <w:t>Desarrollar una solución de software utilizando técnicas que permitan sistematizar el proceso de desarrollo y mantenimiento.</w:t>
            </w:r>
          </w:p>
        </w:tc>
        <w:tc>
          <w:tcPr>
            <w:tcW w:w="1656" w:type="dxa"/>
            <w:shd w:val="clear" w:color="auto" w:fill="FFFFFF"/>
            <w:tcMar>
              <w:top w:w="70" w:type="dxa"/>
              <w:left w:w="80" w:type="dxa"/>
              <w:bottom w:w="70" w:type="dxa"/>
              <w:right w:w="80" w:type="dxa"/>
            </w:tcMar>
          </w:tcPr>
          <w:p w14:paraId="1E8E7DA6" w14:textId="77777777" w:rsidR="00B82A2F" w:rsidRDefault="00000000">
            <w:pPr>
              <w:spacing w:before="40" w:after="80"/>
            </w:pPr>
            <w:r>
              <w:rPr>
                <w:rFonts w:ascii="Calibri" w:hAnsi="Calibri"/>
                <w:color w:val="222222"/>
                <w:sz w:val="17"/>
              </w:rPr>
              <w:t>5. Diseño de Mockups UI y Construcción del Frontend WeManager 2.0: Prototipos estandarizados y maquetación en React de inventario y órdenes paginadas.</w:t>
            </w:r>
          </w:p>
        </w:tc>
        <w:tc>
          <w:tcPr>
            <w:tcW w:w="1080" w:type="dxa"/>
            <w:shd w:val="clear" w:color="auto" w:fill="FFFFFF"/>
            <w:tcMar>
              <w:top w:w="70" w:type="dxa"/>
              <w:left w:w="80" w:type="dxa"/>
              <w:bottom w:w="70" w:type="dxa"/>
              <w:right w:w="80" w:type="dxa"/>
            </w:tcMar>
          </w:tcPr>
          <w:p w14:paraId="5B770386" w14:textId="77777777" w:rsidR="00B82A2F" w:rsidRDefault="00000000">
            <w:pPr>
              <w:spacing w:before="40" w:after="80"/>
            </w:pPr>
            <w:r>
              <w:rPr>
                <w:rFonts w:ascii="Calibri" w:hAnsi="Calibri"/>
                <w:color w:val="222222"/>
                <w:sz w:val="17"/>
              </w:rPr>
              <w:t>React, Herramientas de Mockups UI, Git.</w:t>
            </w:r>
          </w:p>
        </w:tc>
        <w:tc>
          <w:tcPr>
            <w:tcW w:w="936" w:type="dxa"/>
            <w:shd w:val="clear" w:color="auto" w:fill="FFFFFF"/>
            <w:tcMar>
              <w:top w:w="70" w:type="dxa"/>
              <w:left w:w="80" w:type="dxa"/>
              <w:bottom w:w="70" w:type="dxa"/>
              <w:right w:w="80" w:type="dxa"/>
            </w:tcMar>
          </w:tcPr>
          <w:p w14:paraId="7FCF0AAF" w14:textId="77777777" w:rsidR="00B82A2F" w:rsidRDefault="00000000">
            <w:pPr>
              <w:spacing w:before="40" w:after="80"/>
            </w:pPr>
            <w:r>
              <w:rPr>
                <w:rFonts w:ascii="Calibri" w:hAnsi="Calibri"/>
                <w:color w:val="222222"/>
                <w:sz w:val="17"/>
              </w:rPr>
              <w:t>6 semanas (Mockups completados; codificación React en siguiente bloque).</w:t>
            </w:r>
          </w:p>
        </w:tc>
        <w:tc>
          <w:tcPr>
            <w:tcW w:w="1080" w:type="dxa"/>
            <w:shd w:val="clear" w:color="auto" w:fill="FFFFFF"/>
            <w:tcMar>
              <w:top w:w="70" w:type="dxa"/>
              <w:left w:w="80" w:type="dxa"/>
              <w:bottom w:w="70" w:type="dxa"/>
              <w:right w:w="80" w:type="dxa"/>
            </w:tcMar>
          </w:tcPr>
          <w:p w14:paraId="44D9E811" w14:textId="77777777" w:rsidR="00B82A2F" w:rsidRDefault="00000000">
            <w:pPr>
              <w:spacing w:before="40" w:after="80"/>
            </w:pPr>
            <w:r>
              <w:rPr>
                <w:rFonts w:ascii="Calibri" w:hAnsi="Calibri"/>
                <w:color w:val="222222"/>
                <w:sz w:val="17"/>
              </w:rPr>
              <w:t>José Alegría y Cristóbal Altamirano.</w:t>
            </w:r>
          </w:p>
        </w:tc>
        <w:tc>
          <w:tcPr>
            <w:tcW w:w="1656" w:type="dxa"/>
            <w:shd w:val="clear" w:color="auto" w:fill="FFFFFF"/>
            <w:tcMar>
              <w:top w:w="70" w:type="dxa"/>
              <w:left w:w="80" w:type="dxa"/>
              <w:bottom w:w="70" w:type="dxa"/>
              <w:right w:w="80" w:type="dxa"/>
            </w:tcMar>
          </w:tcPr>
          <w:p w14:paraId="76A89DD4" w14:textId="77777777" w:rsidR="00B82A2F" w:rsidRDefault="00000000">
            <w:pPr>
              <w:spacing w:before="40" w:after="80"/>
            </w:pPr>
            <w:r>
              <w:rPr>
                <w:rFonts w:ascii="Calibri" w:hAnsi="Calibri"/>
                <w:color w:val="222222"/>
                <w:sz w:val="17"/>
              </w:rPr>
              <w:t>[F]: Prototipos validados con el cliente para eliminar inconsistencias visuales.</w:t>
            </w:r>
            <w:r>
              <w:rPr>
                <w:rFonts w:ascii="Calibri" w:hAnsi="Calibri"/>
                <w:color w:val="222222"/>
                <w:sz w:val="17"/>
              </w:rPr>
              <w:br/>
              <w:t>[O]: Sincronización de estados reactivos con paginación en servidor y filtros por bodega.</w:t>
            </w:r>
          </w:p>
        </w:tc>
        <w:tc>
          <w:tcPr>
            <w:tcW w:w="936" w:type="dxa"/>
            <w:shd w:val="clear" w:color="auto" w:fill="FFFFFF"/>
            <w:tcMar>
              <w:top w:w="70" w:type="dxa"/>
              <w:left w:w="80" w:type="dxa"/>
              <w:bottom w:w="70" w:type="dxa"/>
              <w:right w:w="80" w:type="dxa"/>
            </w:tcMar>
          </w:tcPr>
          <w:p w14:paraId="3DBBBD0F" w14:textId="77777777" w:rsidR="00B82A2F" w:rsidRDefault="00000000">
            <w:pPr>
              <w:spacing w:before="40" w:after="80"/>
            </w:pPr>
            <w:r>
              <w:rPr>
                <w:rFonts w:ascii="Calibri" w:hAnsi="Calibri"/>
                <w:b/>
                <w:color w:val="0A2540"/>
                <w:sz w:val="17"/>
              </w:rPr>
              <w:t>En curso</w:t>
            </w:r>
          </w:p>
        </w:tc>
        <w:tc>
          <w:tcPr>
            <w:tcW w:w="1368" w:type="dxa"/>
            <w:shd w:val="clear" w:color="auto" w:fill="FFFFFF"/>
            <w:tcMar>
              <w:top w:w="70" w:type="dxa"/>
              <w:left w:w="80" w:type="dxa"/>
              <w:bottom w:w="70" w:type="dxa"/>
              <w:right w:w="80" w:type="dxa"/>
            </w:tcMar>
          </w:tcPr>
          <w:p w14:paraId="6650C9C7" w14:textId="77777777" w:rsidR="00B82A2F" w:rsidRDefault="00000000">
            <w:pPr>
              <w:spacing w:before="40" w:after="80"/>
            </w:pPr>
            <w:r>
              <w:rPr>
                <w:rFonts w:ascii="Calibri" w:hAnsi="Calibri"/>
                <w:color w:val="222222"/>
                <w:sz w:val="17"/>
              </w:rPr>
              <w:t>Se estableció un patrón de diseño único (colores, botones y layout) en los mockups antes de iniciar la codificación intensiva en React.</w:t>
            </w:r>
          </w:p>
        </w:tc>
      </w:tr>
      <w:tr w:rsidR="00B82A2F" w14:paraId="0E30DDC0" w14:textId="77777777">
        <w:trPr>
          <w:jc w:val="center"/>
        </w:trPr>
        <w:tc>
          <w:tcPr>
            <w:tcW w:w="1512" w:type="dxa"/>
            <w:shd w:val="clear" w:color="auto" w:fill="F9FAFC"/>
            <w:tcMar>
              <w:top w:w="70" w:type="dxa"/>
              <w:left w:w="80" w:type="dxa"/>
              <w:bottom w:w="70" w:type="dxa"/>
              <w:right w:w="80" w:type="dxa"/>
            </w:tcMar>
          </w:tcPr>
          <w:p w14:paraId="4565180B" w14:textId="77777777" w:rsidR="00B82A2F" w:rsidRDefault="00000000">
            <w:pPr>
              <w:spacing w:before="40" w:after="80"/>
            </w:pPr>
            <w:r>
              <w:rPr>
                <w:rFonts w:ascii="Calibri" w:hAnsi="Calibri"/>
                <w:color w:val="222222"/>
                <w:sz w:val="17"/>
              </w:rPr>
              <w:t>Realizar pruebas de certificación tanto de los productos como de los procesos utilizando buenas prácticas definidas por la industria.</w:t>
            </w:r>
          </w:p>
        </w:tc>
        <w:tc>
          <w:tcPr>
            <w:tcW w:w="1656" w:type="dxa"/>
            <w:shd w:val="clear" w:color="auto" w:fill="F9FAFC"/>
            <w:tcMar>
              <w:top w:w="70" w:type="dxa"/>
              <w:left w:w="80" w:type="dxa"/>
              <w:bottom w:w="70" w:type="dxa"/>
              <w:right w:w="80" w:type="dxa"/>
            </w:tcMar>
          </w:tcPr>
          <w:p w14:paraId="52582B52" w14:textId="77777777" w:rsidR="00B82A2F" w:rsidRDefault="00000000">
            <w:pPr>
              <w:spacing w:before="40" w:after="80"/>
            </w:pPr>
            <w:r>
              <w:rPr>
                <w:rFonts w:ascii="Calibri" w:hAnsi="Calibri"/>
                <w:color w:val="222222"/>
                <w:sz w:val="17"/>
              </w:rPr>
              <w:t>6. Suite de Pruebas Unitarias, Concurrencia y Validación TRL 5: Testing unitario del núcleo en Go sin infraestructura, simulación concurrente y staging WeStorage.</w:t>
            </w:r>
          </w:p>
        </w:tc>
        <w:tc>
          <w:tcPr>
            <w:tcW w:w="1080" w:type="dxa"/>
            <w:shd w:val="clear" w:color="auto" w:fill="F9FAFC"/>
            <w:tcMar>
              <w:top w:w="70" w:type="dxa"/>
              <w:left w:w="80" w:type="dxa"/>
              <w:bottom w:w="70" w:type="dxa"/>
              <w:right w:w="80" w:type="dxa"/>
            </w:tcMar>
          </w:tcPr>
          <w:p w14:paraId="1B82D404" w14:textId="77777777" w:rsidR="00B82A2F" w:rsidRDefault="00000000">
            <w:pPr>
              <w:spacing w:before="40" w:after="80"/>
            </w:pPr>
            <w:r>
              <w:rPr>
                <w:rFonts w:ascii="Calibri" w:hAnsi="Calibri"/>
                <w:color w:val="222222"/>
                <w:sz w:val="17"/>
              </w:rPr>
              <w:t>Go testing (go test), Entorno Staging WeStorage / Sandbox.</w:t>
            </w:r>
          </w:p>
        </w:tc>
        <w:tc>
          <w:tcPr>
            <w:tcW w:w="936" w:type="dxa"/>
            <w:shd w:val="clear" w:color="auto" w:fill="F9FAFC"/>
            <w:tcMar>
              <w:top w:w="70" w:type="dxa"/>
              <w:left w:w="80" w:type="dxa"/>
              <w:bottom w:w="70" w:type="dxa"/>
              <w:right w:w="80" w:type="dxa"/>
            </w:tcMar>
          </w:tcPr>
          <w:p w14:paraId="050C4E29" w14:textId="77777777" w:rsidR="00B82A2F" w:rsidRDefault="00000000">
            <w:pPr>
              <w:spacing w:before="40" w:after="80"/>
            </w:pPr>
            <w:r>
              <w:rPr>
                <w:rFonts w:ascii="Calibri" w:hAnsi="Calibri"/>
                <w:color w:val="222222"/>
                <w:sz w:val="17"/>
              </w:rPr>
              <w:t>3 semanas (Fase 3 final, con pruebas unitarias anticipadas en Fase 2).</w:t>
            </w:r>
          </w:p>
        </w:tc>
        <w:tc>
          <w:tcPr>
            <w:tcW w:w="1080" w:type="dxa"/>
            <w:shd w:val="clear" w:color="auto" w:fill="F9FAFC"/>
            <w:tcMar>
              <w:top w:w="70" w:type="dxa"/>
              <w:left w:w="80" w:type="dxa"/>
              <w:bottom w:w="70" w:type="dxa"/>
              <w:right w:w="80" w:type="dxa"/>
            </w:tcMar>
          </w:tcPr>
          <w:p w14:paraId="441F30EB" w14:textId="77777777" w:rsidR="00B82A2F" w:rsidRDefault="00000000">
            <w:pPr>
              <w:spacing w:before="40" w:after="80"/>
            </w:pPr>
            <w:r>
              <w:rPr>
                <w:rFonts w:ascii="Calibri" w:hAnsi="Calibri"/>
                <w:color w:val="222222"/>
                <w:sz w:val="17"/>
              </w:rPr>
              <w:t>Joaquín Muñoz, Cristóbal Altamirano y José Alegría.</w:t>
            </w:r>
          </w:p>
        </w:tc>
        <w:tc>
          <w:tcPr>
            <w:tcW w:w="1656" w:type="dxa"/>
            <w:shd w:val="clear" w:color="auto" w:fill="F9FAFC"/>
            <w:tcMar>
              <w:top w:w="70" w:type="dxa"/>
              <w:left w:w="80" w:type="dxa"/>
              <w:bottom w:w="70" w:type="dxa"/>
              <w:right w:w="80" w:type="dxa"/>
            </w:tcMar>
          </w:tcPr>
          <w:p w14:paraId="7BA47FC8" w14:textId="77777777" w:rsidR="00B82A2F" w:rsidRDefault="00000000">
            <w:pPr>
              <w:spacing w:before="40" w:after="80"/>
            </w:pPr>
            <w:r>
              <w:rPr>
                <w:rFonts w:ascii="Calibri" w:hAnsi="Calibri"/>
                <w:color w:val="222222"/>
                <w:sz w:val="17"/>
              </w:rPr>
              <w:t>[F]: La Arquitectura Hexagonal permite probar el núcleo sin levantar base de datos ni APIs.</w:t>
            </w:r>
            <w:r>
              <w:rPr>
                <w:rFonts w:ascii="Calibri" w:hAnsi="Calibri"/>
                <w:color w:val="222222"/>
                <w:sz w:val="17"/>
              </w:rPr>
              <w:br/>
              <w:t>[O]: Recreación de escenarios extremos (edge cases) de alta concurrencia.</w:t>
            </w:r>
          </w:p>
        </w:tc>
        <w:tc>
          <w:tcPr>
            <w:tcW w:w="936" w:type="dxa"/>
            <w:shd w:val="clear" w:color="auto" w:fill="F9FAFC"/>
            <w:tcMar>
              <w:top w:w="70" w:type="dxa"/>
              <w:left w:w="80" w:type="dxa"/>
              <w:bottom w:w="70" w:type="dxa"/>
              <w:right w:w="80" w:type="dxa"/>
            </w:tcMar>
          </w:tcPr>
          <w:p w14:paraId="70C728BE" w14:textId="77777777" w:rsidR="00B82A2F" w:rsidRDefault="00000000">
            <w:pPr>
              <w:spacing w:before="40" w:after="80"/>
            </w:pPr>
            <w:r>
              <w:rPr>
                <w:rFonts w:ascii="Calibri" w:hAnsi="Calibri"/>
                <w:b/>
                <w:color w:val="0A2540"/>
                <w:sz w:val="17"/>
              </w:rPr>
              <w:t>No iniciado (Fase de certificación final; PoC TRL 3 validada)</w:t>
            </w:r>
          </w:p>
        </w:tc>
        <w:tc>
          <w:tcPr>
            <w:tcW w:w="1368" w:type="dxa"/>
            <w:shd w:val="clear" w:color="auto" w:fill="F9FAFC"/>
            <w:tcMar>
              <w:top w:w="70" w:type="dxa"/>
              <w:left w:w="80" w:type="dxa"/>
              <w:bottom w:w="70" w:type="dxa"/>
              <w:right w:w="80" w:type="dxa"/>
            </w:tcMar>
          </w:tcPr>
          <w:p w14:paraId="2373026D" w14:textId="77777777" w:rsidR="00B82A2F" w:rsidRDefault="00000000">
            <w:pPr>
              <w:spacing w:before="40" w:after="80"/>
            </w:pPr>
            <w:r>
              <w:rPr>
                <w:rFonts w:ascii="Calibri" w:hAnsi="Calibri"/>
                <w:color w:val="222222"/>
                <w:sz w:val="17"/>
              </w:rPr>
              <w:t>Se reemplazó Jest/Pytest por las herramientas nativas de testing de Golang y se orientó la validación final en entorno staging de WeStorage para alcanzar TRL 5.</w:t>
            </w:r>
          </w:p>
        </w:tc>
      </w:tr>
    </w:tbl>
    <w:p w14:paraId="03B7D38A" w14:textId="77777777" w:rsidR="00B82A2F" w:rsidRDefault="00B82A2F">
      <w:pPr>
        <w:spacing w:after="160"/>
      </w:pPr>
    </w:p>
    <w:p w14:paraId="3E3AFEDE" w14:textId="77777777" w:rsidR="00B82A2F" w:rsidRDefault="00000000">
      <w:pPr>
        <w:spacing w:before="160" w:after="80"/>
      </w:pPr>
      <w:r>
        <w:rPr>
          <w:rFonts w:ascii="Calibri" w:hAnsi="Calibri"/>
          <w:b/>
          <w:color w:val="0A2540"/>
          <w:sz w:val="28"/>
        </w:rPr>
        <w:t>3. Ajustes a partir del monitoreo</w:t>
      </w:r>
    </w:p>
    <w:p w14:paraId="78506B27" w14:textId="77777777" w:rsidR="00B82A2F" w:rsidRDefault="00000000">
      <w:pPr>
        <w:spacing w:after="120"/>
      </w:pPr>
      <w:r>
        <w:rPr>
          <w:rFonts w:ascii="Calibri" w:hAnsi="Calibri"/>
          <w:sz w:val="20"/>
        </w:rPr>
        <w:t>A partir del análisis del plan de trabajo, la retroalimentación recibida y el trabajo colaborativo con WeStorage, se detallan los factores facilitadores y obstaculizadores, las soluciones implementadas y la justificación de los ajustes realizados:</w:t>
      </w:r>
    </w:p>
    <w:tbl>
      <w:tblPr>
        <w:tblW w:w="0" w:type="auto"/>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ook w:val="04A0" w:firstRow="1" w:lastRow="0" w:firstColumn="1" w:lastColumn="0" w:noHBand="0" w:noVBand="1"/>
      </w:tblPr>
      <w:tblGrid>
        <w:gridCol w:w="2592"/>
        <w:gridCol w:w="7632"/>
      </w:tblGrid>
      <w:tr w:rsidR="00B82A2F" w14:paraId="7314D93D" w14:textId="77777777">
        <w:trPr>
          <w:jc w:val="center"/>
        </w:trPr>
        <w:tc>
          <w:tcPr>
            <w:tcW w:w="2592" w:type="dxa"/>
            <w:shd w:val="clear" w:color="auto" w:fill="0A2540"/>
            <w:tcMar>
              <w:top w:w="100" w:type="dxa"/>
              <w:left w:w="120" w:type="dxa"/>
              <w:bottom w:w="100" w:type="dxa"/>
              <w:right w:w="120" w:type="dxa"/>
            </w:tcMar>
          </w:tcPr>
          <w:p w14:paraId="402BB593" w14:textId="77777777" w:rsidR="00B82A2F" w:rsidRDefault="00000000">
            <w:pPr>
              <w:spacing w:before="40" w:after="80"/>
            </w:pPr>
            <w:r>
              <w:rPr>
                <w:rFonts w:ascii="Calibri" w:hAnsi="Calibri"/>
                <w:b/>
                <w:color w:val="FFFFFF"/>
                <w:sz w:val="19"/>
              </w:rPr>
              <w:t>Factores que han facilitado y/o dificultado el desarrollo de mi plan de trabajo</w:t>
            </w:r>
          </w:p>
        </w:tc>
        <w:tc>
          <w:tcPr>
            <w:tcW w:w="7632" w:type="dxa"/>
            <w:shd w:val="clear" w:color="auto" w:fill="FFFFFF"/>
            <w:tcMar>
              <w:top w:w="100" w:type="dxa"/>
              <w:left w:w="140" w:type="dxa"/>
              <w:bottom w:w="100" w:type="dxa"/>
              <w:right w:w="140" w:type="dxa"/>
            </w:tcMar>
          </w:tcPr>
          <w:p w14:paraId="67E18C5C" w14:textId="77777777" w:rsidR="00B82A2F" w:rsidRDefault="00000000">
            <w:pPr>
              <w:spacing w:before="40" w:after="80"/>
            </w:pPr>
            <w:r>
              <w:rPr>
                <w:rFonts w:ascii="Calibri" w:hAnsi="Calibri"/>
                <w:b/>
                <w:color w:val="0A2540"/>
                <w:sz w:val="19"/>
              </w:rPr>
              <w:t>Factores Facilitadores:</w:t>
            </w:r>
          </w:p>
          <w:p w14:paraId="52D29BF5" w14:textId="77777777" w:rsidR="00B82A2F" w:rsidRDefault="00000000">
            <w:pPr>
              <w:spacing w:before="40" w:after="80"/>
            </w:pPr>
            <w:r>
              <w:rPr>
                <w:rFonts w:ascii="Calibri" w:hAnsi="Calibri"/>
                <w:b/>
                <w:color w:val="222222"/>
                <w:sz w:val="19"/>
              </w:rPr>
              <w:t xml:space="preserve">1. Retroalimentación directa con la contraparte real (WeStorage): </w:t>
            </w:r>
            <w:r>
              <w:rPr>
                <w:rFonts w:ascii="Calibri" w:hAnsi="Calibri"/>
                <w:color w:val="222222"/>
                <w:sz w:val="19"/>
              </w:rPr>
              <w:t>El acompañamiento constante de Ismael Depablos (Product Owner) y el conocimiento directo de la operación logística en las bodegas de Enea y San Bernardo permitieron priorizar los módulos de mayor impacto operativo (órdenes web, inventario multialmacén y sincronización).</w:t>
            </w:r>
          </w:p>
          <w:p w14:paraId="74B5ED7A" w14:textId="77777777" w:rsidR="00B82A2F" w:rsidRDefault="00000000">
            <w:pPr>
              <w:spacing w:before="40" w:after="80"/>
            </w:pPr>
            <w:r>
              <w:rPr>
                <w:rFonts w:ascii="Calibri" w:hAnsi="Calibri"/>
                <w:b/>
                <w:color w:val="222222"/>
                <w:sz w:val="19"/>
              </w:rPr>
              <w:t xml:space="preserve">2. Desacoplamiento mediante Arquitectura Hexagonal y Golang: </w:t>
            </w:r>
            <w:r>
              <w:rPr>
                <w:rFonts w:ascii="Calibri" w:hAnsi="Calibri"/>
                <w:color w:val="222222"/>
                <w:sz w:val="19"/>
              </w:rPr>
              <w:t>Estructurar el backend en Golang separando el núcleo de negocio de los controladores HTTP, de PostgreSQL y de las APIs externas permitió que los tres integrantes trabajaran en paralelo sin bloqueos ni conflictos de código, facilitando además las pruebas unitarias del núcleo sin requerir infraestructura activa.</w:t>
            </w:r>
          </w:p>
          <w:p w14:paraId="02645B9B" w14:textId="77777777" w:rsidR="00B82A2F" w:rsidRDefault="00000000">
            <w:pPr>
              <w:spacing w:before="40" w:after="80"/>
            </w:pPr>
            <w:r>
              <w:rPr>
                <w:rFonts w:ascii="Calibri" w:hAnsi="Calibri"/>
                <w:b/>
                <w:color w:val="222222"/>
                <w:sz w:val="19"/>
              </w:rPr>
              <w:t xml:space="preserve">3. Cadencia disciplinada de Scrum en Sprints de 2 semanas: </w:t>
            </w:r>
            <w:r>
              <w:rPr>
                <w:rFonts w:ascii="Calibri" w:hAnsi="Calibri"/>
                <w:color w:val="222222"/>
                <w:sz w:val="19"/>
              </w:rPr>
              <w:t>El uso riguroso de Atlassian Jira y las ceremonias (Sprint Planning, Daily Scrum, Sprint Review y Retrospectiva) facilitaron la transparencia del avance y la adaptación temprana.</w:t>
            </w:r>
          </w:p>
          <w:p w14:paraId="5F1B0D91" w14:textId="77777777" w:rsidR="00B82A2F" w:rsidRDefault="00000000">
            <w:pPr>
              <w:spacing w:before="40" w:after="80"/>
            </w:pPr>
            <w:r>
              <w:rPr>
                <w:rFonts w:ascii="Calibri" w:hAnsi="Calibri"/>
                <w:b/>
                <w:color w:val="0A2540"/>
                <w:sz w:val="19"/>
              </w:rPr>
              <w:t>Factores Dificultadores y Acciones Tomadas para Solucionarlos:</w:t>
            </w:r>
          </w:p>
          <w:p w14:paraId="2BE45FBA" w14:textId="77777777" w:rsidR="00B82A2F" w:rsidRDefault="00000000">
            <w:pPr>
              <w:spacing w:before="40" w:after="80"/>
            </w:pPr>
            <w:r>
              <w:rPr>
                <w:rFonts w:ascii="Calibri" w:hAnsi="Calibri"/>
                <w:b/>
                <w:color w:val="222222"/>
                <w:sz w:val="19"/>
              </w:rPr>
              <w:t xml:space="preserve">1. Cuello de botella crítico en la plataforma legacy (tiempos de respuesta de hasta 1 minuto) </w:t>
            </w:r>
            <w:r>
              <w:rPr>
                <w:rFonts w:ascii="Calibri" w:hAnsi="Calibri"/>
                <w:b/>
                <w:color w:val="222222"/>
                <w:sz w:val="19"/>
              </w:rPr>
              <w:lastRenderedPageBreak/>
              <w:t xml:space="preserve">e inconsistencia visual: </w:t>
            </w:r>
            <w:r>
              <w:rPr>
                <w:rFonts w:ascii="Calibri" w:hAnsi="Calibri"/>
                <w:color w:val="222222"/>
                <w:sz w:val="19"/>
              </w:rPr>
              <w:t>Al inspeccionar en detalle la operación actual de WeStorage, se detectó que el módulo de Órdenes Web cargaba la totalidad del historial de órdenes sin paginar, generando esperas de hasta 60 segundos, sumado a pantallas con estilos dispares.</w:t>
            </w:r>
            <w:r>
              <w:rPr>
                <w:rFonts w:ascii="Calibri" w:hAnsi="Calibri"/>
                <w:color w:val="222222"/>
                <w:sz w:val="19"/>
              </w:rPr>
              <w:br/>
            </w:r>
            <w:r>
              <w:rPr>
                <w:rFonts w:ascii="Calibri" w:hAnsi="Calibri"/>
                <w:b/>
                <w:i/>
                <w:color w:val="222222"/>
                <w:sz w:val="19"/>
              </w:rPr>
              <w:t xml:space="preserve">Acción tomada: </w:t>
            </w:r>
            <w:r>
              <w:rPr>
                <w:rFonts w:ascii="Calibri" w:hAnsi="Calibri"/>
                <w:color w:val="222222"/>
                <w:sz w:val="19"/>
              </w:rPr>
              <w:t>Se implementó y validó en la Fase 2 (hito TRL 3) una prueba de concepto de paginación a nivel de backend en Golang y consultas indexadas en PostgreSQL, reduciendo los tiempos de respuesta a milisegundos, y se diseñaron mockups UI bajo un patrón visual único.</w:t>
            </w:r>
          </w:p>
          <w:p w14:paraId="73392A33" w14:textId="77777777" w:rsidR="00B82A2F" w:rsidRDefault="00000000">
            <w:pPr>
              <w:spacing w:before="40" w:after="80"/>
            </w:pPr>
            <w:r>
              <w:rPr>
                <w:rFonts w:ascii="Calibri" w:hAnsi="Calibri"/>
                <w:b/>
                <w:color w:val="222222"/>
                <w:sz w:val="19"/>
              </w:rPr>
              <w:t xml:space="preserve">2. Curva de aprendizaje en Golang y aislamiento transaccional de stock: </w:t>
            </w:r>
            <w:r>
              <w:rPr>
                <w:rFonts w:ascii="Calibri" w:hAnsi="Calibri"/>
                <w:color w:val="222222"/>
                <w:sz w:val="19"/>
              </w:rPr>
              <w:t>Implementar correctamente los puertos y adaptadores en Go junto con la lógica para separar el stock físico, reservado y disponible demandó mayor dedicación técnica inicial.</w:t>
            </w:r>
            <w:r>
              <w:rPr>
                <w:rFonts w:ascii="Calibri" w:hAnsi="Calibri"/>
                <w:color w:val="222222"/>
                <w:sz w:val="19"/>
              </w:rPr>
              <w:br/>
            </w:r>
            <w:r>
              <w:rPr>
                <w:rFonts w:ascii="Calibri" w:hAnsi="Calibri"/>
                <w:b/>
                <w:i/>
                <w:color w:val="222222"/>
                <w:sz w:val="19"/>
              </w:rPr>
              <w:t xml:space="preserve">Acción tomada: </w:t>
            </w:r>
            <w:r>
              <w:rPr>
                <w:rFonts w:ascii="Calibri" w:hAnsi="Calibri"/>
                <w:color w:val="222222"/>
                <w:sz w:val="19"/>
              </w:rPr>
              <w:t>Se realizaron sesiones técnicas grupales en el taller de proyectos, apoyándose en restricciones nativas de PostgreSQL (CHECK y transacciones ACID) y estandarizando la estructura del repositorio Git del equipo.</w:t>
            </w:r>
          </w:p>
        </w:tc>
      </w:tr>
      <w:tr w:rsidR="00B82A2F" w14:paraId="4A5D7B6B" w14:textId="77777777">
        <w:trPr>
          <w:jc w:val="center"/>
        </w:trPr>
        <w:tc>
          <w:tcPr>
            <w:tcW w:w="2592" w:type="dxa"/>
            <w:shd w:val="clear" w:color="auto" w:fill="0A2540"/>
            <w:tcMar>
              <w:top w:w="100" w:type="dxa"/>
              <w:left w:w="120" w:type="dxa"/>
              <w:bottom w:w="100" w:type="dxa"/>
              <w:right w:w="120" w:type="dxa"/>
            </w:tcMar>
          </w:tcPr>
          <w:p w14:paraId="01DEFCF7" w14:textId="77777777" w:rsidR="00B82A2F" w:rsidRDefault="00000000">
            <w:pPr>
              <w:spacing w:before="40" w:after="80"/>
            </w:pPr>
            <w:r>
              <w:rPr>
                <w:rFonts w:ascii="Calibri" w:hAnsi="Calibri"/>
                <w:b/>
                <w:color w:val="FFFFFF"/>
                <w:sz w:val="19"/>
              </w:rPr>
              <w:lastRenderedPageBreak/>
              <w:t>Actividades ajustadas o eliminadas</w:t>
            </w:r>
          </w:p>
        </w:tc>
        <w:tc>
          <w:tcPr>
            <w:tcW w:w="7632" w:type="dxa"/>
            <w:shd w:val="clear" w:color="auto" w:fill="F9FAFC"/>
            <w:tcMar>
              <w:top w:w="100" w:type="dxa"/>
              <w:left w:w="140" w:type="dxa"/>
              <w:bottom w:w="100" w:type="dxa"/>
              <w:right w:w="140" w:type="dxa"/>
            </w:tcMar>
          </w:tcPr>
          <w:p w14:paraId="629B3053" w14:textId="77777777" w:rsidR="00B82A2F" w:rsidRDefault="00000000">
            <w:pPr>
              <w:spacing w:before="40" w:after="80"/>
            </w:pPr>
            <w:r>
              <w:rPr>
                <w:rFonts w:ascii="Calibri" w:hAnsi="Calibri"/>
                <w:b/>
                <w:color w:val="222222"/>
                <w:sz w:val="19"/>
              </w:rPr>
              <w:t>No se eliminó ninguna actividad esencial del proyecto; sin embargo, se realizaron tres ajustes estratégicos en el plan de trabajo para asegurar la calidad disciplinar y responder a las necesidades de WeStorage:</w:t>
            </w:r>
          </w:p>
          <w:p w14:paraId="7699BA84" w14:textId="77777777" w:rsidR="00B82A2F" w:rsidRDefault="00000000">
            <w:pPr>
              <w:spacing w:before="40" w:after="80"/>
            </w:pPr>
            <w:r>
              <w:rPr>
                <w:rFonts w:ascii="Calibri" w:hAnsi="Calibri"/>
                <w:b/>
                <w:color w:val="222222"/>
                <w:sz w:val="19"/>
              </w:rPr>
              <w:t xml:space="preserve">1. Ajuste del Stack Tecnológico Backend y de Pruebas (De Node.js/FastAPI a Golang bajo Arquitectura Hexagonal): </w:t>
            </w:r>
            <w:r>
              <w:rPr>
                <w:rFonts w:ascii="Calibri" w:hAnsi="Calibri"/>
                <w:color w:val="222222"/>
                <w:sz w:val="19"/>
              </w:rPr>
              <w:t>En la formulación inicial de la Fase 1 se evaluó utilizar Node.js o FastAPI. No obstante, considerando la necesidad crítica de WeStorage de reducir los tiempos de respuesta de 1 minuto, manejar alta concurrencia de pedidos y asegurar mantenibilidad a largo plazo, se ajustó la tecnología backend a Golang (Go) con Arquitectura Hexagonal y el frontend a React. Go aporta concurrencia nativa de alto desempeño y tipado estático robusto, mientras que la arquitectura hexagonal permite extender el sistema con nuevos casos de uso sin modificar el núcleo.</w:t>
            </w:r>
          </w:p>
          <w:p w14:paraId="02954D0C" w14:textId="77777777" w:rsidR="00B82A2F" w:rsidRDefault="00000000">
            <w:pPr>
              <w:spacing w:before="40" w:after="80"/>
            </w:pPr>
            <w:r>
              <w:rPr>
                <w:rFonts w:ascii="Calibri" w:hAnsi="Calibri"/>
                <w:b/>
                <w:color w:val="222222"/>
                <w:sz w:val="19"/>
              </w:rPr>
              <w:t xml:space="preserve">2. Redistribución formal de responsables en la matriz del Plan de Trabajo: </w:t>
            </w:r>
            <w:r>
              <w:rPr>
                <w:rFonts w:ascii="Calibri" w:hAnsi="Calibri"/>
                <w:color w:val="222222"/>
                <w:sz w:val="19"/>
              </w:rPr>
              <w:t>En la tabla preliminar de la Fase 1 figuraba Joaquín Muñoz como responsable nominal en todas las filas. En esta Fase 2 se ajustó la planificación para reflejar el trabajo real del equipo: Joaquín Muñoz lidera la gestión Scrum y el modelado en PostgreSQL, mientras que Cristóbal Altamirano y José Alegría lideran la implementación de casos de uso en Golang, adaptadores REST y desarrollo en React.</w:t>
            </w:r>
          </w:p>
          <w:p w14:paraId="34B978D6" w14:textId="77777777" w:rsidR="00B82A2F" w:rsidRDefault="00000000">
            <w:pPr>
              <w:spacing w:before="40" w:after="80"/>
            </w:pPr>
            <w:r>
              <w:rPr>
                <w:rFonts w:ascii="Calibri" w:hAnsi="Calibri"/>
                <w:b/>
                <w:color w:val="222222"/>
                <w:sz w:val="19"/>
              </w:rPr>
              <w:t xml:space="preserve">3. Alineación de entregables con niveles TRL (TRL 3 actual hacia TRL 5 objetivo): </w:t>
            </w:r>
            <w:r>
              <w:rPr>
                <w:rFonts w:ascii="Calibri" w:hAnsi="Calibri"/>
                <w:color w:val="222222"/>
                <w:sz w:val="19"/>
              </w:rPr>
              <w:t>Se estructuraron las actividades de validación para acreditar el paso desde el TRL 3 ya alcanzado (prueba de concepto de arquitectura hexagonal y paginación validada) hacia el TRL 5 al cierre del proyecto (validación de módulos integrados en entorno relevante de staging de WeStorage).</w:t>
            </w:r>
          </w:p>
        </w:tc>
      </w:tr>
      <w:tr w:rsidR="00B82A2F" w14:paraId="34746551" w14:textId="77777777">
        <w:trPr>
          <w:jc w:val="center"/>
        </w:trPr>
        <w:tc>
          <w:tcPr>
            <w:tcW w:w="2592" w:type="dxa"/>
            <w:shd w:val="clear" w:color="auto" w:fill="0A2540"/>
            <w:tcMar>
              <w:top w:w="100" w:type="dxa"/>
              <w:left w:w="120" w:type="dxa"/>
              <w:bottom w:w="100" w:type="dxa"/>
              <w:right w:w="120" w:type="dxa"/>
            </w:tcMar>
          </w:tcPr>
          <w:p w14:paraId="7F5481E6" w14:textId="77777777" w:rsidR="00B82A2F" w:rsidRDefault="00000000">
            <w:pPr>
              <w:spacing w:before="40" w:after="80"/>
            </w:pPr>
            <w:r>
              <w:rPr>
                <w:rFonts w:ascii="Calibri" w:hAnsi="Calibri"/>
                <w:b/>
                <w:color w:val="FFFFFF"/>
                <w:sz w:val="19"/>
              </w:rPr>
              <w:t>Actividades que no has iniciado o están retrasadas</w:t>
            </w:r>
          </w:p>
        </w:tc>
        <w:tc>
          <w:tcPr>
            <w:tcW w:w="7632" w:type="dxa"/>
            <w:shd w:val="clear" w:color="auto" w:fill="FFFFFF"/>
            <w:tcMar>
              <w:top w:w="100" w:type="dxa"/>
              <w:left w:w="140" w:type="dxa"/>
              <w:bottom w:w="100" w:type="dxa"/>
              <w:right w:w="140" w:type="dxa"/>
            </w:tcMar>
          </w:tcPr>
          <w:p w14:paraId="68084013" w14:textId="77777777" w:rsidR="00B82A2F" w:rsidRDefault="00000000">
            <w:pPr>
              <w:spacing w:before="40" w:after="80"/>
            </w:pPr>
            <w:r>
              <w:rPr>
                <w:rFonts w:ascii="Calibri" w:hAnsi="Calibri"/>
                <w:b/>
                <w:color w:val="222222"/>
                <w:sz w:val="19"/>
              </w:rPr>
              <w:t>De acuerdo con la planificación establecida en la Fase 1, el proyecto no presenta retrasos críticos en su estado de avance actual. Las actividades que se encuentran por iniciar o en transición responden estrictamente a la secuencia lógica de ingeniería de software planificada:</w:t>
            </w:r>
          </w:p>
          <w:p w14:paraId="1F8F0BEB" w14:textId="77777777" w:rsidR="00B82A2F" w:rsidRDefault="00000000">
            <w:pPr>
              <w:spacing w:before="40" w:after="80"/>
            </w:pPr>
            <w:r>
              <w:rPr>
                <w:rFonts w:ascii="Calibri" w:hAnsi="Calibri"/>
                <w:b/>
                <w:color w:val="222222"/>
                <w:sz w:val="19"/>
              </w:rPr>
              <w:t xml:space="preserve">1. Codificación intensiva de las vistas en React (Programada para la siguiente etapa de desarrollo): </w:t>
            </w:r>
            <w:r>
              <w:rPr>
                <w:rFonts w:ascii="Calibri" w:hAnsi="Calibri"/>
                <w:color w:val="222222"/>
                <w:sz w:val="19"/>
              </w:rPr>
              <w:t>En la etapa actual se completó el diseño de los mockups UI estandarizados y la estructuración base del cliente web. La codificación completa de las pantallas reactivas e integración con todos los endpoints se ejecuta una vez cerrados los controladores principales del backend.</w:t>
            </w:r>
            <w:r>
              <w:rPr>
                <w:rFonts w:ascii="Calibri" w:hAnsi="Calibri"/>
                <w:color w:val="222222"/>
                <w:sz w:val="19"/>
              </w:rPr>
              <w:br/>
            </w:r>
            <w:r>
              <w:rPr>
                <w:rFonts w:ascii="Calibri" w:hAnsi="Calibri"/>
                <w:b/>
                <w:i/>
                <w:color w:val="222222"/>
                <w:sz w:val="19"/>
              </w:rPr>
              <w:t xml:space="preserve">Estrategia de avance: </w:t>
            </w:r>
            <w:r>
              <w:rPr>
                <w:rFonts w:ascii="Calibri" w:hAnsi="Calibri"/>
                <w:color w:val="222222"/>
                <w:sz w:val="19"/>
              </w:rPr>
              <w:t xml:space="preserve">Se definieron contratos JSON estables en los controladores REST de Golang y datos de prueba (seeders) en PostgreSQL para que el consumo desde React sea </w:t>
            </w:r>
            <w:r>
              <w:rPr>
                <w:rFonts w:ascii="Calibri" w:hAnsi="Calibri"/>
                <w:color w:val="222222"/>
                <w:sz w:val="19"/>
              </w:rPr>
              <w:lastRenderedPageBreak/>
              <w:t>directo y sin bloqueos en el siguiente Sprint.</w:t>
            </w:r>
          </w:p>
          <w:p w14:paraId="4DC9093E" w14:textId="77777777" w:rsidR="00B82A2F" w:rsidRDefault="00000000">
            <w:pPr>
              <w:spacing w:before="40" w:after="80"/>
            </w:pPr>
            <w:r>
              <w:rPr>
                <w:rFonts w:ascii="Calibri" w:hAnsi="Calibri"/>
                <w:b/>
                <w:color w:val="222222"/>
                <w:sz w:val="19"/>
              </w:rPr>
              <w:t xml:space="preserve">2. Ejecución de la Suite de Certificación Final y Pruebas de Concurrencia en Staging (Programada para la Fase 3): </w:t>
            </w:r>
            <w:r>
              <w:rPr>
                <w:rFonts w:ascii="Calibri" w:hAnsi="Calibri"/>
                <w:color w:val="222222"/>
                <w:sz w:val="19"/>
              </w:rPr>
              <w:t>Corresponde a la etapa de cierre del proyecto para certificar el nivel TRL 5.</w:t>
            </w:r>
            <w:r>
              <w:rPr>
                <w:rFonts w:ascii="Calibri" w:hAnsi="Calibri"/>
                <w:color w:val="222222"/>
                <w:sz w:val="19"/>
              </w:rPr>
              <w:br/>
            </w:r>
            <w:r>
              <w:rPr>
                <w:rFonts w:ascii="Calibri" w:hAnsi="Calibri"/>
                <w:b/>
                <w:i/>
                <w:color w:val="222222"/>
                <w:sz w:val="19"/>
              </w:rPr>
              <w:t xml:space="preserve">Estrategia de avance: </w:t>
            </w:r>
            <w:r>
              <w:rPr>
                <w:rFonts w:ascii="Calibri" w:hAnsi="Calibri"/>
                <w:color w:val="222222"/>
                <w:sz w:val="19"/>
              </w:rPr>
              <w:t>Aprovechando que la Arquitectura Hexagonal en Golang permite probar la lógica de negocio sin depender de base de datos ni APIs externas, el equipo está ejecutando pruebas unitarias del núcleo de forma anticipada en cada Sprint de la Fase 2, asegurando llegar a la etapa de certificación con el dominio completamente depurado.</w:t>
            </w:r>
          </w:p>
        </w:tc>
      </w:tr>
    </w:tbl>
    <w:p w14:paraId="705FAD70" w14:textId="77777777" w:rsidR="00D45D86" w:rsidRDefault="00D45D86"/>
    <w:sectPr w:rsidR="00D45D86" w:rsidSect="00034616">
      <w:pgSz w:w="12240" w:h="15840"/>
      <w:pgMar w:top="1152" w:right="1008" w:bottom="115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77887501">
    <w:abstractNumId w:val="8"/>
  </w:num>
  <w:num w:numId="2" w16cid:durableId="1341199491">
    <w:abstractNumId w:val="6"/>
  </w:num>
  <w:num w:numId="3" w16cid:durableId="1977492707">
    <w:abstractNumId w:val="5"/>
  </w:num>
  <w:num w:numId="4" w16cid:durableId="1106391999">
    <w:abstractNumId w:val="4"/>
  </w:num>
  <w:num w:numId="5" w16cid:durableId="1582258749">
    <w:abstractNumId w:val="7"/>
  </w:num>
  <w:num w:numId="6" w16cid:durableId="1310089689">
    <w:abstractNumId w:val="3"/>
  </w:num>
  <w:num w:numId="7" w16cid:durableId="802506988">
    <w:abstractNumId w:val="2"/>
  </w:num>
  <w:num w:numId="8" w16cid:durableId="1401322208">
    <w:abstractNumId w:val="1"/>
  </w:num>
  <w:num w:numId="9" w16cid:durableId="123281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264E3"/>
    <w:rsid w:val="00AA1D8D"/>
    <w:rsid w:val="00B47730"/>
    <w:rsid w:val="00B82A2F"/>
    <w:rsid w:val="00CB0664"/>
    <w:rsid w:val="00CD7B65"/>
    <w:rsid w:val="00D45D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D5C26D"/>
  <w14:defaultImageDpi w14:val="300"/>
  <w15:docId w15:val="{D33D7A67-8BD6-4BB6-A3BE-6FAD7ACD9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2980</Words>
  <Characters>16395</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JOAQUIN IGNACIO MUNOZ ADASME</cp:lastModifiedBy>
  <cp:revision>2</cp:revision>
  <dcterms:created xsi:type="dcterms:W3CDTF">2026-10-24T02:02:00Z</dcterms:created>
  <dcterms:modified xsi:type="dcterms:W3CDTF">2026-10-24T02:02:00Z</dcterms:modified>
  <cp:category/>
</cp:coreProperties>
</file>