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913" w:rsidRDefault="00070913"/>
    <w:p w:rsidR="00C33906" w:rsidRDefault="00C33906" w:rsidP="00C33906">
      <w:pPr>
        <w:spacing w:line="276" w:lineRule="auto"/>
        <w:rPr>
          <w:b/>
          <w:color w:val="222A35" w:themeColor="text2" w:themeShade="80"/>
        </w:rPr>
      </w:pPr>
      <w:r w:rsidRPr="000B32C6">
        <w:rPr>
          <w:b/>
          <w:color w:val="222A35" w:themeColor="text2" w:themeShade="80"/>
        </w:rPr>
        <w:t>COST SUMMARY</w:t>
      </w:r>
    </w:p>
    <w:p w:rsidR="00C33906" w:rsidRPr="000B32C6" w:rsidRDefault="00C33906" w:rsidP="00C33906">
      <w:pPr>
        <w:spacing w:line="276" w:lineRule="auto"/>
        <w:rPr>
          <w:b/>
          <w:color w:val="222A35" w:themeColor="text2" w:themeShade="8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1"/>
        <w:gridCol w:w="1504"/>
        <w:gridCol w:w="4394"/>
        <w:gridCol w:w="1134"/>
        <w:gridCol w:w="1479"/>
      </w:tblGrid>
      <w:tr w:rsidR="00C33906" w:rsidRPr="000B32C6" w:rsidTr="0061310F">
        <w:tc>
          <w:tcPr>
            <w:tcW w:w="731" w:type="dxa"/>
            <w:vAlign w:val="center"/>
          </w:tcPr>
          <w:p w:rsidR="00C33906" w:rsidRPr="000B32C6" w:rsidRDefault="00C33906" w:rsidP="0061310F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>A</w:t>
            </w:r>
          </w:p>
        </w:tc>
        <w:tc>
          <w:tcPr>
            <w:tcW w:w="1504" w:type="dxa"/>
            <w:vAlign w:val="center"/>
          </w:tcPr>
          <w:p w:rsidR="00C33906" w:rsidRPr="000B32C6" w:rsidRDefault="00C33906" w:rsidP="0061310F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>KS-</w:t>
            </w:r>
            <w:proofErr w:type="spellStart"/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>ASM</w:t>
            </w:r>
            <w:proofErr w:type="spellEnd"/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>-2</w:t>
            </w:r>
          </w:p>
        </w:tc>
        <w:tc>
          <w:tcPr>
            <w:tcW w:w="4394" w:type="dxa"/>
            <w:vAlign w:val="center"/>
          </w:tcPr>
          <w:p w:rsidR="00C33906" w:rsidRPr="000B32C6" w:rsidRDefault="00C33906" w:rsidP="0061310F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>Kinesense LE: 2 PC Clients, for 3 years</w:t>
            </w:r>
          </w:p>
        </w:tc>
        <w:tc>
          <w:tcPr>
            <w:tcW w:w="1134" w:type="dxa"/>
            <w:vAlign w:val="center"/>
          </w:tcPr>
          <w:p w:rsidR="00C33906" w:rsidRPr="000B32C6" w:rsidRDefault="00C33906" w:rsidP="0061310F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>€42,570</w:t>
            </w:r>
          </w:p>
        </w:tc>
        <w:tc>
          <w:tcPr>
            <w:tcW w:w="1479" w:type="dxa"/>
            <w:vAlign w:val="center"/>
          </w:tcPr>
          <w:p w:rsidR="00C33906" w:rsidRPr="000B32C6" w:rsidRDefault="00C33906" w:rsidP="0061310F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 xml:space="preserve">UGX </w:t>
            </w:r>
          </w:p>
          <w:p w:rsidR="00C33906" w:rsidRPr="000B32C6" w:rsidRDefault="00C33906" w:rsidP="0061310F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>176,282,370</w:t>
            </w:r>
          </w:p>
        </w:tc>
      </w:tr>
      <w:tr w:rsidR="00C33906" w:rsidRPr="000B32C6" w:rsidTr="0061310F">
        <w:tc>
          <w:tcPr>
            <w:tcW w:w="731" w:type="dxa"/>
          </w:tcPr>
          <w:p w:rsidR="00C33906" w:rsidRPr="000B32C6" w:rsidRDefault="00C33906" w:rsidP="0061310F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>E</w:t>
            </w:r>
          </w:p>
        </w:tc>
        <w:tc>
          <w:tcPr>
            <w:tcW w:w="1504" w:type="dxa"/>
          </w:tcPr>
          <w:p w:rsidR="00C33906" w:rsidRPr="000B32C6" w:rsidRDefault="00C33906" w:rsidP="0061310F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>KS-</w:t>
            </w:r>
            <w:proofErr w:type="spellStart"/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>RTA</w:t>
            </w:r>
            <w:proofErr w:type="spellEnd"/>
          </w:p>
        </w:tc>
        <w:tc>
          <w:tcPr>
            <w:tcW w:w="4394" w:type="dxa"/>
          </w:tcPr>
          <w:p w:rsidR="00C33906" w:rsidRPr="000B32C6" w:rsidRDefault="00C33906" w:rsidP="0061310F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>Kinesense Remote Technical Assistance, for 3 years</w:t>
            </w:r>
          </w:p>
          <w:p w:rsidR="00C33906" w:rsidRPr="000B32C6" w:rsidRDefault="00C33906" w:rsidP="0061310F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222A35" w:themeColor="text2" w:themeShade="80"/>
              </w:rPr>
            </w:pPr>
          </w:p>
        </w:tc>
        <w:tc>
          <w:tcPr>
            <w:tcW w:w="1134" w:type="dxa"/>
          </w:tcPr>
          <w:p w:rsidR="00C33906" w:rsidRPr="000B32C6" w:rsidRDefault="00C33906" w:rsidP="0061310F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>€8,250</w:t>
            </w:r>
          </w:p>
          <w:p w:rsidR="00C33906" w:rsidRPr="000B32C6" w:rsidRDefault="00C33906" w:rsidP="0061310F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222A35" w:themeColor="text2" w:themeShade="80"/>
              </w:rPr>
            </w:pPr>
          </w:p>
        </w:tc>
        <w:tc>
          <w:tcPr>
            <w:tcW w:w="1479" w:type="dxa"/>
          </w:tcPr>
          <w:p w:rsidR="00C33906" w:rsidRPr="000B32C6" w:rsidRDefault="00C33906" w:rsidP="0061310F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>UGX</w:t>
            </w:r>
          </w:p>
          <w:p w:rsidR="00C33906" w:rsidRPr="000B32C6" w:rsidRDefault="00C33906" w:rsidP="0061310F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>34,163,250</w:t>
            </w:r>
          </w:p>
          <w:p w:rsidR="00C33906" w:rsidRPr="000B32C6" w:rsidRDefault="00C33906" w:rsidP="0061310F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222A35" w:themeColor="text2" w:themeShade="80"/>
              </w:rPr>
            </w:pPr>
          </w:p>
        </w:tc>
      </w:tr>
      <w:tr w:rsidR="00C33906" w:rsidRPr="000B32C6" w:rsidTr="0061310F">
        <w:tc>
          <w:tcPr>
            <w:tcW w:w="731" w:type="dxa"/>
          </w:tcPr>
          <w:p w:rsidR="00C33906" w:rsidRPr="000B32C6" w:rsidRDefault="00C33906" w:rsidP="0061310F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>F</w:t>
            </w:r>
          </w:p>
        </w:tc>
        <w:tc>
          <w:tcPr>
            <w:tcW w:w="1504" w:type="dxa"/>
          </w:tcPr>
          <w:p w:rsidR="00C33906" w:rsidRPr="000B32C6" w:rsidRDefault="00C33906" w:rsidP="0061310F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>K-TRAN</w:t>
            </w:r>
          </w:p>
        </w:tc>
        <w:tc>
          <w:tcPr>
            <w:tcW w:w="4394" w:type="dxa"/>
          </w:tcPr>
          <w:p w:rsidR="00C33906" w:rsidRPr="000B32C6" w:rsidRDefault="00C33906" w:rsidP="0061310F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>Training, up to 4 days for up to 10 people.</w:t>
            </w:r>
          </w:p>
          <w:p w:rsidR="00C33906" w:rsidRPr="000B32C6" w:rsidRDefault="00C33906" w:rsidP="0061310F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>Software installation at Kampala. Excludes flight costs &amp; other travel expenses</w:t>
            </w:r>
          </w:p>
          <w:p w:rsidR="00C33906" w:rsidRPr="000B32C6" w:rsidRDefault="00C33906" w:rsidP="0061310F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222A35" w:themeColor="text2" w:themeShade="80"/>
              </w:rPr>
            </w:pPr>
          </w:p>
        </w:tc>
        <w:tc>
          <w:tcPr>
            <w:tcW w:w="1134" w:type="dxa"/>
          </w:tcPr>
          <w:p w:rsidR="00C33906" w:rsidRPr="000B32C6" w:rsidRDefault="00C33906" w:rsidP="0061310F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>€33,000</w:t>
            </w:r>
          </w:p>
          <w:p w:rsidR="00C33906" w:rsidRPr="000B32C6" w:rsidRDefault="00C33906" w:rsidP="0061310F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222A35" w:themeColor="text2" w:themeShade="80"/>
              </w:rPr>
            </w:pPr>
          </w:p>
        </w:tc>
        <w:tc>
          <w:tcPr>
            <w:tcW w:w="1479" w:type="dxa"/>
          </w:tcPr>
          <w:p w:rsidR="00C33906" w:rsidRPr="000B32C6" w:rsidRDefault="00C33906" w:rsidP="0061310F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>UGX</w:t>
            </w:r>
          </w:p>
          <w:p w:rsidR="00C33906" w:rsidRPr="000B32C6" w:rsidRDefault="00C33906" w:rsidP="0061310F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0B32C6">
              <w:rPr>
                <w:rFonts w:ascii="Times New Roman" w:hAnsi="Times New Roman" w:cs="Times New Roman"/>
                <w:color w:val="222A35" w:themeColor="text2" w:themeShade="80"/>
              </w:rPr>
              <w:t>136,653,000</w:t>
            </w:r>
          </w:p>
        </w:tc>
      </w:tr>
      <w:tr w:rsidR="00C33906" w:rsidRPr="000B32C6" w:rsidTr="0061310F">
        <w:tc>
          <w:tcPr>
            <w:tcW w:w="731" w:type="dxa"/>
          </w:tcPr>
          <w:p w:rsidR="00C33906" w:rsidRPr="000B32C6" w:rsidRDefault="00C33906" w:rsidP="0061310F">
            <w:pPr>
              <w:spacing w:line="276" w:lineRule="auto"/>
              <w:jc w:val="center"/>
              <w:rPr>
                <w:color w:val="222A35" w:themeColor="text2" w:themeShade="80"/>
              </w:rPr>
            </w:pPr>
            <w:r w:rsidRPr="000B32C6">
              <w:rPr>
                <w:color w:val="222A35" w:themeColor="text2" w:themeShade="80"/>
              </w:rPr>
              <w:t>H</w:t>
            </w:r>
          </w:p>
        </w:tc>
        <w:tc>
          <w:tcPr>
            <w:tcW w:w="1504" w:type="dxa"/>
          </w:tcPr>
          <w:p w:rsidR="00C33906" w:rsidRPr="000B32C6" w:rsidRDefault="00C33906" w:rsidP="0061310F">
            <w:pPr>
              <w:spacing w:line="276" w:lineRule="auto"/>
              <w:jc w:val="center"/>
              <w:rPr>
                <w:color w:val="222A35" w:themeColor="text2" w:themeShade="80"/>
              </w:rPr>
            </w:pPr>
            <w:r w:rsidRPr="000B32C6">
              <w:rPr>
                <w:color w:val="222A35" w:themeColor="text2" w:themeShade="80"/>
              </w:rPr>
              <w:t>KS-FR</w:t>
            </w:r>
          </w:p>
        </w:tc>
        <w:tc>
          <w:tcPr>
            <w:tcW w:w="4394" w:type="dxa"/>
          </w:tcPr>
          <w:p w:rsidR="00C33906" w:rsidRPr="000B32C6" w:rsidRDefault="00C33906" w:rsidP="0061310F">
            <w:pPr>
              <w:spacing w:line="276" w:lineRule="auto"/>
              <w:rPr>
                <w:color w:val="222A35" w:themeColor="text2" w:themeShade="80"/>
              </w:rPr>
            </w:pPr>
            <w:r w:rsidRPr="000B32C6">
              <w:rPr>
                <w:color w:val="222A35" w:themeColor="text2" w:themeShade="80"/>
              </w:rPr>
              <w:t>Face Recognition Module: for 3 years</w:t>
            </w:r>
          </w:p>
          <w:p w:rsidR="00C33906" w:rsidRPr="000B32C6" w:rsidRDefault="00C33906" w:rsidP="0061310F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222A35" w:themeColor="text2" w:themeShade="80"/>
              </w:rPr>
            </w:pPr>
          </w:p>
        </w:tc>
        <w:tc>
          <w:tcPr>
            <w:tcW w:w="1134" w:type="dxa"/>
          </w:tcPr>
          <w:p w:rsidR="00C33906" w:rsidRPr="000B32C6" w:rsidRDefault="00C33906" w:rsidP="0061310F">
            <w:pPr>
              <w:spacing w:line="276" w:lineRule="auto"/>
              <w:jc w:val="center"/>
              <w:rPr>
                <w:color w:val="222A35" w:themeColor="text2" w:themeShade="80"/>
              </w:rPr>
            </w:pPr>
            <w:r w:rsidRPr="000B32C6">
              <w:rPr>
                <w:color w:val="222A35" w:themeColor="text2" w:themeShade="80"/>
              </w:rPr>
              <w:t>€</w:t>
            </w:r>
            <w:r w:rsidRPr="000B32C6">
              <w:t>78,540</w:t>
            </w:r>
          </w:p>
        </w:tc>
        <w:tc>
          <w:tcPr>
            <w:tcW w:w="1479" w:type="dxa"/>
          </w:tcPr>
          <w:p w:rsidR="00C33906" w:rsidRPr="000B32C6" w:rsidRDefault="00C33906" w:rsidP="0061310F">
            <w:pPr>
              <w:spacing w:line="276" w:lineRule="auto"/>
              <w:jc w:val="center"/>
              <w:rPr>
                <w:color w:val="222A35" w:themeColor="text2" w:themeShade="80"/>
              </w:rPr>
            </w:pPr>
            <w:r w:rsidRPr="000B32C6">
              <w:rPr>
                <w:color w:val="222A35" w:themeColor="text2" w:themeShade="80"/>
              </w:rPr>
              <w:t>UGX 325,234,140</w:t>
            </w:r>
          </w:p>
        </w:tc>
      </w:tr>
      <w:tr w:rsidR="00C33906" w:rsidRPr="000B32C6" w:rsidTr="0061310F">
        <w:tc>
          <w:tcPr>
            <w:tcW w:w="731" w:type="dxa"/>
          </w:tcPr>
          <w:p w:rsidR="00C33906" w:rsidRPr="000B32C6" w:rsidRDefault="00C33906" w:rsidP="0061310F">
            <w:pPr>
              <w:spacing w:line="276" w:lineRule="auto"/>
              <w:jc w:val="center"/>
              <w:rPr>
                <w:b/>
                <w:color w:val="222A35" w:themeColor="text2" w:themeShade="80"/>
              </w:rPr>
            </w:pPr>
          </w:p>
        </w:tc>
        <w:tc>
          <w:tcPr>
            <w:tcW w:w="1504" w:type="dxa"/>
          </w:tcPr>
          <w:p w:rsidR="00C33906" w:rsidRPr="000B32C6" w:rsidRDefault="00C33906" w:rsidP="0061310F">
            <w:pPr>
              <w:spacing w:line="276" w:lineRule="auto"/>
              <w:jc w:val="center"/>
              <w:rPr>
                <w:b/>
                <w:color w:val="222A35" w:themeColor="text2" w:themeShade="80"/>
              </w:rPr>
            </w:pPr>
          </w:p>
        </w:tc>
        <w:tc>
          <w:tcPr>
            <w:tcW w:w="4394" w:type="dxa"/>
          </w:tcPr>
          <w:p w:rsidR="00C33906" w:rsidRPr="000B32C6" w:rsidRDefault="00C33906" w:rsidP="0061310F">
            <w:pPr>
              <w:spacing w:line="276" w:lineRule="auto"/>
              <w:rPr>
                <w:b/>
                <w:color w:val="222A35" w:themeColor="text2" w:themeShade="80"/>
              </w:rPr>
            </w:pPr>
            <w:r w:rsidRPr="000B32C6">
              <w:rPr>
                <w:b/>
                <w:color w:val="222A35" w:themeColor="text2" w:themeShade="80"/>
              </w:rPr>
              <w:t>TOTAL COST</w:t>
            </w:r>
          </w:p>
        </w:tc>
        <w:tc>
          <w:tcPr>
            <w:tcW w:w="1134" w:type="dxa"/>
          </w:tcPr>
          <w:p w:rsidR="00C33906" w:rsidRPr="000B32C6" w:rsidRDefault="00C33906" w:rsidP="0061310F">
            <w:pPr>
              <w:spacing w:line="276" w:lineRule="auto"/>
              <w:jc w:val="center"/>
              <w:rPr>
                <w:b/>
                <w:color w:val="222A35" w:themeColor="text2" w:themeShade="80"/>
              </w:rPr>
            </w:pPr>
            <w:r w:rsidRPr="000B32C6">
              <w:rPr>
                <w:b/>
                <w:color w:val="222A35" w:themeColor="text2" w:themeShade="80"/>
              </w:rPr>
              <w:t>€162,360</w:t>
            </w:r>
          </w:p>
          <w:p w:rsidR="00C33906" w:rsidRPr="000B32C6" w:rsidRDefault="00C33906" w:rsidP="0061310F">
            <w:pPr>
              <w:spacing w:line="276" w:lineRule="auto"/>
              <w:jc w:val="center"/>
              <w:rPr>
                <w:b/>
                <w:color w:val="222A35" w:themeColor="text2" w:themeShade="80"/>
              </w:rPr>
            </w:pPr>
          </w:p>
        </w:tc>
        <w:tc>
          <w:tcPr>
            <w:tcW w:w="1479" w:type="dxa"/>
          </w:tcPr>
          <w:p w:rsidR="00C33906" w:rsidRPr="000B32C6" w:rsidRDefault="00C33906" w:rsidP="0061310F">
            <w:pPr>
              <w:spacing w:line="276" w:lineRule="auto"/>
              <w:jc w:val="center"/>
              <w:rPr>
                <w:b/>
                <w:color w:val="000000"/>
              </w:rPr>
            </w:pPr>
            <w:r w:rsidRPr="000B32C6">
              <w:rPr>
                <w:b/>
                <w:color w:val="000000"/>
              </w:rPr>
              <w:t>UGX 672,332,760</w:t>
            </w:r>
          </w:p>
          <w:p w:rsidR="00C33906" w:rsidRPr="000B32C6" w:rsidRDefault="00C33906" w:rsidP="0061310F">
            <w:pPr>
              <w:spacing w:line="276" w:lineRule="auto"/>
              <w:jc w:val="center"/>
              <w:rPr>
                <w:b/>
                <w:color w:val="222A35" w:themeColor="text2" w:themeShade="80"/>
              </w:rPr>
            </w:pPr>
          </w:p>
        </w:tc>
      </w:tr>
    </w:tbl>
    <w:p w:rsidR="00C33906" w:rsidRPr="000B32C6" w:rsidRDefault="00C33906" w:rsidP="00C33906">
      <w:pPr>
        <w:spacing w:line="276" w:lineRule="auto"/>
        <w:rPr>
          <w:color w:val="222A35" w:themeColor="text2" w:themeShade="80"/>
        </w:rPr>
      </w:pPr>
    </w:p>
    <w:p w:rsidR="00C33906" w:rsidRDefault="00C33906" w:rsidP="00C33906">
      <w:pPr>
        <w:spacing w:line="276" w:lineRule="auto"/>
        <w:rPr>
          <w:b/>
          <w:color w:val="222A35" w:themeColor="text2" w:themeShade="80"/>
        </w:rPr>
      </w:pPr>
      <w:r w:rsidRPr="008B11EB">
        <w:rPr>
          <w:b/>
          <w:color w:val="222A35" w:themeColor="text2" w:themeShade="80"/>
        </w:rPr>
        <w:t xml:space="preserve">PLEASE NOTE: </w:t>
      </w:r>
    </w:p>
    <w:p w:rsidR="00C33906" w:rsidRPr="008B11EB" w:rsidRDefault="00C33906" w:rsidP="00C33906">
      <w:pPr>
        <w:spacing w:line="276" w:lineRule="auto"/>
        <w:rPr>
          <w:b/>
          <w:color w:val="222A35" w:themeColor="text2" w:themeShade="80"/>
        </w:rPr>
      </w:pPr>
    </w:p>
    <w:p w:rsidR="00C33906" w:rsidRPr="000B32C6" w:rsidRDefault="00C33906" w:rsidP="00C33906">
      <w:pPr>
        <w:pStyle w:val="ListParagraph"/>
        <w:numPr>
          <w:ilvl w:val="0"/>
          <w:numId w:val="1"/>
        </w:numPr>
        <w:spacing w:line="276" w:lineRule="auto"/>
        <w:rPr>
          <w:color w:val="222A35" w:themeColor="text2" w:themeShade="80"/>
        </w:rPr>
      </w:pPr>
      <w:r w:rsidRPr="000B32C6">
        <w:rPr>
          <w:color w:val="222A35" w:themeColor="text2" w:themeShade="80"/>
        </w:rPr>
        <w:t>Prices exclude local taxes, duties and flight &amp; accommodation costs for the installation and training service.</w:t>
      </w:r>
    </w:p>
    <w:p w:rsidR="00C33906" w:rsidRPr="000B32C6" w:rsidRDefault="00C33906" w:rsidP="00C33906">
      <w:pPr>
        <w:pStyle w:val="ListParagraph"/>
        <w:numPr>
          <w:ilvl w:val="0"/>
          <w:numId w:val="1"/>
        </w:numPr>
        <w:spacing w:line="276" w:lineRule="auto"/>
        <w:rPr>
          <w:color w:val="222A35" w:themeColor="text2" w:themeShade="80"/>
        </w:rPr>
      </w:pPr>
      <w:r w:rsidRPr="000B32C6">
        <w:rPr>
          <w:color w:val="222A35" w:themeColor="text2" w:themeShade="80"/>
        </w:rPr>
        <w:t>Euros to Uganda Shillings are converted at today’s Bank of Uganda rate of €1.00/</w:t>
      </w:r>
      <w:proofErr w:type="spellStart"/>
      <w:r w:rsidRPr="000B32C6">
        <w:rPr>
          <w:color w:val="222A35" w:themeColor="text2" w:themeShade="80"/>
        </w:rPr>
        <w:t>UGX4</w:t>
      </w:r>
      <w:proofErr w:type="gramStart"/>
      <w:r w:rsidRPr="000B32C6">
        <w:rPr>
          <w:color w:val="222A35" w:themeColor="text2" w:themeShade="80"/>
        </w:rPr>
        <w:t>,141</w:t>
      </w:r>
      <w:proofErr w:type="spellEnd"/>
      <w:proofErr w:type="gramEnd"/>
      <w:r w:rsidRPr="000B32C6">
        <w:rPr>
          <w:color w:val="222A35" w:themeColor="text2" w:themeShade="80"/>
        </w:rPr>
        <w:t>.</w:t>
      </w:r>
    </w:p>
    <w:p w:rsidR="00C33906" w:rsidRPr="000B32C6" w:rsidRDefault="00C33906" w:rsidP="00C33906">
      <w:pPr>
        <w:spacing w:line="276" w:lineRule="auto"/>
        <w:rPr>
          <w:color w:val="222A35" w:themeColor="text2" w:themeShade="80"/>
        </w:rPr>
      </w:pPr>
    </w:p>
    <w:p w:rsidR="00C33906" w:rsidRDefault="00C33906">
      <w:bookmarkStart w:id="0" w:name="_GoBack"/>
      <w:bookmarkEnd w:id="0"/>
    </w:p>
    <w:sectPr w:rsidR="00C33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13706"/>
    <w:multiLevelType w:val="hybridMultilevel"/>
    <w:tmpl w:val="4C78E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06"/>
    <w:rsid w:val="00070913"/>
    <w:rsid w:val="00384D3E"/>
    <w:rsid w:val="00C33906"/>
    <w:rsid w:val="00E6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405D9-295A-4413-95A4-F09CCDA1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9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906"/>
    <w:pPr>
      <w:ind w:left="720"/>
      <w:contextualSpacing/>
    </w:pPr>
  </w:style>
  <w:style w:type="paragraph" w:customStyle="1" w:styleId="Default">
    <w:name w:val="Default"/>
    <w:rsid w:val="00C339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3390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2021-02-24T06:22:00Z</dcterms:created>
  <dcterms:modified xsi:type="dcterms:W3CDTF">2021-02-24T06:22:00Z</dcterms:modified>
</cp:coreProperties>
</file>