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libri" w:hAnsi="Calibri" w:eastAsia="Calibri"/>
          <w:b/>
          <w:i w:val="0"/>
          <w:color w:val="1F3A6E"/>
          <w:sz w:val="26"/>
        </w:rPr>
        <w:t>UNIVERSIDAD DE LA CUENCA DEL PLATA</w:t>
      </w:r>
    </w:p>
    <w:p>
      <w:pPr>
        <w:spacing w:before="0" w:after="240" w:line="240" w:lineRule="auto"/>
        <w:jc w:val="center"/>
      </w:pPr>
      <w:r>
        <w:rPr>
          <w:rFonts w:ascii="Calibri" w:hAnsi="Calibri" w:eastAsia="Calibri"/>
          <w:b w:val="0"/>
          <w:i w:val="0"/>
          <w:color w:val="1C2430"/>
          <w:sz w:val="19"/>
        </w:rPr>
        <w:t>Facultad de Ingeniería, Tecnología y Arquitectura · Ingeniería en Sistemas de Información</w:t>
      </w:r>
    </w:p>
    <w:p>
      <w:pPr>
        <w:spacing w:before="0" w:after="80" w:line="240" w:lineRule="auto"/>
        <w:jc w:val="center"/>
      </w:pPr>
      <w:r>
        <w:rPr>
          <w:rFonts w:ascii="Calibri" w:hAnsi="Calibri" w:eastAsia="Calibri"/>
          <w:b/>
          <w:i w:val="0"/>
          <w:color w:val="1F3A6E"/>
          <w:sz w:val="32"/>
        </w:rPr>
        <w:t>BITÁCORA INDIVIDUAL DE PROCESO Y DECISIONES</w:t>
      </w:r>
    </w:p>
    <w:p>
      <w:pPr>
        <w:spacing w:before="0" w:after="240" w:line="240" w:lineRule="auto"/>
        <w:jc w:val="center"/>
      </w:pPr>
      <w:r>
        <w:rPr>
          <w:rFonts w:ascii="Calibri" w:hAnsi="Calibri" w:eastAsia="Calibri"/>
          <w:b w:val="0"/>
          <w:i w:val="0"/>
          <w:color w:val="24507F"/>
          <w:sz w:val="22"/>
        </w:rPr>
        <w:t>Actividad de Evaluación N.º 2 · Unidad Dos — Formulación de Proyectos de Sistemas de Información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4D6"/>
          <w:left w:val="single" w:sz="6" w:space="0" w:color="B9C4D6"/>
          <w:bottom w:val="single" w:sz="6" w:space="0" w:color="B9C4D6"/>
          <w:right w:val="single" w:sz="6" w:space="0" w:color="B9C4D6"/>
          <w:insideH w:val="single" w:sz="6" w:space="0" w:color="B9C4D6"/>
          <w:insideV w:val="single" w:sz="6" w:space="0" w:color="B9C4D6"/>
        </w:tblBorders>
      </w:tblPr>
      <w:tblGrid>
        <w:gridCol w:w="4252"/>
        <w:gridCol w:w="4252"/>
      </w:tblGrid>
      <w:tr>
        <w:tc>
          <w:tcPr>
            <w:tcW w:type="dxa" w:w="3118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Identificación</w:t>
            </w:r>
          </w:p>
        </w:tc>
        <w:tc>
          <w:tcPr>
            <w:tcW w:type="dxa" w:w="5386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Apellido y nombre</w:t>
            </w:r>
          </w:p>
        </w:tc>
        <w:tc>
          <w:tcPr>
            <w:tcW w:type="dxa" w:w="5386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3118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DNI</w:t>
            </w:r>
          </w:p>
        </w:tc>
        <w:tc>
          <w:tcPr>
            <w:tcW w:type="dxa" w:w="5386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3118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Proyecto (denominación)</w:t>
            </w:r>
          </w:p>
        </w:tc>
        <w:tc>
          <w:tcPr>
            <w:tcW w:type="dxa" w:w="5386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3118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Equipo e integrantes</w:t>
            </w:r>
          </w:p>
        </w:tc>
        <w:tc>
          <w:tcPr>
            <w:tcW w:type="dxa" w:w="5386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3118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Repositorio (dirección)</w:t>
            </w:r>
          </w:p>
        </w:tc>
        <w:tc>
          <w:tcPr>
            <w:tcW w:type="dxa" w:w="5386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3118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Período que cubre esta bitácora</w:t>
            </w:r>
          </w:p>
        </w:tc>
        <w:tc>
          <w:tcPr>
            <w:tcW w:type="dxa" w:w="5386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Semanas 5 a 8 del Sprint 2 · del 7 de septiembre al 1.º de octubre de 2026, fecha de entrega</w:t>
            </w:r>
          </w:p>
        </w:tc>
      </w:tr>
    </w:tbl>
    <w:p>
      <w:pPr>
        <w:spacing w:before="0" w:after="160" w:line="240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7D3E6"/>
          <w:left w:val="single" w:sz="4" w:space="0" w:color="C7D3E6"/>
          <w:bottom w:val="single" w:sz="4" w:space="0" w:color="C7D3E6"/>
          <w:right w:val="single" w:sz="4" w:space="0" w:color="C7D3E6"/>
          <w:insideH w:val="single" w:sz="4" w:space="0" w:color="C7D3E6"/>
          <w:insideV w:val="single" w:sz="4" w:space="0" w:color="C7D3E6"/>
        </w:tblBorders>
      </w:tblPr>
      <w:tblGrid>
        <w:gridCol w:w="8504"/>
      </w:tblGrid>
      <w:tr>
        <w:tc>
          <w:tcPr>
            <w:tcW w:type="dxa" w:w="8504"/>
            <w:shd w:val="clear" w:color="auto" w:fill="E4ECF8"/>
          </w:tcPr>
          <w:p>
            <w:pPr>
              <w:spacing w:before="80" w:after="6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1F3A6E"/>
                <w:sz w:val="17"/>
              </w:rPr>
              <w:t>CÓMO SE USA ESTA PLANTILLA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1C2430"/>
                <w:sz w:val="20"/>
              </w:rPr>
              <w:t>La bitácora es individual y no compartida. Constituye la evidencia primaria del desempeño personal dentro del equipo y es componente de cierre: si la de un integrante falta o resulta insuficiente, la AE2 no se cierra como completa respecto de ese estudiante, cualquiera sea la calidad del trabajo colectivo.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1C2430"/>
                <w:sz w:val="20"/>
              </w:rPr>
              <w:t>Vive como archivo bitacora.md dentro de /00-gestion del repositorio, con la entrada más reciente arriba, y se entrega copiada en la tarea «AE2 · Bitácora Individual de Proceso y Decisiones» del aula virtual. Esta plantilla sirve para quien prefiera redactarla en procesador de texto; en ese caso se exporta a PDF y se aloja igualmente en el repositorio.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1C2430"/>
                <w:sz w:val="20"/>
              </w:rPr>
              <w:t>Se escribe el día en que ocurre lo que se registra. Diez minutos, y sólo cuando pasa algo que vale registrar: una decisión, una alternativa descartada, un dato nuevo que cambió algo, una validación con el referente, una corrección a algo ya escrito. Reconstruida tres meses después no sirve como evidencia ni para la defensa.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7D3E6"/>
          <w:left w:val="single" w:sz="4" w:space="0" w:color="C7D3E6"/>
          <w:bottom w:val="single" w:sz="4" w:space="0" w:color="C7D3E6"/>
          <w:right w:val="single" w:sz="4" w:space="0" w:color="C7D3E6"/>
          <w:insideH w:val="single" w:sz="4" w:space="0" w:color="C7D3E6"/>
          <w:insideV w:val="single" w:sz="4" w:space="0" w:color="C7D3E6"/>
        </w:tblBorders>
      </w:tblPr>
      <w:tblGrid>
        <w:gridCol w:w="8504"/>
      </w:tblGrid>
      <w:tr>
        <w:tc>
          <w:tcPr>
            <w:tcW w:type="dxa" w:w="8504"/>
            <w:shd w:val="clear" w:color="auto" w:fill="FDF4E2"/>
          </w:tcPr>
          <w:p>
            <w:pPr>
              <w:spacing w:before="80" w:after="6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9A6413"/>
                <w:sz w:val="17"/>
              </w:rPr>
              <w:t>QUÉ SE AGUDIZA EN ESTA UNIDAD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1C2430"/>
                <w:sz w:val="20"/>
              </w:rPr>
              <w:t>El elemento 2 cambia de peso. En la AE1 la bitácora registraba hallazgos; en la AE2 registra recortes. Toda delimitación excluye algo, y lo excluido debe quedar consignado con su criterio: qué entidad no entró al dominio y por qué, qué requisito quedó fuera del producto mínimo viable, qué alternativa de arquitectura se descartó y con qué argumento. Son las decisiones que el tribunal interroga en noviembre, y las únicas que no pueden reconstruirse después.</w:t>
            </w:r>
          </w:p>
        </w:tc>
      </w:tr>
    </w:tbl>
    <w:p>
      <w:pPr>
        <w:spacing w:after="0"/>
      </w:pPr>
    </w:p>
    <w:p>
      <w:pPr>
        <w:spacing w:before="240" w:after="80"/>
        <w:jc w:val="left"/>
      </w:pPr>
      <w:r>
        <w:rPr>
          <w:rFonts w:ascii="Calibri" w:hAnsi="Calibri" w:eastAsia="Calibri"/>
          <w:b/>
          <w:i w:val="0"/>
          <w:color w:val="1F3A6E"/>
          <w:sz w:val="24"/>
        </w:rPr>
        <w:t>Los seis elementos de cada entrada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4D6"/>
          <w:left w:val="single" w:sz="6" w:space="0" w:color="B9C4D6"/>
          <w:bottom w:val="single" w:sz="6" w:space="0" w:color="B9C4D6"/>
          <w:right w:val="single" w:sz="6" w:space="0" w:color="B9C4D6"/>
          <w:insideH w:val="single" w:sz="6" w:space="0" w:color="B9C4D6"/>
          <w:insideV w:val="single" w:sz="6" w:space="0" w:color="B9C4D6"/>
        </w:tblBorders>
      </w:tblPr>
      <w:tblGrid>
        <w:gridCol w:w="2835"/>
        <w:gridCol w:w="2835"/>
        <w:gridCol w:w="2835"/>
      </w:tblGrid>
      <w:tr>
        <w:tc>
          <w:tcPr>
            <w:tcW w:type="dxa" w:w="567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494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Elemento</w:t>
            </w:r>
          </w:p>
        </w:tc>
        <w:tc>
          <w:tcPr>
            <w:tcW w:type="dxa" w:w="5443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Qué consigna en esta actividad</w:t>
            </w:r>
          </w:p>
        </w:tc>
      </w:tr>
      <w:tr>
        <w:tc>
          <w:tcPr>
            <w:tcW w:type="dxa" w:w="567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1</w:t>
            </w:r>
          </w:p>
        </w:tc>
        <w:tc>
          <w:tcPr>
            <w:tcW w:type="dxa" w:w="2494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Qué se decidió</w:t>
            </w:r>
          </w:p>
        </w:tc>
        <w:tc>
          <w:tcPr>
            <w:tcW w:type="dxa" w:w="5443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Delimitación adoptada, requisito especificado, elección de iteración o asignación de recurso.</w:t>
            </w:r>
          </w:p>
        </w:tc>
      </w:tr>
      <w:tr>
        <w:tc>
          <w:tcPr>
            <w:tcW w:type="dxa" w:w="567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2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Alternativas y criterio de descarte</w:t>
            </w:r>
          </w:p>
        </w:tc>
        <w:tc>
          <w:tcPr>
            <w:tcW w:type="dxa" w:w="5443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Qué quedó excluido por esa decisión y con qué criterio.</w:t>
            </w:r>
          </w:p>
        </w:tc>
      </w:tr>
      <w:tr>
        <w:tc>
          <w:tcPr>
            <w:tcW w:type="dxa" w:w="567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3</w:t>
            </w:r>
          </w:p>
        </w:tc>
        <w:tc>
          <w:tcPr>
            <w:tcW w:type="dxa" w:w="2494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Evidencia que la sostiene</w:t>
            </w:r>
          </w:p>
        </w:tc>
        <w:tc>
          <w:tcPr>
            <w:tcW w:type="dxa" w:w="5443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Hallazgo del relevamiento, validación del referente, fuente citada o principio de ingeniería invocado.</w:t>
            </w:r>
          </w:p>
        </w:tc>
      </w:tr>
      <w:tr>
        <w:tc>
          <w:tcPr>
            <w:tcW w:type="dxa" w:w="567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4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Aporte personal</w:t>
            </w:r>
          </w:p>
        </w:tc>
        <w:tc>
          <w:tcPr>
            <w:tcW w:type="dxa" w:w="5443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Con remisión al registro del repositorio, a la tarjeta del tablero o al apartado del documento que lo acredita.</w:t>
            </w:r>
          </w:p>
        </w:tc>
      </w:tr>
      <w:tr>
        <w:tc>
          <w:tcPr>
            <w:tcW w:type="dxa" w:w="567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5</w:t>
            </w:r>
          </w:p>
        </w:tc>
        <w:tc>
          <w:tcPr>
            <w:tcW w:type="dxa" w:w="2494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Desacuerdo y resolución</w:t>
            </w:r>
          </w:p>
        </w:tc>
        <w:tc>
          <w:tcPr>
            <w:tcW w:type="dxa" w:w="5443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Conforme a la regla acordada en el acta de constitución del equipo.</w:t>
            </w:r>
          </w:p>
        </w:tc>
      </w:tr>
      <w:tr>
        <w:tc>
          <w:tcPr>
            <w:tcW w:type="dxa" w:w="567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6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Herramienta auxiliar</w:t>
            </w:r>
          </w:p>
        </w:tc>
        <w:tc>
          <w:tcPr>
            <w:tcW w:type="dxa" w:w="5443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Con el alcance empleado. Si es inteligencia artificial, rige el Protocolo de Uso Autorizado y sólo sobre el artefacto.</w:t>
            </w:r>
          </w:p>
        </w:tc>
      </w:tr>
    </w:tbl>
    <w:p>
      <w:r>
        <w:br w:type="page"/>
      </w:r>
    </w:p>
    <w:p>
      <w:pPr>
        <w:spacing w:before="0" w:after="120"/>
        <w:jc w:val="left"/>
      </w:pPr>
      <w:r>
        <w:rPr>
          <w:rFonts w:ascii="Calibri" w:hAnsi="Calibri" w:eastAsia="Calibri"/>
          <w:b/>
          <w:i w:val="0"/>
          <w:color w:val="1F3A6E"/>
          <w:sz w:val="24"/>
        </w:rPr>
        <w:t>Entrada de ejemplo, con los seis elementos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7D3E6"/>
          <w:left w:val="single" w:sz="4" w:space="0" w:color="C7D3E6"/>
          <w:bottom w:val="single" w:sz="4" w:space="0" w:color="C7D3E6"/>
          <w:right w:val="single" w:sz="4" w:space="0" w:color="C7D3E6"/>
          <w:insideH w:val="single" w:sz="4" w:space="0" w:color="C7D3E6"/>
          <w:insideV w:val="single" w:sz="4" w:space="0" w:color="C7D3E6"/>
        </w:tblBorders>
      </w:tblPr>
      <w:tblGrid>
        <w:gridCol w:w="8504"/>
      </w:tblGrid>
      <w:tr>
        <w:tc>
          <w:tcPr>
            <w:tcW w:type="dxa" w:w="8504"/>
            <w:shd w:val="clear" w:color="auto" w:fill="F2F5FA"/>
          </w:tcPr>
          <w:p>
            <w:pPr>
              <w:spacing w:before="80" w:after="6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24507F"/>
                <w:sz w:val="17"/>
              </w:rPr>
              <w:t>FECHA: 22/09/2026 · CASO «SANTA ANA»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1C2430"/>
                <w:sz w:val="20"/>
              </w:rPr>
              <w:t>1 · Decisión. La entidad «Presentación» queda dentro del modelo del dominio, pero la presentación automática ante el organismo regulador sale del alcance del proyecto: el sistema genera el archivo y la presentación sigue siendo manual.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1C2430"/>
                <w:sz w:val="20"/>
              </w:rPr>
              <w:t>2 · Alternativas y criterio de descarte. Se evaluó (a) automatizar el envío, descartada porque el organismo no publica interfaz de recepción y la alternativa sería automatizar un formulario web de terceros, fuera de nuestro control; (b) excluir la entidad por completo, descartada porque el sistema necesita registrar qué se presentó y cuándo para reconstruir el origen de las multas; (c) conservar la entidad y excluir el envío, adoptada. Criterio: control efectivo sobre la interfaz de la que depende el requisito.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1C2430"/>
                <w:sz w:val="20"/>
              </w:rPr>
              <w:t>3 · Evidencia. Hallazgo H-05 del Capítulo II: dos multas del regulador por presentación tardía en el último ejercicio. Consulta al referente el 19/09: confirma que la presentación se realiza cargando un formulario en el sitio del organismo, sin canal automatizado disponible.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1C2430"/>
                <w:sz w:val="20"/>
              </w:rPr>
              <w:t>4 · Aporte personal. Redacción de la fila de exclusión en el Instrumento 27.3 y de la justificación de H-05 en la matriz de trazabilidad. Artefacto: 03-requisitos/20260922_MatrizTrazabilidad_EquipoDos_v3.xlsx, registro 4a7f2c1.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1C2430"/>
                <w:sz w:val="20"/>
              </w:rPr>
              <w:t>5 · Desacuerdo. Un integrante sostenía automatizar el envío mediante emulación del formulario. Se resolvió por el criterio del acta de constitución (decisión por mayoría con fundamento escrito), y el argumento decisivo fue la dependencia de una interfaz no documentada que puede cambiar sin aviso.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1C2430"/>
                <w:sz w:val="20"/>
              </w:rPr>
              <w:t>6 · Herramienta auxiliar. Ninguna en esta jornada. La redacción del apartado y de la justificación es propia.</w:t>
            </w:r>
          </w:p>
        </w:tc>
      </w:tr>
    </w:tbl>
    <w:p>
      <w:pPr>
        <w:spacing w:after="0"/>
      </w:pPr>
    </w:p>
    <w:p>
      <w:pPr>
        <w:spacing w:before="240" w:after="80"/>
        <w:jc w:val="left"/>
      </w:pPr>
      <w:r>
        <w:rPr>
          <w:rFonts w:ascii="Calibri" w:hAnsi="Calibri" w:eastAsia="Calibri"/>
          <w:b/>
          <w:i w:val="0"/>
          <w:color w:val="1F3A6E"/>
          <w:sz w:val="24"/>
        </w:rPr>
        <w:t>Entradas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Reproduzca el bloque siguiente por cada jornada de trabajo que registre. La entrada más reciente arriba.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4D6"/>
          <w:left w:val="single" w:sz="6" w:space="0" w:color="B9C4D6"/>
          <w:bottom w:val="single" w:sz="6" w:space="0" w:color="B9C4D6"/>
          <w:right w:val="single" w:sz="6" w:space="0" w:color="B9C4D6"/>
          <w:insideH w:val="single" w:sz="6" w:space="0" w:color="B9C4D6"/>
          <w:insideV w:val="single" w:sz="6" w:space="0" w:color="B9C4D6"/>
        </w:tblBorders>
      </w:tblPr>
      <w:tblGrid>
        <w:gridCol w:w="4252"/>
        <w:gridCol w:w="4252"/>
      </w:tblGrid>
      <w:tr>
        <w:tc>
          <w:tcPr>
            <w:tcW w:type="dxa" w:w="3118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Fecha</w:t>
            </w:r>
          </w:p>
        </w:tc>
        <w:tc>
          <w:tcPr>
            <w:tcW w:type="dxa" w:w="5386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3118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1 · Qué se decidió</w:t>
            </w:r>
          </w:p>
        </w:tc>
        <w:tc>
          <w:tcPr>
            <w:tcW w:type="dxa" w:w="5386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3118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2 · Alternativas evaluadas y criterio de descarte (qué quedó excluido)</w:t>
            </w:r>
          </w:p>
        </w:tc>
        <w:tc>
          <w:tcPr>
            <w:tcW w:type="dxa" w:w="5386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3118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3 · Evidencia que sostiene la decisión</w:t>
            </w:r>
          </w:p>
        </w:tc>
        <w:tc>
          <w:tcPr>
            <w:tcW w:type="dxa" w:w="5386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3118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4 · Aporte personal, con remisión al artefacto</w:t>
            </w:r>
          </w:p>
        </w:tc>
        <w:tc>
          <w:tcPr>
            <w:tcW w:type="dxa" w:w="5386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3118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5 · Desacuerdo, si lo hubo, y cómo se resolvió</w:t>
            </w:r>
          </w:p>
        </w:tc>
        <w:tc>
          <w:tcPr>
            <w:tcW w:type="dxa" w:w="5386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3118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6 · Herramienta auxiliar y alcance de su uso</w:t>
            </w:r>
          </w:p>
        </w:tc>
        <w:tc>
          <w:tcPr>
            <w:tcW w:type="dxa" w:w="5386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</w:tbl>
    <w:p>
      <w:pPr>
        <w:spacing w:before="0" w:after="200" w:line="240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4D6"/>
          <w:left w:val="single" w:sz="6" w:space="0" w:color="B9C4D6"/>
          <w:bottom w:val="single" w:sz="6" w:space="0" w:color="B9C4D6"/>
          <w:right w:val="single" w:sz="6" w:space="0" w:color="B9C4D6"/>
          <w:insideH w:val="single" w:sz="6" w:space="0" w:color="B9C4D6"/>
          <w:insideV w:val="single" w:sz="6" w:space="0" w:color="B9C4D6"/>
        </w:tblBorders>
      </w:tblPr>
      <w:tblGrid>
        <w:gridCol w:w="4252"/>
        <w:gridCol w:w="4252"/>
      </w:tblGrid>
      <w:tr>
        <w:tc>
          <w:tcPr>
            <w:tcW w:type="dxa" w:w="3118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Fecha</w:t>
            </w:r>
          </w:p>
        </w:tc>
        <w:tc>
          <w:tcPr>
            <w:tcW w:type="dxa" w:w="5386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3118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1 · Qué se decidió</w:t>
            </w:r>
          </w:p>
        </w:tc>
        <w:tc>
          <w:tcPr>
            <w:tcW w:type="dxa" w:w="5386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3118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2 · Alternativas evaluadas y criterio de descarte (qué quedó excluido)</w:t>
            </w:r>
          </w:p>
        </w:tc>
        <w:tc>
          <w:tcPr>
            <w:tcW w:type="dxa" w:w="5386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3118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3 · Evidencia que sostiene la decisión</w:t>
            </w:r>
          </w:p>
        </w:tc>
        <w:tc>
          <w:tcPr>
            <w:tcW w:type="dxa" w:w="5386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3118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4 · Aporte personal, con remisión al artefacto</w:t>
            </w:r>
          </w:p>
        </w:tc>
        <w:tc>
          <w:tcPr>
            <w:tcW w:type="dxa" w:w="5386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3118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5 · Desacuerdo, si lo hubo, y cómo se resolvió</w:t>
            </w:r>
          </w:p>
        </w:tc>
        <w:tc>
          <w:tcPr>
            <w:tcW w:type="dxa" w:w="5386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3118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6 · Herramienta auxiliar y alcance de su uso</w:t>
            </w:r>
          </w:p>
        </w:tc>
        <w:tc>
          <w:tcPr>
            <w:tcW w:type="dxa" w:w="5386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</w:tbl>
    <w:p>
      <w:pPr>
        <w:spacing w:before="0" w:after="200" w:line="240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4D6"/>
          <w:left w:val="single" w:sz="6" w:space="0" w:color="B9C4D6"/>
          <w:bottom w:val="single" w:sz="6" w:space="0" w:color="B9C4D6"/>
          <w:right w:val="single" w:sz="6" w:space="0" w:color="B9C4D6"/>
          <w:insideH w:val="single" w:sz="6" w:space="0" w:color="B9C4D6"/>
          <w:insideV w:val="single" w:sz="6" w:space="0" w:color="B9C4D6"/>
        </w:tblBorders>
      </w:tblPr>
      <w:tblGrid>
        <w:gridCol w:w="4252"/>
        <w:gridCol w:w="4252"/>
      </w:tblGrid>
      <w:tr>
        <w:tc>
          <w:tcPr>
            <w:tcW w:type="dxa" w:w="3118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Fecha</w:t>
            </w:r>
          </w:p>
        </w:tc>
        <w:tc>
          <w:tcPr>
            <w:tcW w:type="dxa" w:w="5386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3118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1 · Qué se decidió</w:t>
            </w:r>
          </w:p>
        </w:tc>
        <w:tc>
          <w:tcPr>
            <w:tcW w:type="dxa" w:w="5386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3118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2 · Alternativas evaluadas y criterio de descarte (qué quedó excluido)</w:t>
            </w:r>
          </w:p>
        </w:tc>
        <w:tc>
          <w:tcPr>
            <w:tcW w:type="dxa" w:w="5386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3118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3 · Evidencia que sostiene la decisión</w:t>
            </w:r>
          </w:p>
        </w:tc>
        <w:tc>
          <w:tcPr>
            <w:tcW w:type="dxa" w:w="5386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3118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4 · Aporte personal, con remisión al artefacto</w:t>
            </w:r>
          </w:p>
        </w:tc>
        <w:tc>
          <w:tcPr>
            <w:tcW w:type="dxa" w:w="5386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3118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5 · Desacuerdo, si lo hubo, y cómo se resolvió</w:t>
            </w:r>
          </w:p>
        </w:tc>
        <w:tc>
          <w:tcPr>
            <w:tcW w:type="dxa" w:w="5386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3118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6 · Herramienta auxiliar y alcance de su uso</w:t>
            </w:r>
          </w:p>
        </w:tc>
        <w:tc>
          <w:tcPr>
            <w:tcW w:type="dxa" w:w="5386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</w:tbl>
    <w:p>
      <w:pPr>
        <w:spacing w:before="0" w:after="200" w:line="240" w:lineRule="auto"/>
        <w:jc w:val="both"/>
      </w:pPr>
    </w:p>
    <w:p>
      <w:r>
        <w:br w:type="page"/>
      </w:r>
    </w:p>
    <w:p>
      <w:pPr>
        <w:spacing w:before="0" w:after="80"/>
        <w:jc w:val="left"/>
      </w:pPr>
      <w:r>
        <w:rPr>
          <w:rFonts w:ascii="Calibri" w:hAnsi="Calibri" w:eastAsia="Calibri"/>
          <w:b/>
          <w:i w:val="0"/>
          <w:color w:val="1F3A6E"/>
          <w:sz w:val="24"/>
        </w:rPr>
        <w:t>Declaración de uso de herramientas de inteligencia artificial</w:t>
      </w:r>
    </w:p>
    <w:p>
      <w:pPr>
        <w:spacing w:before="0" w:after="160"/>
        <w:jc w:val="both"/>
      </w:pPr>
      <w:r>
        <w:rPr>
          <w:rFonts w:ascii="Calibri" w:hAnsi="Calibri" w:eastAsia="Calibri"/>
          <w:b w:val="0"/>
          <w:i w:val="0"/>
          <w:color w:val="1C2430"/>
          <w:sz w:val="20"/>
        </w:rPr>
        <w:t>Se completa una fila por cada uso. El Protocolo de Uso Autorizado admite estas herramientas exclusivamente sobre el prototipo v1 y sus componentes técnicos: configuración del proyecto, andamiaje de capas, generación de datos de prueba y guiones de integración continua. Queda prohibido su empleo para producir texto del informe, redactar requisitos o criterios de aceptación, elaborar esta bitácora o justificar decisiones técnicas. La cátedra sanciona el uso no declarado, no el uso declarado dentro de sus límites.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4D6"/>
          <w:left w:val="single" w:sz="6" w:space="0" w:color="B9C4D6"/>
          <w:bottom w:val="single" w:sz="6" w:space="0" w:color="B9C4D6"/>
          <w:right w:val="single" w:sz="6" w:space="0" w:color="B9C4D6"/>
          <w:insideH w:val="single" w:sz="6" w:space="0" w:color="B9C4D6"/>
          <w:insideV w:val="single" w:sz="6" w:space="0" w:color="B9C4D6"/>
        </w:tblBorders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247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Fecha</w:t>
            </w:r>
          </w:p>
        </w:tc>
        <w:tc>
          <w:tcPr>
            <w:tcW w:type="dxa" w:w="1587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Herramienta</w:t>
            </w:r>
          </w:p>
        </w:tc>
        <w:tc>
          <w:tcPr>
            <w:tcW w:type="dxa" w:w="1814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Función utilizada</w:t>
            </w:r>
          </w:p>
        </w:tc>
        <w:tc>
          <w:tcPr>
            <w:tcW w:type="dxa" w:w="1928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Artefacto o registro afectado</w:t>
            </w:r>
          </w:p>
        </w:tc>
        <w:tc>
          <w:tcPr>
            <w:tcW w:type="dxa" w:w="1928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Verificación posterior realizada</w:t>
            </w:r>
          </w:p>
        </w:tc>
      </w:tr>
      <w:tr>
        <w:tc>
          <w:tcPr>
            <w:tcW w:type="dxa" w:w="1247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587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814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928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928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587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814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1247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587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814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928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928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587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814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</w:tbl>
    <w:p>
      <w:pPr>
        <w:spacing w:before="0" w:after="160" w:line="240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7D3E6"/>
          <w:left w:val="single" w:sz="4" w:space="0" w:color="C7D3E6"/>
          <w:bottom w:val="single" w:sz="4" w:space="0" w:color="C7D3E6"/>
          <w:right w:val="single" w:sz="4" w:space="0" w:color="C7D3E6"/>
          <w:insideH w:val="single" w:sz="4" w:space="0" w:color="C7D3E6"/>
          <w:insideV w:val="single" w:sz="4" w:space="0" w:color="C7D3E6"/>
        </w:tblBorders>
      </w:tblPr>
      <w:tblGrid>
        <w:gridCol w:w="8504"/>
      </w:tblGrid>
      <w:tr>
        <w:tc>
          <w:tcPr>
            <w:tcW w:type="dxa" w:w="8504"/>
            <w:shd w:val="clear" w:color="auto" w:fill="E7F3EC"/>
          </w:tcPr>
          <w:p>
            <w:pPr>
              <w:spacing w:before="80" w:after="6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22624A"/>
                <w:sz w:val="17"/>
              </w:rPr>
              <w:t>SI NO HUBO USO DE ESTAS HERRAMIENTAS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1C2430"/>
                <w:sz w:val="20"/>
              </w:rPr>
              <w:t>Conviene consignarlo de manera expresa, con una fórmula del tipo: «No se emplearon herramientas de inteligencia artificial generativa en ninguna parte de esta actividad». La declaración negativa también es una declaración, y su ausencia deja el punto abierto.</w:t>
            </w:r>
          </w:p>
        </w:tc>
      </w:tr>
    </w:tbl>
    <w:p>
      <w:pPr>
        <w:spacing w:after="0"/>
      </w:pPr>
    </w:p>
    <w:p>
      <w:pPr>
        <w:spacing w:before="280" w:after="80"/>
        <w:jc w:val="left"/>
      </w:pPr>
      <w:r>
        <w:rPr>
          <w:rFonts w:ascii="Calibri" w:hAnsi="Calibri" w:eastAsia="Calibri"/>
          <w:b/>
          <w:i w:val="0"/>
          <w:color w:val="1F3A6E"/>
          <w:sz w:val="24"/>
        </w:rPr>
        <w:t>Cierre de la bitácora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4D6"/>
          <w:left w:val="single" w:sz="6" w:space="0" w:color="B9C4D6"/>
          <w:bottom w:val="single" w:sz="6" w:space="0" w:color="B9C4D6"/>
          <w:right w:val="single" w:sz="6" w:space="0" w:color="B9C4D6"/>
          <w:insideH w:val="single" w:sz="6" w:space="0" w:color="B9C4D6"/>
          <w:insideV w:val="single" w:sz="6" w:space="0" w:color="B9C4D6"/>
        </w:tblBorders>
      </w:tblPr>
      <w:tblGrid>
        <w:gridCol w:w="4252"/>
        <w:gridCol w:w="4252"/>
      </w:tblGrid>
      <w:tr>
        <w:tc>
          <w:tcPr>
            <w:tcW w:type="dxa" w:w="7087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Verificación final antes de entregar</w:t>
            </w:r>
          </w:p>
        </w:tc>
        <w:tc>
          <w:tcPr>
            <w:tcW w:type="dxa" w:w="1417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Marque</w:t>
            </w:r>
          </w:p>
        </w:tc>
      </w:tr>
      <w:tr>
        <w:tc>
          <w:tcPr>
            <w:tcW w:type="dxa" w:w="7087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Todas las entradas están fechadas y los seis elementos completos</w:t>
            </w:r>
          </w:p>
        </w:tc>
        <w:tc>
          <w:tcPr>
            <w:tcW w:type="dxa" w:w="1417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☐</w:t>
            </w:r>
          </w:p>
        </w:tc>
      </w:tr>
      <w:tr>
        <w:tc>
          <w:tcPr>
            <w:tcW w:type="dxa" w:w="7087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Cada aporte personal remite a un artefacto verificable del repositorio o del tablero</w:t>
            </w:r>
          </w:p>
        </w:tc>
        <w:tc>
          <w:tcPr>
            <w:tcW w:type="dxa" w:w="1417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☐</w:t>
            </w:r>
          </w:p>
        </w:tc>
      </w:tr>
      <w:tr>
        <w:tc>
          <w:tcPr>
            <w:tcW w:type="dxa" w:w="7087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Las exclusiones decididas en esta unidad están registradas con su criterio</w:t>
            </w:r>
          </w:p>
        </w:tc>
        <w:tc>
          <w:tcPr>
            <w:tcW w:type="dxa" w:w="1417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☐</w:t>
            </w:r>
          </w:p>
        </w:tc>
      </w:tr>
      <w:tr>
        <w:tc>
          <w:tcPr>
            <w:tcW w:type="dxa" w:w="7087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La declaración de uso de herramientas está completa; si no hubo uso, se consignó de manera expresa</w:t>
            </w:r>
          </w:p>
        </w:tc>
        <w:tc>
          <w:tcPr>
            <w:tcW w:type="dxa" w:w="1417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☐</w:t>
            </w:r>
          </w:p>
        </w:tc>
      </w:tr>
      <w:tr>
        <w:tc>
          <w:tcPr>
            <w:tcW w:type="dxa" w:w="7087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El archivo está en /00-gestion del repositorio y copiado en la tarea del aula virtual</w:t>
            </w:r>
          </w:p>
        </w:tc>
        <w:tc>
          <w:tcPr>
            <w:tcW w:type="dxa" w:w="1417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☐</w:t>
            </w:r>
          </w:p>
        </w:tc>
      </w:tr>
    </w:tbl>
    <w:p>
      <w:pPr>
        <w:spacing w:before="0" w:after="200" w:line="240" w:lineRule="auto"/>
        <w:jc w:val="both"/>
      </w:pPr>
    </w:p>
    <w:p>
      <w:pPr>
        <w:spacing w:before="0" w:after="0"/>
        <w:jc w:val="left"/>
      </w:pPr>
      <w:r>
        <w:rPr>
          <w:rFonts w:ascii="Calibri" w:hAnsi="Calibri" w:eastAsia="Calibri"/>
          <w:b w:val="0"/>
          <w:i w:val="0"/>
          <w:color w:val="1C2430"/>
          <w:sz w:val="20"/>
        </w:rPr>
        <w:t>Firma o constancia del autor: ______________________________     Fecha: ____ / ____ / 2026</w:t>
      </w:r>
    </w:p>
    <w:sectPr w:rsidR="00FC693F" w:rsidRPr="0006063C" w:rsidSect="00034616">
      <w:footerReference w:type="default" r:id="rId9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/>
        <w:b w:val="0"/>
        <w:i w:val="0"/>
        <w:color w:val="5A6A80"/>
        <w:sz w:val="16"/>
      </w:rPr>
      <w:t>Bitácora Individual de Proceso y Decisiones · AE2 · Proyecto Final de Grado 2026 · UCP · Comisión 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  <w:jc w:val="both"/>
    </w:pPr>
    <w:rPr>
      <w:rFonts w:ascii="Calibri" w:hAnsi="Calibri" w:eastAsia="Calibri"/>
      <w:color w:val="1C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