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28"/>
        </w:rPr>
        <w:t>UNIVERSIDAD DE LA CUENCA DEL PLATA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C2430"/>
          <w:sz w:val="22"/>
        </w:rPr>
        <w:t>Facultad de Ingeniería, Tecnología y Arquitectura</w:t>
      </w:r>
    </w:p>
    <w:p>
      <w:pPr>
        <w:spacing w:before="0" w:after="7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C2430"/>
          <w:sz w:val="22"/>
        </w:rPr>
        <w:t>Ingeniería en Sistemas de Información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36"/>
        </w:rPr>
        <w:t>PROYECTO INTEGRADOR FINAL</w:t>
      </w:r>
    </w:p>
    <w:p>
      <w:pPr>
        <w:spacing w:before="0" w:after="6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C2430"/>
          <w:sz w:val="28"/>
        </w:rPr>
        <w:t>«[TÍTULO DEL TRABAJO]»</w:t>
      </w:r>
    </w:p>
    <w:p>
      <w:pPr>
        <w:spacing w:before="0" w:after="72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24507F"/>
          <w:sz w:val="24"/>
        </w:rPr>
        <w:t>Capítulos III, IV, V y X · Catálogo de requisitos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C2430"/>
          <w:sz w:val="24"/>
        </w:rPr>
        <w:t>Autores: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C2430"/>
          <w:sz w:val="24"/>
        </w:rPr>
        <w:t>[Apellido, Nombre] — DNI [        ]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C2430"/>
          <w:sz w:val="24"/>
        </w:rPr>
        <w:t>[Apellido, Nombre] — DNI [        ]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C2430"/>
          <w:sz w:val="24"/>
        </w:rPr>
        <w:t>[Apellido, Nombre] — DNI [        ]</w:t>
      </w:r>
    </w:p>
    <w:p>
      <w:pPr>
        <w:spacing w:before="0" w:after="480" w:line="240" w:lineRule="auto"/>
        <w:jc w:val="both"/>
      </w:pP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C2430"/>
          <w:sz w:val="24"/>
        </w:rPr>
        <w:t>Docente Titular: PosDr. Darío Ezequiel Díaz</w:t>
      </w:r>
    </w:p>
    <w:p>
      <w:pPr>
        <w:spacing w:before="0" w:after="4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C2430"/>
          <w:sz w:val="24"/>
        </w:rPr>
        <w:t>Comisión A · Sede Posadas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C2430"/>
          <w:sz w:val="24"/>
        </w:rPr>
        <w:t>Posadas, Misiones — octubre de 2026</w:t>
      </w:r>
    </w:p>
    <w:p>
      <w:r>
        <w:br w:type="page"/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26"/>
        </w:rPr>
        <w:t>INSTRUCTIVO DE USO DE ESTA PLANTILLA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Esta página y todos los bloques de orientación en gris no forman parte del informe: se eliminan antes de la entrega. La numeración de capítulos y apartados, en cambio, es reglamentaria y no se modifica.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204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Qué contiene esta plantilla y qué no</w:t>
            </w:r>
          </w:p>
        </w:tc>
        <w:tc>
          <w:tcPr>
            <w:tcW w:type="dxa" w:w="6463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Contiene</w:t>
            </w:r>
          </w:p>
        </w:tc>
        <w:tc>
          <w:tcPr>
            <w:tcW w:type="dxa" w:w="646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La estructura completa de los Capítulos III, IV, V y X exigidos por la AE2, con la numeración y los títulos del Art. 22.4 de la R.R. 97/23; el formato de los Arts. 20.º y 21.º ya aplicado; y las tablas modelo que la corrección espera encontrar.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No contiene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El contenido del proyecto. Los textos entre corchetes indican qué debe escribirse en cada lugar y se reemplazan íntegramente; ningún corchete debe sobrevivir en el archivo entregado.</w:t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Advertencia</w:t>
            </w:r>
          </w:p>
        </w:tc>
        <w:tc>
          <w:tcPr>
            <w:tcW w:type="dxa" w:w="646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Ante divergencia entre esta plantilla y la Consigna ISI-PFG-2026C2-AE2-v02, prevalece la consigna. Ante divergencia entre la consigna y la R.R. 97/23, prevalece la Resolución.</w:t>
            </w:r>
          </w:p>
        </w:tc>
      </w:tr>
    </w:tbl>
    <w:p>
      <w:pPr>
        <w:spacing w:before="0" w:after="12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73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Cómo trabajar con este archivo</w:t>
            </w:r>
          </w:p>
        </w:tc>
        <w:tc>
          <w:tcPr>
            <w:tcW w:type="dxa" w:w="776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1</w:t>
            </w:r>
          </w:p>
        </w:tc>
        <w:tc>
          <w:tcPr>
            <w:tcW w:type="dxa" w:w="776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Guardar una copia con la nomenclatura de la cátedra: AAAAMMDD_InformeAE2_Equipo_vN.docx, con la fecha del contenido.</w:t>
            </w:r>
          </w:p>
        </w:tc>
      </w:tr>
      <w:tr>
        <w:tc>
          <w:tcPr>
            <w:tcW w:type="dxa" w:w="73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2</w:t>
            </w:r>
          </w:p>
        </w:tc>
        <w:tc>
          <w:tcPr>
            <w:tcW w:type="dxa" w:w="776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Versionar en /05-entregas cada vez que se cierre un apartado, no una sola vez al final.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3</w:t>
            </w:r>
          </w:p>
        </w:tc>
        <w:tc>
          <w:tcPr>
            <w:tcW w:type="dxa" w:w="776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Escribir en el orden III → catálogo → IV → V → X. La planificación y los recursos se derivan del catálogo; escribirlos antes obliga a rehacerlos.</w:t>
            </w:r>
          </w:p>
        </w:tc>
      </w:tr>
      <w:tr>
        <w:tc>
          <w:tcPr>
            <w:tcW w:type="dxa" w:w="73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4</w:t>
            </w:r>
          </w:p>
        </w:tc>
        <w:tc>
          <w:tcPr>
            <w:tcW w:type="dxa" w:w="776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Antes de exportar a PDF, eliminar esta página, todos los bloques grises y todos los corchetes.</w:t>
            </w:r>
          </w:p>
        </w:tc>
      </w:tr>
      <w:tr>
        <w:tc>
          <w:tcPr>
            <w:tcW w:type="dxa" w:w="73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5</w:t>
            </w:r>
          </w:p>
        </w:tc>
        <w:tc>
          <w:tcPr>
            <w:tcW w:type="dxa" w:w="776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Verificar el documento completo contra la lista de autoverificación del apartado 16 de la Guía de consignas.</w:t>
            </w:r>
          </w:p>
        </w:tc>
      </w:tr>
    </w:tbl>
    <w:p>
      <w:pPr>
        <w:spacing w:before="0" w:after="12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204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Los tres estilos de este documento</w:t>
            </w:r>
          </w:p>
        </w:tc>
        <w:tc>
          <w:tcPr>
            <w:tcW w:type="dxa" w:w="6463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Cuerpo del informe</w:t>
            </w:r>
          </w:p>
        </w:tc>
        <w:tc>
          <w:tcPr>
            <w:tcW w:type="dxa" w:w="646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Times New Roman 12, interlineado doble, texto justificado, redacción impersonal con verbos en presente y en afirmativo. Es el único estilo que sobrevive a la entrega.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Bloques de orientación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Calibri 10 en gris e itálica. Se eliminan.</w:t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Tablas e instrumentos</w:t>
            </w:r>
          </w:p>
        </w:tc>
        <w:tc>
          <w:tcPr>
            <w:tcW w:type="dxa" w:w="646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Calibri 9,5, interlineado simple. Las tablas conservan formato propio; el Art. 20.º admite libertad de formato en tablas, títulos y pies.</w:t>
            </w:r>
          </w:p>
        </w:tc>
      </w:tr>
    </w:tbl>
    <w:p>
      <w:r>
        <w:br w:type="page"/>
      </w:r>
    </w:p>
    <w:p>
      <w:pPr>
        <w:spacing w:before="0" w:after="16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Qué se entrega y qué determina el estado de la actividad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[Esta página también se elimina antes de la entrega. Se incluye para que la estructura del archivo y la de la carga en el aula virtual se correspondan.]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2835"/>
        <w:gridCol w:w="2835"/>
        <w:gridCol w:w="2835"/>
      </w:tblGrid>
      <w:tr>
        <w:tc>
          <w:tcPr>
            <w:tcW w:type="dxa" w:w="56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Objeto que se carga en la tarea del aula virtual</w:t>
            </w:r>
          </w:p>
        </w:tc>
        <w:tc>
          <w:tcPr>
            <w:tcW w:type="dxa" w:w="4535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Condición mínima</w:t>
            </w:r>
          </w:p>
        </w:tc>
      </w:tr>
      <w:tr>
        <w:tc>
          <w:tcPr>
            <w:tcW w:type="dxa" w:w="56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Documento único en PDF</w:t>
            </w:r>
          </w:p>
        </w:tc>
        <w:tc>
          <w:tcPr>
            <w:tcW w:type="dxa" w:w="45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Capítulos III, IV, V y X, con el catálogo como apartado III.5. Un solo archivo, 18 a 28 páginas, excluidos anexos y catálogo.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2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Enlace al repositorio con la etiqueta v1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La etiqueta existe, apunta a la revisión entregada y el proyecto se ejecuta en una máquina limpia.</w:t>
            </w:r>
          </w:p>
        </w:tc>
      </w:tr>
      <w:tr>
        <w:tc>
          <w:tcPr>
            <w:tcW w:type="dxa" w:w="56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Enlace al tablero de gestión actualizado</w:t>
            </w:r>
          </w:p>
        </w:tc>
        <w:tc>
          <w:tcPr>
            <w:tcW w:type="dxa" w:w="45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Tarjetas con responsable, estado y fecha, organizadas por la iteración que declara el Capítulo V.</w:t>
            </w:r>
          </w:p>
        </w:tc>
      </w:tr>
      <w:tr>
        <w:tc>
          <w:tcPr>
            <w:tcW w:type="dxa" w:w="56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4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Constancia de validación de requisitos</w:t>
            </w:r>
          </w:p>
        </w:tc>
        <w:tc>
          <w:tcPr>
            <w:tcW w:type="dxa" w:w="45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Acta con fecha, participantes, observaciones recibidas y conformidad del referente.</w:t>
            </w:r>
          </w:p>
        </w:tc>
      </w:tr>
    </w:tbl>
    <w:p>
      <w:pPr>
        <w:spacing w:before="0" w:after="12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Componente de cierre</w:t>
            </w:r>
          </w:p>
        </w:tc>
        <w:tc>
          <w:tcPr>
            <w:tcW w:type="dxa" w:w="2268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Quién lo produce</w:t>
            </w:r>
          </w:p>
        </w:tc>
        <w:tc>
          <w:tcPr>
            <w:tcW w:type="dxa" w:w="3402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Efecto de su ausencia</w:t>
            </w:r>
          </w:p>
        </w:tc>
      </w:tr>
      <w:tr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Producto principal</w:t>
            </w:r>
          </w:p>
        </w:tc>
        <w:tc>
          <w:tcPr>
            <w:tcW w:type="dxa" w:w="226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El equipo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Entrega Incompleta. Un prototipo v1 que no se ejecuta impide declararlo completo.</w:t>
            </w:r>
          </w:p>
        </w:tc>
      </w:tr>
      <w:tr>
        <w:tc>
          <w:tcPr>
            <w:tcW w:type="dxa" w:w="28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Portafolio Digital · subcarpeta AE2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Cada estudiante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Entrega Incompleta, aunque el documento resulte satisfactorio.</w:t>
            </w:r>
          </w:p>
        </w:tc>
      </w:tr>
      <w:tr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Bitácora Individual</w:t>
            </w:r>
          </w:p>
        </w:tc>
        <w:tc>
          <w:tcPr>
            <w:tcW w:type="dxa" w:w="226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Cada integrante, sin excepción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La actividad no cierra respecto de ese estudiante, cualquiera sea la calidad del trabajo colectivo.</w:t>
            </w:r>
          </w:p>
        </w:tc>
      </w:tr>
    </w:tbl>
    <w:p>
      <w:pPr>
        <w:spacing w:before="0" w:after="12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3E6"/>
          <w:left w:val="single" w:sz="4" w:space="0" w:color="C7D3E6"/>
          <w:bottom w:val="single" w:sz="4" w:space="0" w:color="C7D3E6"/>
          <w:right w:val="single" w:sz="4" w:space="0" w:color="C7D3E6"/>
          <w:insideH w:val="single" w:sz="4" w:space="0" w:color="C7D3E6"/>
          <w:insideV w:val="single" w:sz="4" w:space="0" w:color="C7D3E6"/>
        </w:tblBorders>
      </w:tblPr>
      <w:tblGrid>
        <w:gridCol w:w="8504"/>
      </w:tblGrid>
      <w:tr>
        <w:tc>
          <w:tcPr>
            <w:tcW w:type="dxa" w:w="8504"/>
            <w:shd w:val="clear" w:color="auto" w:fill="E4ECF8"/>
          </w:tcPr>
          <w:p>
            <w:pPr>
              <w:spacing w:before="80" w:after="6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1F3A6E"/>
                <w:sz w:val="17"/>
              </w:rPr>
              <w:t>ESTRUCTURA EXIGIDA EN ESTA ENTREGA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Capítulo III — Entorno y Dominio del Sistema de Información, con el catálogo de requisitos como apartado III.5. Capítulo IV — Modelo de Negocios del Proyecto. Capítulo V — Planificación del Proyecto. Capítulo X — Recursos del Proyecto.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Extensión orientativa: dieciocho a veintiocho páginas, excluidos anexos y catálogo. La extensión no constituye criterio de valoración; la densidad argumental y la trazabilidad, sí. Los Capítulos VI y IX corresponden al Sprint 3 y no se adelantan aquí.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3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56"/>
        </w:rPr>
        <w:t>III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32"/>
        </w:rPr>
        <w:t>ENTORNO Y DOMINIO DEL SISTEMA DE INFORMACIÓN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III.1 · Entorno del Sistema de Información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[Párrafo de apertura: qué queda fuera del sistema pero condiciona sus decisiones, y con qué criterio se seleccionaron los elementos que siguen. Regla de pertinencia: si el elemento se suprime y ninguna decisión del proyecto cambia, no pertenece al entorno.]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[Un párrafo por categoría, o la tabla siguiente completada. Cada elemento con su fuente del Capítulo II o del acta de validación.]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158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Categoría</w:t>
            </w:r>
          </w:p>
        </w:tc>
        <w:tc>
          <w:tcPr>
            <w:tcW w:type="dxa" w:w="204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Elemento</w:t>
            </w:r>
          </w:p>
        </w:tc>
        <w:tc>
          <w:tcPr>
            <w:tcW w:type="dxa" w:w="1928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Fuente (Cap. II / acta)</w:t>
            </w:r>
          </w:p>
        </w:tc>
        <w:tc>
          <w:tcPr>
            <w:tcW w:type="dxa" w:w="2948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Implicancia de diseño declarada</w:t>
            </w:r>
          </w:p>
        </w:tc>
      </w:tr>
      <w:tr>
        <w:tc>
          <w:tcPr>
            <w:tcW w:type="dxa" w:w="15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Actores externos</w:t>
            </w:r>
          </w:p>
        </w:tc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94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Normas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5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Sistemas vecinos</w:t>
            </w:r>
          </w:p>
        </w:tc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94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Infraestructura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94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[Párrafo de cierre: cuál de los elementos del entorno resulta más determinante para la arquitectura, y por qué.]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III.2 · Dominio del Sistema de Información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[Párrafo de apertura: qué recorte del mundo representa el sistema y con qué criterio se trazó la frontera. Prueba aplicada: ¿el sistema controla el estado de esa cosa o lo padece?]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[Entidades del dominio: una tabla o un párrafo por entidad, con su definición operativa y su fuente. Los descartes se consignan con su reclasificación: atributo de…, rol de…, producto del sistema, elemento del entorno.]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158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Entidad</w:t>
            </w:r>
          </w:p>
        </w:tc>
        <w:tc>
          <w:tcPr>
            <w:tcW w:type="dxa" w:w="2835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Definición operativa</w:t>
            </w:r>
          </w:p>
        </w:tc>
        <w:tc>
          <w:tcPr>
            <w:tcW w:type="dxa" w:w="1928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Fuente que la acredita</w:t>
            </w:r>
          </w:p>
        </w:tc>
        <w:tc>
          <w:tcPr>
            <w:tcW w:type="dxa" w:w="215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Relaciones principales</w:t>
            </w:r>
          </w:p>
        </w:tc>
      </w:tr>
      <w:tr>
        <w:tc>
          <w:tcPr>
            <w:tcW w:type="dxa" w:w="15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15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58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15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5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15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[Modelo del dominio: figura con entidades, relaciones y cardinalidades. Cada cardinalidad debe poder leerse como una frase del negocio y haber sido validada como tal con el referente.]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[Figura 1. Modelo del dominio. Fuente: elaboración propia sobre el relevamiento del Capítulo II y el acta de validación del __/__/2026.]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[Reglas de negocio: una tabla con tipo, enunciado verificable, fuente, estado de validación y requisito derivado.]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90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Código</w:t>
            </w:r>
          </w:p>
        </w:tc>
        <w:tc>
          <w:tcPr>
            <w:tcW w:type="dxa" w:w="124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2835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Enunciado verificable</w:t>
            </w:r>
          </w:p>
        </w:tc>
        <w:tc>
          <w:tcPr>
            <w:tcW w:type="dxa" w:w="147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Fuente</w:t>
            </w:r>
          </w:p>
        </w:tc>
        <w:tc>
          <w:tcPr>
            <w:tcW w:type="dxa" w:w="1020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1020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Requisito derivado</w:t>
            </w:r>
          </w:p>
        </w:tc>
      </w:tr>
      <w:tr>
        <w:tc>
          <w:tcPr>
            <w:tcW w:type="dxa" w:w="90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R-01</w:t>
            </w:r>
          </w:p>
        </w:tc>
        <w:tc>
          <w:tcPr>
            <w:tcW w:type="dxa" w:w="124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47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020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020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90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R-02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020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R-03</w:t>
            </w:r>
          </w:p>
        </w:tc>
        <w:tc>
          <w:tcPr>
            <w:tcW w:type="dxa" w:w="124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47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020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020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[Glosario del dominio: término tal como lo usa la organización, definición operativa, falsos amigos detectados, fuente y si estuvo en disputa. Puede remitirse al Anexo si excede media página.]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III.3 · Alcance del sistema y alcance del proyecto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[Alcance del sistema: qué hará el software concebido como producto, incluida su evolución previsible más allá del cuatrimestre. Un párrafo.]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[Alcance del proyecto: qué compromete efectivamente este equipo entre septiembre y noviembre, con remisión al presupuesto de horas del Capítulo V. Un párrafo.]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[Verificación de coherencia: por qué el alcance del proyecto cabe en el presupuesto efectivo de horas declarado. Dos o tres oraciones con el número a la vista.]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III.4 · Límites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[Párrafo de apertura: por qué la delimitación es una decisión de ingeniería y no una renuncia. Una exclusión decidida en soledad es una hipótesis; validada con el referente y asentada en acta, es una frontera.]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04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Qué queda fuera</w:t>
            </w:r>
          </w:p>
        </w:tc>
        <w:tc>
          <w:tcPr>
            <w:tcW w:type="dxa" w:w="2835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Por qué motivo</w:t>
            </w:r>
          </w:p>
        </w:tc>
        <w:tc>
          <w:tcPr>
            <w:tcW w:type="dxa" w:w="170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Quién lo validó</w:t>
            </w:r>
          </w:p>
        </w:tc>
        <w:tc>
          <w:tcPr>
            <w:tcW w:type="dxa" w:w="1928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Estado y constancia</w:t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70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70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[Regla de la cátedra: por cada elemento incorporado al alcance, uno excluido con su motivo. Toda exclusión con estado «pendiente» debe explicar qué instancia la resolverá y cuándo.]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III.5 · Catálogo de requisitos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[Párrafo de apertura: cómo se construyó el catálogo, cuántos requisitos comprende, cómo se distribuyen por tipo y prioridad, y qué proporción quedó validada con el referente.]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[El catálogo completo puede ubicarse aquí o en el Anexo I, con remisión expresa. En cualquiera de los dos casos, cada fila lleva los seis campos. Reprodúzcase el bloque siguiente por cada requisito.]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Identificador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[RF-01 / RNF-01]</w:t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Enunciado</w:t>
            </w:r>
          </w:p>
        </w:tc>
        <w:tc>
          <w:tcPr>
            <w:tcW w:type="dxa" w:w="646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[Una sola capacidad o una sola restricción, en presente y en afirmativo.]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Tipo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[Funcional | No funcional — categoría: rendimiento, fiabilidad, seguridad, usabilidad, mantenibilidad, portabilidad, cumplimiento normativo.]</w:t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Prioridad y criterio</w:t>
            </w:r>
          </w:p>
        </w:tc>
        <w:tc>
          <w:tcPr>
            <w:tcW w:type="dxa" w:w="646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[Must / Should / Could / Won't, con el motivo de la asignación.]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Criterio de aceptación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[Condición inicial, acción y resultado observable con valores. Procedimiento ejecutable por un tercero.]</w:t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Trazabilidad</w:t>
            </w:r>
          </w:p>
        </w:tc>
        <w:tc>
          <w:tcPr>
            <w:tcW w:type="dxa" w:w="646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[H-xx del relevamiento de la AE1, o acuerdo del acta de validación del __/__/2026.]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[Matriz de trazabilidad: verificación en doble vía. Todo requisito llega a un hallazgo; todo hallazgo llega a un requisito o a su justificación expresa. Puede remitirse al Anexo I.]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90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Código</w:t>
            </w:r>
          </w:p>
        </w:tc>
        <w:tc>
          <w:tcPr>
            <w:tcW w:type="dxa" w:w="306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Hallazgo de la AE1 (dato y valor)</w:t>
            </w:r>
          </w:p>
        </w:tc>
        <w:tc>
          <w:tcPr>
            <w:tcW w:type="dxa" w:w="204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Requisito(s) derivado(s)</w:t>
            </w:r>
          </w:p>
        </w:tc>
        <w:tc>
          <w:tcPr>
            <w:tcW w:type="dxa" w:w="249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Si no deriva: justificación</w:t>
            </w:r>
          </w:p>
        </w:tc>
      </w:tr>
      <w:tr>
        <w:tc>
          <w:tcPr>
            <w:tcW w:type="dxa" w:w="90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H-01</w:t>
            </w:r>
          </w:p>
        </w:tc>
        <w:tc>
          <w:tcPr>
            <w:tcW w:type="dxa" w:w="30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49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90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H-02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H-03</w:t>
            </w:r>
          </w:p>
        </w:tc>
        <w:tc>
          <w:tcPr>
            <w:tcW w:type="dxa" w:w="30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49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3E6"/>
          <w:left w:val="single" w:sz="4" w:space="0" w:color="C7D3E6"/>
          <w:bottom w:val="single" w:sz="4" w:space="0" w:color="C7D3E6"/>
          <w:right w:val="single" w:sz="4" w:space="0" w:color="C7D3E6"/>
          <w:insideH w:val="single" w:sz="4" w:space="0" w:color="C7D3E6"/>
          <w:insideV w:val="single" w:sz="4" w:space="0" w:color="C7D3E6"/>
        </w:tblBorders>
      </w:tblPr>
      <w:tblGrid>
        <w:gridCol w:w="8504"/>
      </w:tblGrid>
      <w:tr>
        <w:tc>
          <w:tcPr>
            <w:tcW w:type="dxa" w:w="8504"/>
            <w:shd w:val="clear" w:color="auto" w:fill="FBEAEA"/>
          </w:tcPr>
          <w:p>
            <w:pPr>
              <w:spacing w:before="80" w:after="6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A81F16"/>
                <w:sz w:val="17"/>
              </w:rPr>
              <w:t>CONDICIÓN DE CÓMPUTO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Un requisito sin criterio de aceptación comprobable no se computa, por bien redactado que esté. Un requisito no funcional sin magnitud, unidad y condición de medición no es un requisito no funcional. El conjunto de los requisitos «Must» debe coincidir exactamente con el producto mínimo viable descrito en el apartado V.5.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3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56"/>
        </w:rPr>
        <w:t>IV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32"/>
        </w:rPr>
        <w:t>MODELO DE NEGOCIOS DEL PROYECTO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IV.1 · Definición de negocios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[Qué valor entrega el sistema, a quién, y cómo se sostiene económicamente esa entrega. Si el proyecto no contempla explotación comercial, declárese el modelo de sostenimiento previsto: interno, por convenio, por licencia, por servicio.]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[Lienzo de modelo de negocio: los nueve bloques completados. Puede presentarse como figura o como la tabla siguiente.]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2835"/>
        <w:gridCol w:w="2835"/>
        <w:gridCol w:w="2835"/>
      </w:tblGrid>
      <w:tr>
        <w:tc>
          <w:tcPr>
            <w:tcW w:type="dxa" w:w="204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Bloque del lienzo</w:t>
            </w:r>
          </w:p>
        </w:tc>
        <w:tc>
          <w:tcPr>
            <w:tcW w:type="dxa" w:w="3402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Contenido</w:t>
            </w:r>
          </w:p>
        </w:tc>
        <w:tc>
          <w:tcPr>
            <w:tcW w:type="dxa" w:w="306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Implicancia sobre el alcance comprometido</w:t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Segmentos de clientes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30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Propuesta de valor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Canales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30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Relaciones con clientes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Fuentes de ingreso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30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Recursos clave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Actividades clave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30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Socios clave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Estructura de costos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30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[Párrafo obligatorio: qué decisión de alcance cambió por causa del lienzo. Un lienzo que no modifica ninguna decisión no fue usado, fue ilustrado.]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IV.2 · Definiciones estratégicas: visión y misión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[Misión y visión del proyecto de sistema de información, retomadas del apartado I.2 y expresadas ahora en clave de negocio. No las de la organización relevada.]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IV.3 · Análisis de rivalidad amplificada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[Las cinco fuerzas, cada una con evidencia y con implicancia decisoria declarada. La pregunta que ordena el apartado no es cuán intensa es la fuerza, sino qué decisión del proyecto cambia por causa de ella.]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Fuerza</w:t>
            </w:r>
          </w:p>
        </w:tc>
        <w:tc>
          <w:tcPr>
            <w:tcW w:type="dxa" w:w="3402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Situación relevada y evidencia</w:t>
            </w:r>
          </w:p>
        </w:tc>
        <w:tc>
          <w:tcPr>
            <w:tcW w:type="dxa" w:w="2835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Implicancia decisoria</w:t>
            </w:r>
          </w:p>
        </w:tc>
      </w:tr>
      <w:tr>
        <w:tc>
          <w:tcPr>
            <w:tcW w:type="dxa" w:w="226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Rivalidad entre competidores actuales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Competidores potenciales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Sustitutos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Poder de negociación de proveedores</w:t>
            </w:r>
          </w:p>
        </w:tc>
        <w:tc>
          <w:tcPr>
            <w:tcW w:type="dxa" w:w="340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Poder de negociación de clientes</w:t>
            </w:r>
          </w:p>
        </w:tc>
        <w:tc>
          <w:tcPr>
            <w:tcW w:type="dxa" w:w="340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[Recordatorio: el sustituto más frecuente y más subestimado es la planilla de cálculo mantenida a mano que hoy resuelve el problema. Un análisis que no la incluye está incompleto.]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IV.4 · Mapeo de competencia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[Figura 2. Mapa de posicionamiento sobre dos ejes, con la justificación de por qué esos ejes y no otros. Los ejes se construyen con criterios que el propio relevamiento sostiene.]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[Lectura del mapa: dónde se ubica la solución propuesta, qué espacio ocupa y qué la distingue de manera verificable de las alternativas relevadas.]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24507F"/>
          <w:sz w:val="24"/>
        </w:rPr>
        <w:t>Cierre del Capítulo IV · Flujo de valor seleccionado para automatización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[No constituye un apartado reglamentario: la exigencia (vi) de la consigna se satisface como cierre del apartado IV.1 o del IV.3, según dónde el equipo lo integre con mayor coherencia.]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[Qué flujo se automatiza y con qué evidencia se demuestra que allí se concentra el problema relevado. Tres componentes: dónde se concentra el costo actual según la línea de base del Capítulo I; qué proporción de ese costo absorbe la automatización; qué queda sin resolver aun así.]</w:t>
      </w:r>
    </w:p>
    <w:p>
      <w:r>
        <w:br w:type="page"/>
      </w: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3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56"/>
        </w:rPr>
        <w:t>V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32"/>
        </w:rPr>
        <w:t>PLANIFICACIÓN DEL PROYECTO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V.1 · Definición de iteraciones o sprints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[Duración adoptada, cantidad de iteraciones y criterio de corte. La planificación se alinea con la cadencia de artefactos de la cátedra: v1 en la semana 8, v2 en la semana 11, v3 en la semana 13 y versión funcional congelada en la semana 14.]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020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Iteración</w:t>
            </w:r>
          </w:p>
        </w:tc>
        <w:tc>
          <w:tcPr>
            <w:tcW w:type="dxa" w:w="136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Fechas</w:t>
            </w:r>
          </w:p>
        </w:tc>
        <w:tc>
          <w:tcPr>
            <w:tcW w:type="dxa" w:w="249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Objetivo verificable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Requisitos comprometidos (ID)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Entregable de cierre</w:t>
            </w:r>
          </w:p>
        </w:tc>
      </w:tr>
      <w:tr>
        <w:tc>
          <w:tcPr>
            <w:tcW w:type="dxa" w:w="1020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49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2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020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3</w:t>
            </w:r>
          </w:p>
        </w:tc>
        <w:tc>
          <w:tcPr>
            <w:tcW w:type="dxa" w:w="13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49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020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4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[Definición de terminado, común a todas las iteraciones. Mínimo exigido: código integrado con canal de construcción en verde; criterio de aceptación ejecutado y registrado; catálogo, modelo y archivo de lectura actualizados; bitácora del responsable con la decisión y su fundamento.]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V.2 · Entregables de cada etapa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[Qué artefacto concreto cierra cada iteración y con qué condición de aceptación. Un entregable que no puede declararse aceptado o rechazado no es un entregable.]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V.3 · Organización del equipo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[Roles, responsabilidades y regla de resolución de desacuerdos conforme al acta de constitución. Si el Proyecto Integrador Final es de autoría individual, conforme a lo previsto en la Guía rápida N.º 1, consígnese la declaración de trabajo individual con el criterio propio de resolución de decisiones.]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181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Integrante</w:t>
            </w:r>
          </w:p>
        </w:tc>
        <w:tc>
          <w:tcPr>
            <w:tcW w:type="dxa" w:w="272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Rol y responsabilidades</w:t>
            </w:r>
          </w:p>
        </w:tc>
        <w:tc>
          <w:tcPr>
            <w:tcW w:type="dxa" w:w="170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Horas semanales comprometidas</w:t>
            </w:r>
          </w:p>
        </w:tc>
        <w:tc>
          <w:tcPr>
            <w:tcW w:type="dxa" w:w="2268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Apartados y componentes a cargo</w:t>
            </w:r>
          </w:p>
        </w:tc>
      </w:tr>
      <w:tr>
        <w:tc>
          <w:tcPr>
            <w:tcW w:type="dxa" w:w="181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72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70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26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72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72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70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268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V.4 · Cronograma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[Figura 3. Cronograma con dependencias entre tareas. Se construye sobre el presupuesto efectivo de horas-persona del Instrumento 24, no sobre la duración nominal del cuatrimestre.]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4252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Presupuesto de horas-persona</w:t>
            </w:r>
          </w:p>
        </w:tc>
        <w:tc>
          <w:tcPr>
            <w:tcW w:type="dxa" w:w="4252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Valor declarado</w:t>
            </w:r>
          </w:p>
        </w:tc>
      </w:tr>
      <w:tr>
        <w:tc>
          <w:tcPr>
            <w:tcW w:type="dxa" w:w="425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Integrantes del equipo</w:t>
            </w:r>
          </w:p>
        </w:tc>
        <w:tc>
          <w:tcPr>
            <w:tcW w:type="dxa" w:w="425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425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Horas semanales reales por integrante</w:t>
            </w:r>
          </w:p>
        </w:tc>
        <w:tc>
          <w:tcPr>
            <w:tcW w:type="dxa" w:w="425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425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Presupuesto total del período</w:t>
            </w:r>
          </w:p>
        </w:tc>
        <w:tc>
          <w:tcPr>
            <w:tcW w:type="dxa" w:w="425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425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Reducción prevista (exámenes, feriados)</w:t>
            </w:r>
          </w:p>
        </w:tc>
        <w:tc>
          <w:tcPr>
            <w:tcW w:type="dxa" w:w="4252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425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Presupuesto efectivo resultante</w:t>
            </w:r>
          </w:p>
        </w:tc>
        <w:tc>
          <w:tcPr>
            <w:tcW w:type="dxa" w:w="4252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[Cláusula de contingencia, exigencia (vii) de la consigna: qué se posterga si el presupuesto cae un tercio, con qué criterio se redistribuye el trabajo y qué no se sacrifica en ningún caso. La cátedra ya fijó dos intangibles: la trazabilidad del catálogo y la ejecutabilidad del prototipo.]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V.5 · Descripción del producto mínimo viable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[Se describe por lo que hace, no por lo que promete. Enumérense los casos de uso incluidos y, de manera expresa, los excluidos con la iteración que los recibirá.]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5669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Casos de uso que el producto mínimo viable incluye</w:t>
            </w:r>
          </w:p>
        </w:tc>
        <w:tc>
          <w:tcPr>
            <w:tcW w:type="dxa" w:w="2835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Requisitos que satisface (ID)</w:t>
            </w:r>
          </w:p>
        </w:tc>
      </w:tr>
      <w:tr>
        <w:tc>
          <w:tcPr>
            <w:tcW w:type="dxa" w:w="5669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5669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5669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5669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Casos de uso expresamente excluidos del producto mínimo viable</w:t>
            </w:r>
          </w:p>
        </w:tc>
        <w:tc>
          <w:tcPr>
            <w:tcW w:type="dxa" w:w="2835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Iteración prevista</w:t>
            </w:r>
          </w:p>
        </w:tc>
      </w:tr>
      <w:tr>
        <w:tc>
          <w:tcPr>
            <w:tcW w:type="dxa" w:w="5669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5669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[Prototipo v1: caso de uso vertical implementado, capas que atraviesa, enlace al repositorio con la etiqueta v1, estado del canal de integración continua y fecha de la última corrida exitosa.]</w:t>
      </w:r>
    </w:p>
    <w:p>
      <w:r>
        <w:br w:type="page"/>
      </w: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0" w:line="240" w:lineRule="auto"/>
        <w:jc w:val="both"/>
      </w:pPr>
    </w:p>
    <w:p>
      <w:pPr>
        <w:spacing w:before="0" w:after="36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56"/>
        </w:rPr>
        <w:t>X</w:t>
      </w:r>
    </w:p>
    <w:p>
      <w:pPr>
        <w:spacing w:before="0" w:after="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32"/>
        </w:rPr>
        <w:t>RECURSOS DEL PROYECTO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X.1 · Recursos humanos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[Perfiles, dedicación y costo de hora de referencia del sector, con la fuente sometida a la regla de las tres preguntas: quién la produjo, con qué método y sobre qué universo, y para qué período de referencia. No se admite promediar cifras de universos distintos.]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Perfil</w:t>
            </w:r>
          </w:p>
        </w:tc>
        <w:tc>
          <w:tcPr>
            <w:tcW w:type="dxa" w:w="136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Dedicación (horas)</w:t>
            </w:r>
          </w:p>
        </w:tc>
        <w:tc>
          <w:tcPr>
            <w:tcW w:type="dxa" w:w="158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Costo de hora de referencia</w:t>
            </w:r>
          </w:p>
        </w:tc>
        <w:tc>
          <w:tcPr>
            <w:tcW w:type="dxa" w:w="181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Fuente y período</w:t>
            </w:r>
          </w:p>
        </w:tc>
        <w:tc>
          <w:tcPr>
            <w:tcW w:type="dxa" w:w="204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Justificación de la asignación</w:t>
            </w:r>
          </w:p>
        </w:tc>
      </w:tr>
      <w:tr>
        <w:tc>
          <w:tcPr>
            <w:tcW w:type="dxa" w:w="170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3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5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X.2 · Recursos físicos y materiales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[Equipamiento, dispositivos de captura y espacio de trabajo que el modo de operación decidido exige. Si el sistema opera sin conexión en terreno, las exigencias de dispositivo se derivan de allí y no de una preferencia.]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X.3 · Recursos financieros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[Inversión inicial, costos recurrentes y, si el proyecto contempla explotación, punto de equilibrio con sus supuestos declarados. Los órdenes de magnitud se presentan como tales y no como mediciones.]</w:t>
      </w:r>
    </w:p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X.4 · Recursos tecnológicos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[Lenguajes, marcos de trabajo, motor de base de datos, servicios de despliegue e integración continua. Cada elección con licencia, versión, motivo, alternativa evaluada y criterio de descarte. Este apartado es el que la dimensión 5 lee con mayor atención.]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1587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Elección</w:t>
            </w:r>
          </w:p>
        </w:tc>
        <w:tc>
          <w:tcPr>
            <w:tcW w:type="dxa" w:w="1474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Licencia y versión</w:t>
            </w:r>
          </w:p>
        </w:tc>
        <w:tc>
          <w:tcPr>
            <w:tcW w:type="dxa" w:w="170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Alternativa evaluada</w:t>
            </w:r>
          </w:p>
        </w:tc>
        <w:tc>
          <w:tcPr>
            <w:tcW w:type="dxa" w:w="204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Criterio de descarte</w:t>
            </w:r>
          </w:p>
        </w:tc>
      </w:tr>
      <w:tr>
        <w:tc>
          <w:tcPr>
            <w:tcW w:type="dxa" w:w="170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5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47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70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587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587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474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170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  <w:tc>
          <w:tcPr>
            <w:tcW w:type="dxa" w:w="204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</w:r>
          </w:p>
        </w:tc>
      </w:tr>
    </w:tbl>
    <w:p>
      <w:pPr>
        <w:spacing w:before="280" w:after="120" w:line="276" w:lineRule="auto"/>
        <w:jc w:val="left"/>
      </w:pPr>
      <w:r>
        <w:rPr>
          <w:rFonts w:ascii="Times New Roman" w:hAnsi="Times New Roman" w:eastAsia="Times New Roman"/>
          <w:b/>
          <w:i w:val="0"/>
          <w:color w:val="1F3A6E"/>
          <w:sz w:val="24"/>
        </w:rPr>
        <w:t>X.5 · Otros recursos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[Capacitación, soporte, migración de datos y licencias de terceros. La migración desde la planilla de cálculo existente es el rubro que con mayor frecuencia se subestima.]</w:t>
      </w:r>
    </w:p>
    <w:p>
      <w:pPr>
        <w:spacing w:before="0" w:after="80" w:line="24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7D3E6"/>
          <w:left w:val="single" w:sz="4" w:space="0" w:color="C7D3E6"/>
          <w:bottom w:val="single" w:sz="4" w:space="0" w:color="C7D3E6"/>
          <w:right w:val="single" w:sz="4" w:space="0" w:color="C7D3E6"/>
          <w:insideH w:val="single" w:sz="4" w:space="0" w:color="C7D3E6"/>
          <w:insideV w:val="single" w:sz="4" w:space="0" w:color="C7D3E6"/>
        </w:tblBorders>
      </w:tblPr>
      <w:tblGrid>
        <w:gridCol w:w="8504"/>
      </w:tblGrid>
      <w:tr>
        <w:tc>
          <w:tcPr>
            <w:tcW w:type="dxa" w:w="8504"/>
            <w:shd w:val="clear" w:color="auto" w:fill="E4ECF8"/>
          </w:tcPr>
          <w:p>
            <w:pPr>
              <w:spacing w:before="80" w:after="60" w:line="264" w:lineRule="auto"/>
            </w:pPr>
            <w:r/>
            <w:r>
              <w:rPr>
                <w:rFonts w:ascii="Calibri" w:hAnsi="Calibri" w:eastAsia="Calibri"/>
                <w:b/>
                <w:i w:val="0"/>
                <w:color w:val="1F3A6E"/>
                <w:sz w:val="17"/>
              </w:rPr>
              <w:t>VERIFICACIÓN DE COHERENCIA ANTES DE CERRAR EL CAPÍTULO</w:t>
            </w:r>
          </w:p>
          <w:p>
            <w:pPr>
              <w:spacing w:before="40" w:after="80" w:line="276" w:lineRule="auto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1C2430"/>
                <w:sz w:val="20"/>
              </w:rPr>
              <w:t>Las horas comprometidas en el Capítulo X y las del presupuesto efectivo del Capítulo V deben ser el mismo número. Una divergencia entre ambos capítulos no se lee como un problema de costeo sino de coherencia interna, y la dimensión 4 la pondera como 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28"/>
        </w:rPr>
        <w:t>BIBLIOGRAFÍA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[Normas APA, orden alfabético, únicamente las fuentes efectivamente citadas en estos capítulos. Se listan tres que la unidad exige y que casi con certeza serán citadas.]</w:t>
      </w:r>
    </w:p>
    <w:p>
      <w:pPr>
        <w:spacing w:before="0" w:after="120" w:line="48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1C2430"/>
          <w:sz w:val="24"/>
        </w:rPr>
        <w:t>Osterwalder, A. y Pigneur, Y. (2019). Generación de modelos de negocio. Deusto.</w:t>
      </w:r>
    </w:p>
    <w:p>
      <w:pPr>
        <w:spacing w:before="0" w:after="120" w:line="48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1C2430"/>
          <w:sz w:val="24"/>
        </w:rPr>
        <w:t>Pressman, R. S. (2011). Ingeniería del software. Un enfoque práctico (7.ª ed.). McGraw-Hill.</w:t>
      </w:r>
    </w:p>
    <w:p>
      <w:pPr>
        <w:spacing w:before="0" w:after="120" w:line="480" w:lineRule="auto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1C2430"/>
          <w:sz w:val="24"/>
        </w:rPr>
        <w:t>Sommerville, I. (2011). Ingeniería del software (9.ª ed.). Pearson Educación.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[Agregar las restantes fuentes efectivamente citadas.]</w:t>
      </w:r>
    </w:p>
    <w:p>
      <w:r>
        <w:br w:type="page"/>
      </w:r>
    </w:p>
    <w:p>
      <w:pPr>
        <w:spacing w:before="0" w:after="20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1F3A6E"/>
          <w:sz w:val="28"/>
        </w:rPr>
        <w:t>ANEXOS</w:t>
      </w:r>
    </w:p>
    <w:p>
      <w:pPr>
        <w:spacing w:before="0" w:after="80" w:line="264" w:lineRule="auto"/>
        <w:ind w:left="0"/>
        <w:jc w:val="both"/>
      </w:pPr>
      <w:r>
        <w:rPr>
          <w:rFonts w:ascii="Calibri" w:hAnsi="Calibri" w:eastAsia="Calibri"/>
          <w:b w:val="0"/>
          <w:i/>
          <w:color w:val="5A6A80"/>
          <w:sz w:val="20"/>
        </w:rPr>
        <w:t>[Los anexos se numeran de manera independiente, indicando «página X de Y», conforme al Art. 20.º.]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9C4D6"/>
          <w:left w:val="single" w:sz="6" w:space="0" w:color="B9C4D6"/>
          <w:bottom w:val="single" w:sz="6" w:space="0" w:color="B9C4D6"/>
          <w:right w:val="single" w:sz="6" w:space="0" w:color="B9C4D6"/>
          <w:insideH w:val="single" w:sz="6" w:space="0" w:color="B9C4D6"/>
          <w:insideV w:val="single" w:sz="6" w:space="0" w:color="B9C4D6"/>
        </w:tblBorders>
      </w:tblPr>
      <w:tblGrid>
        <w:gridCol w:w="4252"/>
        <w:gridCol w:w="4252"/>
      </w:tblGrid>
      <w:tr>
        <w:tc>
          <w:tcPr>
            <w:tcW w:type="dxa" w:w="1361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Anexo</w:t>
            </w:r>
          </w:p>
        </w:tc>
        <w:tc>
          <w:tcPr>
            <w:tcW w:type="dxa" w:w="7143"/>
            <w:shd w:val="clear" w:color="auto" w:fill="1F3A6E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Contenido esperado en esta entrega</w:t>
            </w:r>
          </w:p>
        </w:tc>
      </w:tr>
      <w:tr>
        <w:tc>
          <w:tcPr>
            <w:tcW w:type="dxa" w:w="13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Anexo I</w:t>
            </w:r>
          </w:p>
        </w:tc>
        <w:tc>
          <w:tcPr>
            <w:tcW w:type="dxa" w:w="714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Catálogo de requisitos completo y matriz de trazabilidad hallazgo → requisito, si no se incluyeron en el cuerpo del Capítulo III.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Anexo II</w:t>
            </w:r>
          </w:p>
        </w:tc>
        <w:tc>
          <w:tcPr>
            <w:tcW w:type="dxa" w:w="7143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Guía y acta de la sesión de validación con el referente, con fecha, participantes, observaciones recibidas y constancia de conformidad.</w:t>
            </w:r>
          </w:p>
        </w:tc>
      </w:tr>
      <w:tr>
        <w:tc>
          <w:tcPr>
            <w:tcW w:type="dxa" w:w="13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Anexo III</w:t>
            </w:r>
          </w:p>
        </w:tc>
        <w:tc>
          <w:tcPr>
            <w:tcW w:type="dxa" w:w="714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Decisiones de arquitectura con sus alternativas evaluadas y criterios de descarte, que el Art. 21.º excluye del cuerpo.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Anexo IV</w:t>
            </w:r>
          </w:p>
        </w:tc>
        <w:tc>
          <w:tcPr>
            <w:tcW w:type="dxa" w:w="7143"/>
            <w:shd w:val="clear" w:color="auto" w:fill="F2F5FA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Evidencia de integración continua: registro de las corridas del canal de construcción, con resultado y fecha.</w:t>
            </w:r>
          </w:p>
        </w:tc>
      </w:tr>
      <w:tr>
        <w:tc>
          <w:tcPr>
            <w:tcW w:type="dxa" w:w="1361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Anexo V</w:t>
            </w:r>
          </w:p>
        </w:tc>
        <w:tc>
          <w:tcPr>
            <w:tcW w:type="dxa" w:w="7143"/>
          </w:tcPr>
          <w:p>
            <w:pPr>
              <w:spacing w:line="252" w:lineRule="auto"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430"/>
                <w:sz w:val="19"/>
              </w:rPr>
              <w:t>Glosario del dominio completo y registro de reglas de negocio, si excedieron el espacio del capítulo.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b w:val="0"/>
        <w:i w:val="0"/>
        <w:color w:val="5A6A80"/>
        <w:sz w:val="16"/>
      </w:rPr>
      <w:t>Plantilla del informe · AE2 · Proyecto Final de Grado 2026 · UCP · Comisión 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jc w:val="both"/>
    </w:pPr>
    <w:rPr>
      <w:rFonts w:ascii="Times New Roman" w:hAnsi="Times New Roman" w:eastAsia="Times New Roman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