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7.png" ContentType="image/png"/>
  <Override PartName="/word/media/rId12.png" ContentType="image/png"/>
  <Override PartName="/word/media/rId24.png" ContentType="image/png"/>
  <Override PartName="/word/media/rId15.png" ContentType="image/png"/>
  <Override PartName="/word/media/rId9.png" ContentType="image/png"/>
  <Override PartName="/word/media/rId2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nstrumento-35-ficha-del-prototipo-v1"/>
    <w:p>
      <w:pPr>
        <w:pStyle w:val="Heading1"/>
      </w:pPr>
      <w:r>
        <w:t xml:space="preserve">Instrumento 35 · Ficha del prototipo v1</w:t>
      </w:r>
    </w:p>
    <w:p>
      <w:pPr>
        <w:pStyle w:val="FirstParagraph"/>
      </w:pPr>
      <w:r>
        <w:rPr>
          <w:i/>
          <w:iCs/>
        </w:rPr>
        <w:t xml:space="preserve">Momento de aplicación: semana 8, antes de crear la etiqueta v1. Destino: /src del repositorio, junto al archivo de lectura, y apartado V.5 del informe. Plazo: jueves 1.º de octubre. Esta ficha es la que el equipo usa para autoverificar el artefacto antes de que lo haga la cátedra.</w:t>
      </w:r>
    </w:p>
    <w:p>
      <w:pPr>
        <w:pStyle w:val="BodyText"/>
      </w:pPr>
      <w:r>
        <w:rPr>
          <w:b/>
          <w:bCs/>
        </w:rPr>
        <w:t xml:space="preserve">35.1 · Declaración del recorrido vertical</w:t>
      </w:r>
    </w:p>
    <w:tbl>
      <w:tblPr>
        <w:tblStyle w:val="Table"/>
        <w:tblW w:type="pct" w:w="5000"/>
        <w:tblLayout w:type="fixed"/>
        <w:tblLook w:firstRow="1" w:lastRow="0" w:firstColumn="0" w:lastColumn="0" w:noHBand="0" w:noVBand="0" w:val="0020"/>
      </w:tblPr>
      <w:tblGrid>
        <w:gridCol w:w="1237"/>
        <w:gridCol w:w="2227"/>
        <w:gridCol w:w="2227"/>
        <w:gridCol w:w="2227"/>
      </w:tblGrid>
      <w:tr>
        <w:trPr>
          <w:tblHeader w:val="on"/>
        </w:trPr>
        <w:tc>
          <w:tcPr/>
          <w:p>
            <w:pPr>
              <w:pStyle w:val="Compact"/>
            </w:pPr>
            <w:r>
              <w:rPr>
                <w:b/>
                <w:bCs/>
              </w:rPr>
              <w:t xml:space="preserve">Estación</w:t>
            </w:r>
          </w:p>
        </w:tc>
        <w:tc>
          <w:tcPr/>
          <w:p>
            <w:pPr>
              <w:pStyle w:val="Compact"/>
            </w:pPr>
            <w:r>
              <w:rPr>
                <w:b/>
                <w:bCs/>
              </w:rPr>
              <w:t xml:space="preserve">Qué se implementó</w:t>
            </w:r>
          </w:p>
        </w:tc>
        <w:tc>
          <w:tcPr/>
          <w:p>
            <w:pPr>
              <w:pStyle w:val="Compact"/>
            </w:pPr>
            <w:r>
              <w:rPr>
                <w:b/>
                <w:bCs/>
              </w:rPr>
              <w:t xml:space="preserve">Archivo o componente</w:t>
            </w:r>
          </w:p>
        </w:tc>
        <w:tc>
          <w:tcPr/>
          <w:p>
            <w:pPr>
              <w:pStyle w:val="Compact"/>
            </w:pPr>
            <w:r>
              <w:rPr>
                <w:b/>
                <w:bCs/>
              </w:rPr>
              <w:t xml:space="preserve">Qué queda probado</w:t>
            </w:r>
          </w:p>
        </w:tc>
      </w:tr>
      <w:tr>
        <w:tc>
          <w:tcPr/>
          <w:p>
            <w:pPr>
              <w:pStyle w:val="Compact"/>
            </w:pPr>
            <w:r>
              <w:t xml:space="preserve">Interfaz</w:t>
            </w:r>
          </w:p>
        </w:tc>
        <w:tc>
          <w:tcPr/>
          <w:p>
            <w:pPr>
              <w:pStyle w:val="Compact"/>
            </w:pPr>
            <w:r>
              <w:t xml:space="preserve">Formulario de la página inicial que recibe el proyecto, el agente y la clave, y lo envía por GET a</w:t>
            </w:r>
            <w:r>
              <w:t xml:space="preserve"> </w:t>
            </w:r>
            <w:r>
              <w:rPr>
                <w:rStyle w:val="VerbatimChar"/>
              </w:rPr>
              <w:t xml:space="preserve">/resolver</w:t>
            </w:r>
            <w:r>
              <w:t xml:space="preserve">; solo atiende solicitudes locales (RNF-09)</w:t>
            </w:r>
          </w:p>
        </w:tc>
        <w:tc>
          <w:tcPr/>
          <w:p>
            <w:pPr>
              <w:pStyle w:val="Compact"/>
            </w:pPr>
            <w:r>
              <w:rPr>
                <w:rStyle w:val="VerbatimChar"/>
              </w:rPr>
              <w:t xml:space="preserve">src/paquetes/rige/interfaces/web/paginas/inicio.ts</w:t>
            </w:r>
            <w:r>
              <w:t xml:space="preserve">;</w:t>
            </w:r>
            <w:r>
              <w:t xml:space="preserve"> </w:t>
            </w:r>
            <w:r>
              <w:rPr>
                <w:rStyle w:val="VerbatimChar"/>
              </w:rPr>
              <w:t xml:space="preserve">src/paquetes/rige/interfaces/web/servidor.ts</w:t>
            </w:r>
          </w:p>
        </w:tc>
        <w:tc>
          <w:tcPr/>
          <w:p>
            <w:pPr>
              <w:pStyle w:val="Compact"/>
            </w:pPr>
            <w:r>
              <w:t xml:space="preserve">El dato ingresa por la interfaz con la ruta que indica el archivo de lectura (</w:t>
            </w:r>
            <w:r>
              <w:rPr>
                <w:rStyle w:val="VerbatimChar"/>
              </w:rPr>
              <w:t xml:space="preserve">recorrido-v1.test.ts</w:t>
            </w:r>
            <w:r>
              <w:t xml:space="preserve">, V-0 y V-1)</w:t>
            </w:r>
          </w:p>
        </w:tc>
      </w:tr>
      <w:tr>
        <w:tc>
          <w:tcPr/>
          <w:p>
            <w:pPr>
              <w:pStyle w:val="Compact"/>
            </w:pPr>
            <w:r>
              <w:t xml:space="preserve">Lógica (regla de negocio validada)</w:t>
            </w:r>
          </w:p>
        </w:tc>
        <w:tc>
          <w:tcPr/>
          <w:p>
            <w:pPr>
              <w:pStyle w:val="Compact"/>
            </w:pPr>
            <w:r>
              <w:t xml:space="preserve">El adaptador de OpenCode ubica y lee las entradas y declara su orden de aplicación; el núcleo genérico aplica RD-01 (prevalece la declaración de la última entrada que declara la clave) y registra la declaración determinante y las desplazadas</w:t>
            </w:r>
          </w:p>
        </w:tc>
        <w:tc>
          <w:tcPr/>
          <w:p>
            <w:pPr>
              <w:pStyle w:val="Compact"/>
            </w:pPr>
            <w:r>
              <w:rPr>
                <w:rStyle w:val="VerbatimChar"/>
              </w:rPr>
              <w:t xml:space="preserve">src/paquetes/opencode/</w:t>
            </w:r>
            <w:r>
              <w:t xml:space="preserve"> </w:t>
            </w:r>
            <w:r>
              <w:t xml:space="preserve">(ubicador, lector, secuenciador);</w:t>
            </w:r>
            <w:r>
              <w:t xml:space="preserve"> </w:t>
            </w:r>
            <w:r>
              <w:rPr>
                <w:rStyle w:val="VerbatimChar"/>
              </w:rPr>
              <w:t xml:space="preserve">src/paquetes/nucleo/resolucion/</w:t>
            </w:r>
          </w:p>
        </w:tc>
        <w:tc>
          <w:tcPr/>
          <w:p>
            <w:pPr>
              <w:pStyle w:val="Compact"/>
            </w:pPr>
            <w:r>
              <w:t xml:space="preserve">El valor coincide con OpenCode 1.18.25 en dos escenarios de referencia (</w:t>
            </w:r>
            <w:r>
              <w:rPr>
                <w:rStyle w:val="VerbatimChar"/>
              </w:rPr>
              <w:t xml:space="preserve">RF-01.test.ts</w:t>
            </w:r>
            <w:r>
              <w:t xml:space="preserve">); el núcleo no depende del adaptador y un adaptador ficticio se resuelve sin modificarlo (</w:t>
            </w:r>
            <w:r>
              <w:rPr>
                <w:rStyle w:val="VerbatimChar"/>
              </w:rPr>
              <w:t xml:space="preserve">RNF-03.test.ts</w:t>
            </w:r>
            <w:r>
              <w:t xml:space="preserve">, CA-1 a CA-3)</w:t>
            </w:r>
          </w:p>
        </w:tc>
      </w:tr>
      <w:tr>
        <w:tc>
          <w:tcPr/>
          <w:p>
            <w:pPr>
              <w:pStyle w:val="Compact"/>
            </w:pPr>
            <w:r>
              <w:t xml:space="preserve">Persistencia</w:t>
            </w:r>
          </w:p>
        </w:tc>
        <w:tc>
          <w:tcPr/>
          <w:p>
            <w:pPr>
              <w:pStyle w:val="Compact"/>
            </w:pPr>
            <w:r>
              <w:t xml:space="preserve">La resolución se guarda en el almacén SQLite propio como documento inmutable, con su fecha, el resumen de las entradas leídas y una fila por entrada; se conservan las últimas 20 por proyecto</w:t>
            </w:r>
          </w:p>
        </w:tc>
        <w:tc>
          <w:tcPr/>
          <w:p>
            <w:pPr>
              <w:pStyle w:val="Compact"/>
            </w:pPr>
            <w:r>
              <w:rPr>
                <w:rStyle w:val="VerbatimChar"/>
              </w:rPr>
              <w:t xml:space="preserve">src/paquetes/rige/adaptadores/almacen-sqlite/resoluciones.ts</w:t>
            </w:r>
            <w:r>
              <w:t xml:space="preserve">;</w:t>
            </w:r>
            <w:r>
              <w:t xml:space="preserve"> </w:t>
            </w:r>
            <w:r>
              <w:rPr>
                <w:rStyle w:val="VerbatimChar"/>
              </w:rPr>
              <w:t xml:space="preserve">src/esquemas/almacen/001_inicial.sql</w:t>
            </w:r>
          </w:p>
        </w:tc>
        <w:tc>
          <w:tcPr/>
          <w:p>
            <w:pPr>
              <w:pStyle w:val="Compact"/>
            </w:pPr>
            <w:r>
              <w:t xml:space="preserve">RF-17 CA-1 a CA-3 (</w:t>
            </w:r>
            <w:r>
              <w:rPr>
                <w:rStyle w:val="VerbatimChar"/>
              </w:rPr>
              <w:t xml:space="preserve">resoluciones.test.ts</w:t>
            </w:r>
            <w:r>
              <w:t xml:space="preserve">;</w:t>
            </w:r>
            <w:r>
              <w:t xml:space="preserve"> </w:t>
            </w:r>
            <w:r>
              <w:rPr>
                <w:rStyle w:val="VerbatimChar"/>
              </w:rPr>
              <w:t xml:space="preserve">recorrido-v1.test.ts</w:t>
            </w:r>
            <w:r>
              <w:t xml:space="preserve">, V-3 a V-5); las entradas analizadas no cambian (RNF-01, V-6)</w:t>
            </w:r>
          </w:p>
        </w:tc>
      </w:tr>
      <w:tr>
        <w:tc>
          <w:tcPr/>
          <w:p>
            <w:pPr>
              <w:pStyle w:val="Compact"/>
            </w:pPr>
            <w:r>
              <w:t xml:space="preserve">Retorno a la interfaz</w:t>
            </w:r>
          </w:p>
        </w:tc>
        <w:tc>
          <w:tcPr/>
          <w:p>
            <w:pPr>
              <w:pStyle w:val="Compact"/>
            </w:pPr>
            <w:r>
              <w:t xml:space="preserve">La página</w:t>
            </w:r>
            <w:r>
              <w:t xml:space="preserve"> </w:t>
            </w:r>
            <w:r>
              <w:rPr>
                <w:rStyle w:val="VerbatimChar"/>
              </w:rPr>
              <w:t xml:space="preserve">/resoluciones/&lt;id&gt;</w:t>
            </w:r>
            <w:r>
              <w:t xml:space="preserve"> </w:t>
            </w:r>
            <w:r>
              <w:t xml:space="preserve">se arma con la resolución leída del almacén: valor efectivo, declaración determinante con archivo, línea y columna, declaraciones desplazadas, entradas leídas y resoluciones anteriores del proyecto</w:t>
            </w:r>
          </w:p>
        </w:tc>
        <w:tc>
          <w:tcPr/>
          <w:p>
            <w:pPr>
              <w:pStyle w:val="Compact"/>
            </w:pPr>
            <w:r>
              <w:rPr>
                <w:rStyle w:val="VerbatimChar"/>
              </w:rPr>
              <w:t xml:space="preserve">src/paquetes/rige/interfaces/web/paginas/resolucion.ts</w:t>
            </w:r>
            <w:r>
              <w:t xml:space="preserve">;</w:t>
            </w:r>
            <w:r>
              <w:t xml:space="preserve"> </w:t>
            </w:r>
            <w:r>
              <w:rPr>
                <w:rStyle w:val="VerbatimChar"/>
              </w:rPr>
              <w:t xml:space="preserve">src/paquetes/rige/aplicacion/casos-uso/consultar-resolucion.ts</w:t>
            </w:r>
          </w:p>
        </w:tc>
        <w:tc>
          <w:tcPr/>
          <w:p>
            <w:pPr>
              <w:pStyle w:val="Compact"/>
            </w:pPr>
            <w:r>
              <w:t xml:space="preserve">Reiniciado el servidor, la misma dirección devuelve la misma página, leída del almacén (</w:t>
            </w:r>
            <w:r>
              <w:rPr>
                <w:rStyle w:val="VerbatimChar"/>
              </w:rPr>
              <w:t xml:space="preserve">recorrido-v1.test.ts</w:t>
            </w:r>
            <w:r>
              <w:t xml:space="preserve">, V-3)</w:t>
            </w:r>
          </w:p>
        </w:tc>
      </w:tr>
    </w:tbl>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rPr>
                <w:b/>
                <w:bCs/>
              </w:rPr>
              <w:t xml:space="preserve">Declaraciones del artefacto</w:t>
            </w:r>
          </w:p>
        </w:tc>
        <w:tc>
          <w:tcPr/>
          <w:p>
            <w:pPr>
              <w:pStyle w:val="Compact"/>
            </w:pPr>
          </w:p>
        </w:tc>
      </w:tr>
      <w:tr>
        <w:tc>
          <w:tcPr/>
          <w:p>
            <w:pPr>
              <w:pStyle w:val="Compact"/>
            </w:pPr>
            <w:r>
              <w:t xml:space="preserve">Caso de uso vertical elegido</w:t>
            </w:r>
          </w:p>
        </w:tc>
        <w:tc>
          <w:tcPr/>
          <w:p>
            <w:pPr>
              <w:pStyle w:val="Compact"/>
            </w:pPr>
            <w:r>
              <w:t xml:space="preserve">CU-02 mínimo (consultar el valor efectivo de una clave de un agente, con su procedencia), precedido por CU-01 mínimo (analizar el proyecto y registrar la resolución), sobre el escenario</w:t>
            </w:r>
            <w:r>
              <w:t xml:space="preserve"> </w:t>
            </w:r>
            <w:r>
              <w:rPr>
                <w:rStyle w:val="VerbatimChar"/>
              </w:rPr>
              <w:t xml:space="preserve">src/pruebas/escenarios/v1-precedencia/</w:t>
            </w:r>
            <w:r>
              <w:t xml:space="preserve"> </w:t>
            </w:r>
            <w:r>
              <w:t xml:space="preserve">con tres entradas de distinta precedencia</w:t>
            </w:r>
          </w:p>
        </w:tc>
      </w:tr>
      <w:tr>
        <w:tc>
          <w:tcPr/>
          <w:p>
            <w:pPr>
              <w:pStyle w:val="Compact"/>
            </w:pPr>
            <w:r>
              <w:t xml:space="preserve">Requisito del catálogo que implementa (ID)</w:t>
            </w:r>
          </w:p>
        </w:tc>
        <w:tc>
          <w:tcPr/>
          <w:p>
            <w:pPr>
              <w:pStyle w:val="Compact"/>
            </w:pPr>
            <w:r>
              <w:t xml:space="preserve">RF-01 (CA-1 y CA-2) y RF-17 (CA-1 a CA-3); además RNF-01, RNF-03 y RNF-09</w:t>
            </w:r>
          </w:p>
        </w:tc>
      </w:tr>
      <w:tr>
        <w:tc>
          <w:tcPr/>
          <w:p>
            <w:pPr>
              <w:pStyle w:val="Compact"/>
            </w:pPr>
            <w:r>
              <w:t xml:space="preserve">Regla de negocio que valida la capa de lógica (código)</w:t>
            </w:r>
          </w:p>
        </w:tc>
        <w:tc>
          <w:tcPr/>
          <w:p>
            <w:pPr>
              <w:pStyle w:val="Compact"/>
            </w:pPr>
            <w:r>
              <w:t xml:space="preserve">RD-01</w:t>
            </w:r>
          </w:p>
        </w:tc>
      </w:tr>
      <w:tr>
        <w:tc>
          <w:tcPr/>
          <w:p>
            <w:pPr>
              <w:pStyle w:val="Compact"/>
            </w:pPr>
            <w:r>
              <w:t xml:space="preserve">Decisión arquitectónica que este recorrido prueba</w:t>
            </w:r>
          </w:p>
        </w:tc>
        <w:tc>
          <w:tcPr/>
          <w:p>
            <w:pPr>
              <w:pStyle w:val="Compact"/>
            </w:pPr>
            <w:r>
              <w:t xml:space="preserve">Separación entre un núcleo genérico que ejecuta la combinación y un adaptador por herramienta que declara el orden de las entradas y la estrategia de cada aplicación (ADR-058, ADR-060; RNF-03), con la resolución persistida como documento inmutable (ADR-061)</w:t>
            </w:r>
          </w:p>
        </w:tc>
      </w:tr>
      <w:tr>
        <w:tc>
          <w:tcPr/>
          <w:p>
            <w:pPr>
              <w:pStyle w:val="Compact"/>
            </w:pPr>
            <w:r>
              <w:t xml:space="preserve">Alternativa de arquitectura evaluada y criterio de descarte</w:t>
            </w:r>
          </w:p>
        </w:tc>
        <w:tc>
          <w:tcPr/>
          <w:p>
            <w:pPr>
              <w:pStyle w:val="Compact"/>
            </w:pPr>
            <w:r>
              <w:t xml:space="preserve">Descriptor declarativo con el que el núcleo resuelve solo (ADR-060, R-A): se descartó porque no expresa las derivaciones que OpenCode aplica después de fusionar sin convertirse en un lenguaje propio. Adaptador que resuelve y devuelve el resultado (R-B): se descartó porque vacía el núcleo y el adaptador ficticio de RNF-03 no ejercitaría nada de él</w:t>
            </w:r>
          </w:p>
        </w:tc>
      </w:tr>
      <w:tr>
        <w:tc>
          <w:tcPr/>
          <w:p>
            <w:pPr>
              <w:pStyle w:val="Compact"/>
            </w:pPr>
            <w:r>
              <w:t xml:space="preserve">Etiqueta del repositorio</w:t>
            </w:r>
          </w:p>
        </w:tc>
        <w:tc>
          <w:tcPr/>
          <w:p>
            <w:pPr>
              <w:pStyle w:val="Compact"/>
            </w:pPr>
            <w:r>
              <w:t xml:space="preserve">v1</w:t>
            </w:r>
          </w:p>
        </w:tc>
      </w:tr>
      <w:tr>
        <w:tc>
          <w:tcPr/>
          <w:p>
            <w:pPr>
              <w:pStyle w:val="Compact"/>
            </w:pPr>
            <w:r>
              <w:t xml:space="preserve">Fecha de la última corrida exitosa del canal de construcción</w:t>
            </w:r>
          </w:p>
        </w:tc>
        <w:tc>
          <w:tcPr/>
          <w:p>
            <w:pPr>
              <w:pStyle w:val="Compact"/>
            </w:pPr>
            <w:r>
              <w:t xml:space="preserve">15/10/2026, 20:16 (UTC−3): corrida n.º 38822464930 sobre la etiqueta</w:t>
            </w:r>
            <w:r>
              <w:t xml:space="preserve"> </w:t>
            </w:r>
            <w:r>
              <w:rPr>
                <w:rStyle w:val="VerbatimChar"/>
              </w:rPr>
              <w:t xml:space="preserve">v1</w:t>
            </w:r>
            <w:r>
              <w:t xml:space="preserve"> </w:t>
            </w:r>
            <w:r>
              <w:t xml:space="preserve">(</w:t>
            </w:r>
            <w:r>
              <w:rPr>
                <w:rStyle w:val="VerbatimChar"/>
              </w:rPr>
              <w:t xml:space="preserve">a57c26b</w:t>
            </w:r>
            <w:r>
              <w:t xml:space="preserve">), exitosa en Ubuntu y Windows, incluida la referencia nativa</w:t>
            </w:r>
          </w:p>
        </w:tc>
      </w:tr>
    </w:tbl>
    <w:p>
      <w:pPr>
        <w:pStyle w:val="BodyText"/>
      </w:pPr>
      <w:r>
        <w:rPr>
          <w:b/>
          <w:bCs/>
        </w:rPr>
        <w:t xml:space="preserve">35.2 · Prueba de clonado en máquina limpia</w:t>
      </w:r>
    </w:p>
    <w:p>
      <w:pPr>
        <w:pStyle w:val="BodyText"/>
      </w:pPr>
      <w:r>
        <w:t xml:space="preserve">La realiza un integrante que no construyó el esqueleto, en una computadora distinta de la del autor, siguiendo únicamente el archivo de lectura y sin agregar pasos de memoria. Si hace falta agregar alguno, ese paso debe escribirse en el archivo y la prueba se repite.</w:t>
      </w:r>
    </w:p>
    <w:tbl>
      <w:tblPr>
        <w:tblStyle w:val="Table"/>
        <w:tblW w:type="pct" w:w="5000"/>
        <w:tblLayout w:type="fixed"/>
        <w:tblLook w:firstRow="1" w:lastRow="0" w:firstColumn="0" w:lastColumn="0" w:noHBand="0" w:noVBand="0" w:val="0020"/>
      </w:tblPr>
      <w:tblGrid>
        <w:gridCol w:w="344"/>
        <w:gridCol w:w="1836"/>
        <w:gridCol w:w="3443"/>
        <w:gridCol w:w="2295"/>
      </w:tblGrid>
      <w:tr>
        <w:trPr>
          <w:tblHeader w:val="on"/>
        </w:trPr>
        <w:tc>
          <w:tcPr/>
          <w:p>
            <w:pPr>
              <w:pStyle w:val="Compact"/>
            </w:pPr>
            <w:r>
              <w:rPr>
                <w:b/>
                <w:bCs/>
              </w:rPr>
              <w:t xml:space="preserve">#</w:t>
            </w:r>
          </w:p>
        </w:tc>
        <w:tc>
          <w:tcPr/>
          <w:p>
            <w:pPr>
              <w:pStyle w:val="Compact"/>
            </w:pPr>
            <w:r>
              <w:rPr>
                <w:b/>
                <w:bCs/>
              </w:rPr>
              <w:t xml:space="preserve">Paso</w:t>
            </w:r>
          </w:p>
        </w:tc>
        <w:tc>
          <w:tcPr/>
          <w:p>
            <w:pPr>
              <w:pStyle w:val="Compact"/>
            </w:pPr>
            <w:r>
              <w:rPr>
                <w:b/>
                <w:bCs/>
              </w:rPr>
              <w:t xml:space="preserve">Resultado</w:t>
            </w:r>
          </w:p>
        </w:tc>
        <w:tc>
          <w:tcPr/>
          <w:p>
            <w:pPr>
              <w:pStyle w:val="Compact"/>
            </w:pPr>
            <w:r>
              <w:rPr>
                <w:b/>
                <w:bCs/>
              </w:rPr>
              <w:t xml:space="preserve">Quién lo verificó y cuándo</w:t>
            </w:r>
          </w:p>
        </w:tc>
      </w:tr>
      <w:tr>
        <w:tc>
          <w:tcPr/>
          <w:p>
            <w:pPr>
              <w:pStyle w:val="Compact"/>
            </w:pPr>
            <w:r>
              <w:t xml:space="preserve">1</w:t>
            </w:r>
          </w:p>
        </w:tc>
        <w:tc>
          <w:tcPr/>
          <w:p>
            <w:pPr>
              <w:pStyle w:val="Compact"/>
            </w:pPr>
            <w:r>
              <w:t xml:space="preserve">Clonado del repositorio en una carpeta nueva</w:t>
            </w:r>
          </w:p>
        </w:tc>
        <w:tc>
          <w:tcPr/>
          <w:p>
            <w:pPr>
              <w:pStyle w:val="Compact"/>
            </w:pPr>
            <w:r>
              <w:t xml:space="preserve">Correcto:</w:t>
            </w:r>
            <w:r>
              <w:t xml:space="preserve"> </w:t>
            </w:r>
            <w:r>
              <w:rPr>
                <w:rStyle w:val="VerbatimChar"/>
              </w:rPr>
              <w:t xml:space="preserve">git clone</w:t>
            </w:r>
            <w:r>
              <w:t xml:space="preserve"> </w:t>
            </w:r>
            <w:r>
              <w:t xml:space="preserve">termina con código 0; la rama</w:t>
            </w:r>
            <w:r>
              <w:t xml:space="preserve"> </w:t>
            </w:r>
            <w:r>
              <w:rPr>
                <w:rStyle w:val="VerbatimChar"/>
              </w:rPr>
              <w:t xml:space="preserve">main</w:t>
            </w:r>
            <w:r>
              <w:t xml:space="preserve"> </w:t>
            </w:r>
            <w:r>
              <w:t xml:space="preserve">queda en</w:t>
            </w:r>
            <w:r>
              <w:t xml:space="preserve"> </w:t>
            </w:r>
            <w:r>
              <w:rPr>
                <w:rStyle w:val="VerbatimChar"/>
              </w:rPr>
              <w:t xml:space="preserve">4d5bac6</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2</w:t>
            </w:r>
          </w:p>
        </w:tc>
        <w:tc>
          <w:tcPr/>
          <w:p>
            <w:pPr>
              <w:pStyle w:val="Compact"/>
            </w:pPr>
            <w:r>
              <w:t xml:space="preserve">Posicionamiento en la etiqueta v1</w:t>
            </w:r>
          </w:p>
        </w:tc>
        <w:tc>
          <w:tcPr/>
          <w:p>
            <w:pPr>
              <w:pStyle w:val="Compact"/>
            </w:pPr>
            <w:r>
              <w:t xml:space="preserve">Correcto en la repetición:</w:t>
            </w:r>
            <w:r>
              <w:t xml:space="preserve"> </w:t>
            </w:r>
            <w:r>
              <w:rPr>
                <w:rStyle w:val="VerbatimChar"/>
              </w:rPr>
              <w:t xml:space="preserve">git checkout v1</w:t>
            </w:r>
            <w:r>
              <w:t xml:space="preserve"> </w:t>
            </w:r>
            <w:r>
              <w:t xml:space="preserve">posiciona en</w:t>
            </w:r>
            <w:r>
              <w:t xml:space="preserve"> </w:t>
            </w:r>
            <w:r>
              <w:rPr>
                <w:rStyle w:val="VerbatimChar"/>
              </w:rPr>
              <w:t xml:space="preserve">a57c26b</w:t>
            </w:r>
            <w:r>
              <w:t xml:space="preserve"> </w:t>
            </w:r>
            <w:r>
              <w:t xml:space="preserve">y</w:t>
            </w:r>
            <w:r>
              <w:t xml:space="preserve"> </w:t>
            </w:r>
            <w:r>
              <w:rPr>
                <w:rStyle w:val="VerbatimChar"/>
              </w:rPr>
              <w:t xml:space="preserve">git describe --tags</w:t>
            </w:r>
            <w:r>
              <w:t xml:space="preserve"> </w:t>
            </w:r>
            <w:r>
              <w:t xml:space="preserve">devuelve</w:t>
            </w:r>
            <w:r>
              <w:t xml:space="preserve"> </w:t>
            </w:r>
            <w:r>
              <w:rPr>
                <w:rStyle w:val="VerbatimChar"/>
              </w:rPr>
              <w:t xml:space="preserve">v1</w:t>
            </w:r>
            <w:r>
              <w:t xml:space="preserve">. En la primera ejecución la etiqueta no existía y la prueba siguió sobre</w:t>
            </w:r>
            <w:r>
              <w:t xml:space="preserve"> </w:t>
            </w:r>
            <w:r>
              <w:rPr>
                <w:rStyle w:val="VerbatimChar"/>
              </w:rPr>
              <w:t xml:space="preserve">main</w:t>
            </w:r>
            <w:r>
              <w:t xml:space="preserve"> </w:t>
            </w:r>
            <w:r>
              <w:t xml:space="preserve">(</w:t>
            </w:r>
            <w:r>
              <w:rPr>
                <w:rStyle w:val="VerbatimChar"/>
              </w:rPr>
              <w:t xml:space="preserve">4d5bac6</w:t>
            </w:r>
            <w:r>
              <w:t xml:space="preserve">)</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3</w:t>
            </w:r>
          </w:p>
        </w:tc>
        <w:tc>
          <w:tcPr/>
          <w:p>
            <w:pPr>
              <w:pStyle w:val="Compact"/>
            </w:pPr>
            <w:r>
              <w:t xml:space="preserve">Instalación de dependencias según el archivo de lectura</w:t>
            </w:r>
          </w:p>
        </w:tc>
        <w:tc>
          <w:tcPr/>
          <w:p>
            <w:pPr>
              <w:pStyle w:val="Compact"/>
            </w:pPr>
            <w:r>
              <w:t xml:space="preserve">Correcto con observación: en Ubuntu limpio el instalador de Bun del archivo de lectura exige</w:t>
            </w:r>
            <w:r>
              <w:t xml:space="preserve"> </w:t>
            </w:r>
            <w:r>
              <w:rPr>
                <w:rStyle w:val="VerbatimChar"/>
              </w:rPr>
              <w:t xml:space="preserve">curl</w:t>
            </w:r>
            <w:r>
              <w:t xml:space="preserve"> </w:t>
            </w:r>
            <w:r>
              <w:t xml:space="preserve">y</w:t>
            </w:r>
            <w:r>
              <w:t xml:space="preserve"> </w:t>
            </w:r>
            <w:r>
              <w:rPr>
                <w:rStyle w:val="VerbatimChar"/>
              </w:rPr>
              <w:t xml:space="preserve">unzip</w:t>
            </w:r>
            <w:r>
              <w:t xml:space="preserve">, que el §3 no menciona; instalados, Bun 1.3.14 y SQLite 3.53.0 coinciden y</w:t>
            </w:r>
            <w:r>
              <w:t xml:space="preserve"> </w:t>
            </w:r>
            <w:r>
              <w:rPr>
                <w:rStyle w:val="VerbatimChar"/>
              </w:rPr>
              <w:t xml:space="preserve">bun install --frozen-lockfile</w:t>
            </w:r>
            <w:r>
              <w:t xml:space="preserve"> </w:t>
            </w:r>
            <w:r>
              <w:t xml:space="preserve">termina con código 0</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4</w:t>
            </w:r>
          </w:p>
        </w:tc>
        <w:tc>
          <w:tcPr/>
          <w:p>
            <w:pPr>
              <w:pStyle w:val="Compact"/>
            </w:pPr>
            <w:r>
              <w:t xml:space="preserve">Configuración de variables a partir del archivo de ejemplo</w:t>
            </w:r>
          </w:p>
        </w:tc>
        <w:tc>
          <w:tcPr/>
          <w:p>
            <w:pPr>
              <w:pStyle w:val="Compact"/>
            </w:pPr>
            <w:r>
              <w:t xml:space="preserve">Correcto: la copia de</w:t>
            </w:r>
            <w:r>
              <w:t xml:space="preserve"> </w:t>
            </w:r>
            <w:r>
              <w:rPr>
                <w:rStyle w:val="VerbatimChar"/>
              </w:rPr>
              <w:t xml:space="preserve">rige.env.example</w:t>
            </w:r>
            <w:r>
              <w:t xml:space="preserve"> </w:t>
            </w:r>
            <w:r>
              <w:t xml:space="preserve">a</w:t>
            </w:r>
            <w:r>
              <w:t xml:space="preserve"> </w:t>
            </w:r>
            <w:r>
              <w:rPr>
                <w:rStyle w:val="VerbatimChar"/>
              </w:rPr>
              <w:t xml:space="preserve">rige.env</w:t>
            </w:r>
            <w:r>
              <w:t xml:space="preserve"> </w:t>
            </w:r>
            <w:r>
              <w:t xml:space="preserve">termina sin errores</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5</w:t>
            </w:r>
          </w:p>
        </w:tc>
        <w:tc>
          <w:tcPr/>
          <w:p>
            <w:pPr>
              <w:pStyle w:val="Compact"/>
            </w:pPr>
            <w:r>
              <w:t xml:space="preserve">Creación del esquema de la base de datos</w:t>
            </w:r>
          </w:p>
        </w:tc>
        <w:tc>
          <w:tcPr/>
          <w:p>
            <w:pPr>
              <w:pStyle w:val="Compact"/>
            </w:pPr>
            <w:r>
              <w:t xml:space="preserve">Correcto:</w:t>
            </w:r>
            <w:r>
              <w:t xml:space="preserve"> </w:t>
            </w:r>
            <w:r>
              <w:rPr>
                <w:rStyle w:val="VerbatimChar"/>
              </w:rPr>
              <w:t xml:space="preserve">bun run esquema</w:t>
            </w:r>
            <w:r>
              <w:t xml:space="preserve"> </w:t>
            </w:r>
            <w:r>
              <w:t xml:space="preserve">devuelve el JSON esperado con</w:t>
            </w:r>
            <w:r>
              <w:t xml:space="preserve"> </w:t>
            </w:r>
            <w:r>
              <w:rPr>
                <w:rStyle w:val="VerbatimChar"/>
              </w:rPr>
              <w:t xml:space="preserve">versionEsquema: 1</w:t>
            </w:r>
            <w:r>
              <w:t xml:space="preserve">; repetirlo no cambia nada</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6</w:t>
            </w:r>
          </w:p>
        </w:tc>
        <w:tc>
          <w:tcPr/>
          <w:p>
            <w:pPr>
              <w:pStyle w:val="Compact"/>
            </w:pPr>
            <w:r>
              <w:t xml:space="preserve">Arranque de la aplicación</w:t>
            </w:r>
          </w:p>
        </w:tc>
        <w:tc>
          <w:tcPr/>
          <w:p>
            <w:pPr>
              <w:pStyle w:val="Compact"/>
            </w:pPr>
            <w:r>
              <w:t xml:space="preserve">Correcto:</w:t>
            </w:r>
            <w:r>
              <w:t xml:space="preserve"> </w:t>
            </w:r>
            <w:r>
              <w:rPr>
                <w:rStyle w:val="VerbatimChar"/>
              </w:rPr>
              <w:t xml:space="preserve">bun run servir</w:t>
            </w:r>
            <w:r>
              <w:t xml:space="preserve"> </w:t>
            </w:r>
            <w:r>
              <w:t xml:space="preserve">escribe la dirección</w:t>
            </w:r>
            <w:r>
              <w:t xml:space="preserve"> </w:t>
            </w:r>
            <w:r>
              <w:rPr>
                <w:rStyle w:val="VerbatimChar"/>
              </w:rPr>
              <w:t xml:space="preserve">http://127.0.0.1:4747</w:t>
            </w:r>
            <w:r>
              <w:t xml:space="preserve"> </w:t>
            </w:r>
            <w:r>
              <w:t xml:space="preserve">y la página inicial muestra «RIGE 0.1.0»</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7</w:t>
            </w:r>
          </w:p>
        </w:tc>
        <w:tc>
          <w:tcPr/>
          <w:p>
            <w:pPr>
              <w:pStyle w:val="Compact"/>
            </w:pPr>
            <w:r>
              <w:t xml:space="preserve">Ejecución del caso de uso vertical de punta a punta</w:t>
            </w:r>
          </w:p>
        </w:tc>
        <w:tc>
          <w:tcPr/>
          <w:p>
            <w:pPr>
              <w:pStyle w:val="Compact"/>
            </w:pPr>
            <w:r>
              <w:t xml:space="preserve">Correcto:</w:t>
            </w:r>
            <w:r>
              <w:t xml:space="preserve"> </w:t>
            </w:r>
            <w:r>
              <w:rPr>
                <w:rStyle w:val="VerbatimChar"/>
              </w:rPr>
              <w:t xml:space="preserve">temperature</w:t>
            </w:r>
            <w:r>
              <w:t xml:space="preserve"> </w:t>
            </w:r>
            <w:r>
              <w:t xml:space="preserve">=</w:t>
            </w:r>
            <w:r>
              <w:t xml:space="preserve"> </w:t>
            </w:r>
            <w:r>
              <w:rPr>
                <w:rStyle w:val="VerbatimChar"/>
              </w:rPr>
              <w:t xml:space="preserve">0.3</w:t>
            </w:r>
            <w:r>
              <w:t xml:space="preserve"> </w:t>
            </w:r>
            <w:r>
              <w:t xml:space="preserve">declarada en</w:t>
            </w:r>
            <w:r>
              <w:t xml:space="preserve"> </w:t>
            </w:r>
            <w:r>
              <w:rPr>
                <w:rStyle w:val="VerbatimChar"/>
              </w:rPr>
              <w:t xml:space="preserve">proyecto/opencode.jsonc:6:7</w:t>
            </w:r>
            <w:r>
              <w:t xml:space="preserve">, con</w:t>
            </w:r>
            <w:r>
              <w:t xml:space="preserve"> </w:t>
            </w:r>
            <w:r>
              <w:rPr>
                <w:rStyle w:val="VerbatimChar"/>
              </w:rPr>
              <w:t xml:space="preserve">0.1</w:t>
            </w:r>
            <w:r>
              <w:t xml:space="preserve"> </w:t>
            </w:r>
            <w:r>
              <w:t xml:space="preserve">y</w:t>
            </w:r>
            <w:r>
              <w:t xml:space="preserve"> </w:t>
            </w:r>
            <w:r>
              <w:rPr>
                <w:rStyle w:val="VerbatimChar"/>
              </w:rPr>
              <w:t xml:space="preserve">0.2</w:t>
            </w:r>
            <w:r>
              <w:t xml:space="preserve"> </w:t>
            </w:r>
            <w:r>
              <w:t xml:space="preserve">desplazadas en el orden del archivo de lectura y la regla RD-01; la variante sin clave devuelve</w:t>
            </w:r>
            <w:r>
              <w:t xml:space="preserve"> </w:t>
            </w:r>
            <w:r>
              <w:rPr>
                <w:rStyle w:val="VerbatimChar"/>
              </w:rPr>
              <w:t xml:space="preserve">description</w:t>
            </w:r>
            <w:r>
              <w:t xml:space="preserve">,</w:t>
            </w:r>
            <w:r>
              <w:t xml:space="preserve"> </w:t>
            </w:r>
            <w:r>
              <w:rPr>
                <w:rStyle w:val="VerbatimChar"/>
              </w:rPr>
              <w:t xml:space="preserve">steps</w:t>
            </w:r>
            <w:r>
              <w:t xml:space="preserve"> </w:t>
            </w:r>
            <w:r>
              <w:t xml:space="preserve">y</w:t>
            </w:r>
            <w:r>
              <w:t xml:space="preserve"> </w:t>
            </w:r>
            <w:r>
              <w:rPr>
                <w:rStyle w:val="VerbatimChar"/>
              </w:rPr>
              <w:t xml:space="preserve">temperature</w:t>
            </w:r>
            <w:r>
              <w:t xml:space="preserve">;</w:t>
            </w:r>
            <w:r>
              <w:t xml:space="preserve"> </w:t>
            </w:r>
            <w:r>
              <w:rPr>
                <w:rStyle w:val="VerbatimChar"/>
              </w:rPr>
              <w:t xml:space="preserve">bun run verificar</w:t>
            </w:r>
            <w:r>
              <w:t xml:space="preserve"> </w:t>
            </w:r>
            <w:r>
              <w:t xml:space="preserve">y</w:t>
            </w:r>
            <w:r>
              <w:t xml:space="preserve"> </w:t>
            </w:r>
            <w:r>
              <w:rPr>
                <w:rStyle w:val="VerbatimChar"/>
              </w:rPr>
              <w:t xml:space="preserve">bun test</w:t>
            </w:r>
            <w:r>
              <w:t xml:space="preserve"> </w:t>
            </w:r>
            <w:r>
              <w:t xml:space="preserve">terminan con código 0 (382 pruebas, ninguna falla)</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8</w:t>
            </w:r>
          </w:p>
        </w:tc>
        <w:tc>
          <w:tcPr/>
          <w:p>
            <w:pPr>
              <w:pStyle w:val="Compact"/>
            </w:pPr>
            <w:r>
              <w:t xml:space="preserve">Verificación de que el dato persiste y se recupera</w:t>
            </w:r>
          </w:p>
        </w:tc>
        <w:tc>
          <w:tcPr/>
          <w:p>
            <w:pPr>
              <w:pStyle w:val="Compact"/>
            </w:pPr>
            <w:r>
              <w:t xml:space="preserve">Correcto: detenido y reiniciado el servidor, la misma dirección muestra la resolución 1 «leída del almacén de RIGE»</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r>
        <w:tc>
          <w:tcPr/>
          <w:p>
            <w:pPr>
              <w:pStyle w:val="Compact"/>
            </w:pPr>
            <w:r>
              <w:t xml:space="preserve">9</w:t>
            </w:r>
          </w:p>
        </w:tc>
        <w:tc>
          <w:tcPr/>
          <w:p>
            <w:pPr>
              <w:pStyle w:val="Compact"/>
            </w:pPr>
            <w:r>
              <w:t xml:space="preserve">Consulta del registro de corridas del canal de construcción</w:t>
            </w:r>
          </w:p>
        </w:tc>
        <w:tc>
          <w:tcPr/>
          <w:p>
            <w:pPr>
              <w:pStyle w:val="Compact"/>
            </w:pPr>
            <w:r>
              <w:t xml:space="preserve">Correcto: la corrida n.º 38822464930 sobre la etiqueta</w:t>
            </w:r>
            <w:r>
              <w:t xml:space="preserve"> </w:t>
            </w:r>
            <w:r>
              <w:rPr>
                <w:rStyle w:val="VerbatimChar"/>
              </w:rPr>
              <w:t xml:space="preserve">v1</w:t>
            </w:r>
            <w:r>
              <w:t xml:space="preserve"> </w:t>
            </w:r>
            <w:r>
              <w:t xml:space="preserve">(15/10/2026) terminó con éxito en Ubuntu y Windows, incluida la referencia nativa</w:t>
            </w:r>
          </w:p>
        </w:tc>
        <w:tc>
          <w:tcPr/>
          <w:p>
            <w:pPr>
              <w:pStyle w:val="Compact"/>
            </w:pPr>
            <w:r>
              <w:t xml:space="preserve">Claude Code (</w:t>
            </w:r>
            <w:r>
              <w:rPr>
                <w:rStyle w:val="VerbatimChar"/>
              </w:rPr>
              <w:t xml:space="preserve">claude-opus-5-5</w:t>
            </w:r>
            <w:r>
              <w:t xml:space="preserve">), por pedido del autor; contenedor Ubuntu 26.04.1 LTS limpio (Docker, 12 procesadores, 8 GB), usuario sin privilegios; 15/10/2026</w:t>
            </w:r>
          </w:p>
        </w:tc>
      </w:tr>
    </w:tbl>
    <w:p>
      <w:pPr>
        <w:pStyle w:val="BodyText"/>
      </w:pPr>
      <w:r>
        <w:rPr>
          <w:b/>
          <w:bCs/>
        </w:rPr>
        <w:t xml:space="preserve">Ejecución de esta prueba.</w:t>
      </w:r>
      <w:r>
        <w:t xml:space="preserve"> </w:t>
      </w:r>
      <w:r>
        <w:t xml:space="preserve">La guía pide que la haga un integrante que no construyó el esqueleto, en otra computadora. Por tratarse de un proyecto individual, la ejecutó por pedido del autor la herramienta Claude Code, en un contenedor Ubuntu 26.04.1 LTS creado para la prueba, sin nada instalado, con un usuario sin privilegios y siguiendo únicamente el archivo de lectura. Las capturas y el registro completo de la terminal están en</w:t>
      </w:r>
      <w:r>
        <w:t xml:space="preserve"> </w:t>
      </w:r>
      <w:r>
        <w:rPr>
          <w:rStyle w:val="VerbatimChar"/>
        </w:rPr>
        <w:t xml:space="preserve">01-relevamiento/evidencia/prueba-clonado_20261015/</w:t>
      </w:r>
      <w:r>
        <w:t xml:space="preserve">.</w:t>
      </w:r>
    </w:p>
    <w:p>
      <w:pPr>
        <w:pStyle w:val="BodyText"/>
      </w:pPr>
      <w:r>
        <w:rPr>
          <w:b/>
          <w:bCs/>
        </w:rPr>
        <w:t xml:space="preserve">Pasos que faltan en el archivo de lectura.</w:t>
      </w:r>
      <w:r>
        <w:t xml:space="preserve"> </w:t>
      </w:r>
      <w:r>
        <w:t xml:space="preserve">En Ubuntu limpio, el comando de instalación de Bun del §3 requiere</w:t>
      </w:r>
      <w:r>
        <w:t xml:space="preserve"> </w:t>
      </w:r>
      <w:r>
        <w:rPr>
          <w:rStyle w:val="VerbatimChar"/>
        </w:rPr>
        <w:t xml:space="preserve">curl</w:t>
      </w:r>
      <w:r>
        <w:t xml:space="preserve"> </w:t>
      </w:r>
      <w:r>
        <w:t xml:space="preserve">y</w:t>
      </w:r>
      <w:r>
        <w:t xml:space="preserve"> </w:t>
      </w:r>
      <w:r>
        <w:rPr>
          <w:rStyle w:val="VerbatimChar"/>
        </w:rPr>
        <w:t xml:space="preserve">unzip</w:t>
      </w:r>
      <w:r>
        <w:t xml:space="preserve">, que el archivo no enumera como requisitos previos. Se agregaron al §3 (ficha V1-14, commit</w:t>
      </w:r>
      <w:r>
        <w:t xml:space="preserve"> </w:t>
      </w:r>
      <w:r>
        <w:rPr>
          <w:rStyle w:val="VerbatimChar"/>
        </w:rPr>
        <w:t xml:space="preserve">16029fb</w:t>
      </w:r>
      <w:r>
        <w:t xml:space="preserve">). La prueba se repitió el mismo día sobre la etiqueta</w:t>
      </w:r>
      <w:r>
        <w:t xml:space="preserve"> </w:t>
      </w:r>
      <w:r>
        <w:rPr>
          <w:rStyle w:val="VerbatimChar"/>
        </w:rPr>
        <w:t xml:space="preserve">v1</w:t>
      </w:r>
      <w:r>
        <w:t xml:space="preserve">, en un contenedor limpio nuevo, siguiendo el §3 corregido: todos los pasos terminaron con código 0 y</w:t>
      </w:r>
      <w:r>
        <w:t xml:space="preserve"> </w:t>
      </w:r>
      <w:r>
        <w:rPr>
          <w:rStyle w:val="VerbatimChar"/>
        </w:rPr>
        <w:t xml:space="preserve">bun test</w:t>
      </w:r>
      <w:r>
        <w:t xml:space="preserve"> </w:t>
      </w:r>
      <w:r>
        <w:t xml:space="preserve">informó 383 pruebas sin fallas (</w:t>
      </w:r>
      <w:r>
        <w:rPr>
          <w:rStyle w:val="VerbatimChar"/>
        </w:rPr>
        <w:t xml:space="preserve">registro-terminal-v1.txt</w:t>
      </w:r>
      <w:r>
        <w:t xml:space="preserve">).</w:t>
      </w:r>
    </w:p>
    <w:p>
      <w:pPr>
        <w:pStyle w:val="BlockText"/>
      </w:pPr>
      <w:r>
        <w:rPr>
          <w:b/>
          <w:bCs/>
        </w:rPr>
        <w:t xml:space="preserve">◆ Condición material del cómputo.</w:t>
      </w:r>
      <w:r>
        <w:t xml:space="preserve"> </w:t>
      </w:r>
      <w:r>
        <w:t xml:space="preserve">La cátedra clona el repositorio en la etiqueta v1, sigue las instrucciones del archivo de lectura y ejecuta. Un esqueleto que no arranca, no compila o carece de instrucciones no se computa como entregado, con independencia de la calidad del documento que lo acompañe.</w:t>
      </w:r>
    </w:p>
    <w:p>
      <w:pPr>
        <w:pStyle w:val="FirstParagraph"/>
      </w:pPr>
      <w:r>
        <w:rPr>
          <w:b/>
          <w:bCs/>
        </w:rPr>
        <w:t xml:space="preserve">Capturas de la prueba de clonado (15/10/2026)</w:t>
      </w:r>
    </w:p>
    <w:p>
      <w:pPr>
        <w:pStyle w:val="BodyText"/>
      </w:pPr>
      <w:r>
        <w:rPr>
          <w:i/>
          <w:iCs/>
        </w:rPr>
        <w:t xml:space="preserve">Captura 1. Primera ejecución, pasos 1 a 6: clonado, etiqueta todavía inexistente, instalación, configuración, esquema y arranque.</w:t>
      </w:r>
    </w:p>
    <w:p>
      <w:pPr>
        <w:pStyle w:val="BodyText"/>
      </w:pPr>
      <w:r>
        <w:drawing>
          <wp:inline>
            <wp:extent cx="5397500" cy="4048125"/>
            <wp:effectExtent b="0" l="0" r="0" t="0"/>
            <wp:docPr descr="" title="" id="10" name="Picture"/>
            <a:graphic>
              <a:graphicData uri="http://schemas.openxmlformats.org/drawingml/2006/picture">
                <pic:pic>
                  <pic:nvPicPr>
                    <pic:cNvPr descr="img/terminal1.png" id="11" name="Picture"/>
                    <pic:cNvPicPr>
                      <a:picLocks noChangeArrowheads="1" noChangeAspect="1"/>
                    </pic:cNvPicPr>
                  </pic:nvPicPr>
                  <pic:blipFill>
                    <a:blip r:embed="rId9"/>
                    <a:stretch>
                      <a:fillRect/>
                    </a:stretch>
                  </pic:blipFill>
                  <pic:spPr bwMode="auto">
                    <a:xfrm>
                      <a:off x="0" y="0"/>
                      <a:ext cx="5397500" cy="4048125"/>
                    </a:xfrm>
                    <a:prstGeom prst="rect">
                      <a:avLst/>
                    </a:prstGeom>
                    <a:noFill/>
                    <a:ln w="9525">
                      <a:noFill/>
                      <a:headEnd/>
                      <a:tailEnd/>
                    </a:ln>
                  </pic:spPr>
                </pic:pic>
              </a:graphicData>
            </a:graphic>
          </wp:inline>
        </w:drawing>
      </w:r>
    </w:p>
    <w:p>
      <w:pPr>
        <w:pStyle w:val="BodyText"/>
      </w:pPr>
      <w:r>
        <w:rPr>
          <w:i/>
          <w:iCs/>
        </w:rPr>
        <w:t xml:space="preserve">Captura 2. Paso 6: página inicial con el formulario.</w:t>
      </w:r>
    </w:p>
    <w:p>
      <w:pPr>
        <w:pStyle w:val="BodyText"/>
      </w:pPr>
      <w:r>
        <w:drawing>
          <wp:inline>
            <wp:extent cx="5397500" cy="3148541"/>
            <wp:effectExtent b="0" l="0" r="0" t="0"/>
            <wp:docPr descr="" title="" id="13" name="Picture"/>
            <a:graphic>
              <a:graphicData uri="http://schemas.openxmlformats.org/drawingml/2006/picture">
                <pic:pic>
                  <pic:nvPicPr>
                    <pic:cNvPr descr="img/inicio.png" id="14" name="Picture"/>
                    <pic:cNvPicPr>
                      <a:picLocks noChangeArrowheads="1" noChangeAspect="1"/>
                    </pic:cNvPicPr>
                  </pic:nvPicPr>
                  <pic:blipFill>
                    <a:blip r:embed="rId12"/>
                    <a:stretch>
                      <a:fillRect/>
                    </a:stretch>
                  </pic:blipFill>
                  <pic:spPr bwMode="auto">
                    <a:xfrm>
                      <a:off x="0" y="0"/>
                      <a:ext cx="5397500" cy="3148541"/>
                    </a:xfrm>
                    <a:prstGeom prst="rect">
                      <a:avLst/>
                    </a:prstGeom>
                    <a:noFill/>
                    <a:ln w="9525">
                      <a:noFill/>
                      <a:headEnd/>
                      <a:tailEnd/>
                    </a:ln>
                  </pic:spPr>
                </pic:pic>
              </a:graphicData>
            </a:graphic>
          </wp:inline>
        </w:drawing>
      </w:r>
    </w:p>
    <w:p>
      <w:pPr>
        <w:pStyle w:val="BodyText"/>
      </w:pPr>
      <w:r>
        <w:rPr>
          <w:i/>
          <w:iCs/>
        </w:rPr>
        <w:t xml:space="preserve">Captura 3. Paso 7: resolución de</w:t>
      </w:r>
      <w:r>
        <w:rPr>
          <w:i/>
          <w:iCs/>
        </w:rPr>
        <w:t xml:space="preserve"> </w:t>
      </w:r>
      <w:r>
        <w:rPr>
          <w:rStyle w:val="VerbatimChar"/>
          <w:i/>
          <w:iCs/>
        </w:rPr>
        <w:t xml:space="preserve">temperature</w:t>
      </w:r>
      <w:r>
        <w:rPr>
          <w:i/>
          <w:iCs/>
        </w:rPr>
        <w:t xml:space="preserve"> </w:t>
      </w:r>
      <w:r>
        <w:rPr>
          <w:i/>
          <w:iCs/>
        </w:rPr>
        <w:t xml:space="preserve">para el agente</w:t>
      </w:r>
      <w:r>
        <w:rPr>
          <w:i/>
          <w:iCs/>
        </w:rPr>
        <w:t xml:space="preserve"> </w:t>
      </w:r>
      <w:r>
        <w:rPr>
          <w:rStyle w:val="VerbatimChar"/>
          <w:i/>
          <w:iCs/>
        </w:rPr>
        <w:t xml:space="preserve">build</w:t>
      </w:r>
      <w:r>
        <w:rPr>
          <w:i/>
          <w:iCs/>
        </w:rPr>
        <w:t xml:space="preserve">, con la declaración determinante, las desplazadas y la regla RD-01.</w:t>
      </w:r>
    </w:p>
    <w:p>
      <w:pPr>
        <w:pStyle w:val="BodyText"/>
      </w:pPr>
      <w:r>
        <w:drawing>
          <wp:inline>
            <wp:extent cx="5397500" cy="5783035"/>
            <wp:effectExtent b="0" l="0" r="0" t="0"/>
            <wp:docPr descr="" title="" id="16" name="Picture"/>
            <a:graphic>
              <a:graphicData uri="http://schemas.openxmlformats.org/drawingml/2006/picture">
                <pic:pic>
                  <pic:nvPicPr>
                    <pic:cNvPr descr="img/resolucion.png" id="17" name="Picture"/>
                    <pic:cNvPicPr>
                      <a:picLocks noChangeArrowheads="1" noChangeAspect="1"/>
                    </pic:cNvPicPr>
                  </pic:nvPicPr>
                  <pic:blipFill>
                    <a:blip r:embed="rId15"/>
                    <a:stretch>
                      <a:fillRect/>
                    </a:stretch>
                  </pic:blipFill>
                  <pic:spPr bwMode="auto">
                    <a:xfrm>
                      <a:off x="0" y="0"/>
                      <a:ext cx="5397500" cy="5783035"/>
                    </a:xfrm>
                    <a:prstGeom prst="rect">
                      <a:avLst/>
                    </a:prstGeom>
                    <a:noFill/>
                    <a:ln w="9525">
                      <a:noFill/>
                      <a:headEnd/>
                      <a:tailEnd/>
                    </a:ln>
                  </pic:spPr>
                </pic:pic>
              </a:graphicData>
            </a:graphic>
          </wp:inline>
        </w:drawing>
      </w:r>
    </w:p>
    <w:p>
      <w:pPr>
        <w:pStyle w:val="BodyText"/>
      </w:pPr>
      <w:r>
        <w:rPr>
          <w:i/>
          <w:iCs/>
        </w:rPr>
        <w:t xml:space="preserve">Captura 4. Paso 7, variante: todas las claves del agente.</w:t>
      </w:r>
    </w:p>
    <w:p>
      <w:pPr>
        <w:pStyle w:val="BodyText"/>
      </w:pPr>
      <w:r>
        <w:drawing>
          <wp:inline>
            <wp:extent cx="5397500" cy="2698750"/>
            <wp:effectExtent b="0" l="0" r="0" t="0"/>
            <wp:docPr descr="" title="" id="19" name="Picture"/>
            <a:graphic>
              <a:graphicData uri="http://schemas.openxmlformats.org/drawingml/2006/picture">
                <pic:pic>
                  <pic:nvPicPr>
                    <pic:cNvPr descr="img/variante.png" id="20" name="Picture"/>
                    <pic:cNvPicPr>
                      <a:picLocks noChangeArrowheads="1" noChangeAspect="1"/>
                    </pic:cNvPicPr>
                  </pic:nvPicPr>
                  <pic:blipFill>
                    <a:blip r:embed="rId18"/>
                    <a:stretch>
                      <a:fillRect/>
                    </a:stretch>
                  </pic:blipFill>
                  <pic:spPr bwMode="auto">
                    <a:xfrm>
                      <a:off x="0" y="0"/>
                      <a:ext cx="5397500" cy="2698750"/>
                    </a:xfrm>
                    <a:prstGeom prst="rect">
                      <a:avLst/>
                    </a:prstGeom>
                    <a:noFill/>
                    <a:ln w="9525">
                      <a:noFill/>
                      <a:headEnd/>
                      <a:tailEnd/>
                    </a:ln>
                  </pic:spPr>
                </pic:pic>
              </a:graphicData>
            </a:graphic>
          </wp:inline>
        </w:drawing>
      </w:r>
    </w:p>
    <w:p>
      <w:pPr>
        <w:pStyle w:val="BodyText"/>
      </w:pPr>
      <w:r>
        <w:rPr>
          <w:i/>
          <w:iCs/>
        </w:rPr>
        <w:t xml:space="preserve">Captura 5. Paso 7: verificación de tipos y construcción, y pruebas sin fallas.</w:t>
      </w:r>
    </w:p>
    <w:p>
      <w:pPr>
        <w:pStyle w:val="BodyText"/>
      </w:pPr>
      <w:r>
        <w:drawing>
          <wp:inline>
            <wp:extent cx="5397500" cy="1889124"/>
            <wp:effectExtent b="0" l="0" r="0" t="0"/>
            <wp:docPr descr="" title="" id="22" name="Picture"/>
            <a:graphic>
              <a:graphicData uri="http://schemas.openxmlformats.org/drawingml/2006/picture">
                <pic:pic>
                  <pic:nvPicPr>
                    <pic:cNvPr descr="img/terminal2.png" id="23" name="Picture"/>
                    <pic:cNvPicPr>
                      <a:picLocks noChangeArrowheads="1" noChangeAspect="1"/>
                    </pic:cNvPicPr>
                  </pic:nvPicPr>
                  <pic:blipFill>
                    <a:blip r:embed="rId21"/>
                    <a:stretch>
                      <a:fillRect/>
                    </a:stretch>
                  </pic:blipFill>
                  <pic:spPr bwMode="auto">
                    <a:xfrm>
                      <a:off x="0" y="0"/>
                      <a:ext cx="5397500" cy="1889124"/>
                    </a:xfrm>
                    <a:prstGeom prst="rect">
                      <a:avLst/>
                    </a:prstGeom>
                    <a:noFill/>
                    <a:ln w="9525">
                      <a:noFill/>
                      <a:headEnd/>
                      <a:tailEnd/>
                    </a:ln>
                  </pic:spPr>
                </pic:pic>
              </a:graphicData>
            </a:graphic>
          </wp:inline>
        </w:drawing>
      </w:r>
    </w:p>
    <w:p>
      <w:pPr>
        <w:pStyle w:val="BodyText"/>
      </w:pPr>
      <w:r>
        <w:rPr>
          <w:i/>
          <w:iCs/>
        </w:rPr>
        <w:t xml:space="preserve">Captura 6. Paso 8: después de reiniciar el servidor, la resolución se lee del almacén.</w:t>
      </w:r>
    </w:p>
    <w:p>
      <w:pPr>
        <w:pStyle w:val="BodyText"/>
      </w:pPr>
      <w:r>
        <w:drawing>
          <wp:inline>
            <wp:extent cx="5397500" cy="4048125"/>
            <wp:effectExtent b="0" l="0" r="0" t="0"/>
            <wp:docPr descr="" title="" id="25" name="Picture"/>
            <a:graphic>
              <a:graphicData uri="http://schemas.openxmlformats.org/drawingml/2006/picture">
                <pic:pic>
                  <pic:nvPicPr>
                    <pic:cNvPr descr="img/persistencia.png" id="26" name="Picture"/>
                    <pic:cNvPicPr>
                      <a:picLocks noChangeArrowheads="1" noChangeAspect="1"/>
                    </pic:cNvPicPr>
                  </pic:nvPicPr>
                  <pic:blipFill>
                    <a:blip r:embed="rId24"/>
                    <a:stretch>
                      <a:fillRect/>
                    </a:stretch>
                  </pic:blipFill>
                  <pic:spPr bwMode="auto">
                    <a:xfrm>
                      <a:off x="0" y="0"/>
                      <a:ext cx="5397500" cy="4048125"/>
                    </a:xfrm>
                    <a:prstGeom prst="rect">
                      <a:avLst/>
                    </a:prstGeom>
                    <a:noFill/>
                    <a:ln w="9525">
                      <a:noFill/>
                      <a:headEnd/>
                      <a:tailEnd/>
                    </a:ln>
                  </pic:spPr>
                </pic:pic>
              </a:graphicData>
            </a:graphic>
          </wp:inline>
        </w:drawing>
      </w:r>
    </w:p>
    <w:p>
      <w:pPr>
        <w:pStyle w:val="BodyText"/>
      </w:pPr>
      <w:r>
        <w:rPr>
          <w:i/>
          <w:iCs/>
        </w:rPr>
        <w:t xml:space="preserve">Captura 7. Paso 9: registro de corridas del canal de construcción en GitHub Actions.</w:t>
      </w:r>
    </w:p>
    <w:p>
      <w:pPr>
        <w:pStyle w:val="BodyText"/>
      </w:pPr>
      <w:r>
        <w:drawing>
          <wp:inline>
            <wp:extent cx="5397500" cy="3736730"/>
            <wp:effectExtent b="0" l="0" r="0" t="0"/>
            <wp:docPr descr="" title="" id="28" name="Picture"/>
            <a:graphic>
              <a:graphicData uri="http://schemas.openxmlformats.org/drawingml/2006/picture">
                <pic:pic>
                  <pic:nvPicPr>
                    <pic:cNvPr descr="img/ci.png" id="29" name="Picture"/>
                    <pic:cNvPicPr>
                      <a:picLocks noChangeArrowheads="1" noChangeAspect="1"/>
                    </pic:cNvPicPr>
                  </pic:nvPicPr>
                  <pic:blipFill>
                    <a:blip r:embed="rId27"/>
                    <a:stretch>
                      <a:fillRect/>
                    </a:stretch>
                  </pic:blipFill>
                  <pic:spPr bwMode="auto">
                    <a:xfrm>
                      <a:off x="0" y="0"/>
                      <a:ext cx="5397500" cy="3736730"/>
                    </a:xfrm>
                    <a:prstGeom prst="rect">
                      <a:avLst/>
                    </a:prstGeom>
                    <a:noFill/>
                    <a:ln w="9525">
                      <a:noFill/>
                      <a:headEnd/>
                      <a:tailEnd/>
                    </a:ln>
                  </pic:spPr>
                </pic:pic>
              </a:graphicData>
            </a:graphic>
          </wp:inline>
        </w:drawing>
      </w:r>
    </w:p>
    <w:bookmarkEnd w:id="30"/>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 Type="http://schemas.openxmlformats.org/officeDocument/2006/relationships/image" Id="rId27" Target="media/rId27.png"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2026-10-15T23:23:03Z</dcterms:created>
  <dcterms:modified xsi:type="dcterms:W3CDTF">2026-10-15T23:23:03Z</dcterms:modified>
</cp:coreProperties>
</file>

<file path=docProps/custom.xml><?xml version="1.0" encoding="utf-8"?>
<Properties xmlns="http://schemas.openxmlformats.org/officeDocument/2006/custom-properties" xmlns:vt="http://schemas.openxmlformats.org/officeDocument/2006/docPropsVTypes"/>
</file>