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DBCE587">
      <w:pPr>
        <w:pStyle w:val="Heading1"/>
        <w:jc w:val="center"/>
      </w:pPr>
      <w:r>
        <w:rPr>
          <w:rFonts w:ascii="Times New Roman" w:hAnsi="Times New Roman" w:eastAsia="Times New Roman" w:cs="Times New Roman"/>
          <w:b/>
          <w:bCs/>
          <w:color w:val="000000"/>
          <w:sz w:val="28"/>
          <w:szCs w:val="28"/>
        </w:rPr>
        <w:t>Bitácora individual de proceso y decisiones</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904"/>
        <w:gridCol w:w="6600"/>
      </w:tblGrid>
      <w:tr>
        <w:trPr>
          <w:tblHeader/>
        </w:trPr>
        <w:tc>
          <w:tcPr>
            <w:tcW w:w="2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F1D2E36">
            <w:pPr>
              <w:pStyle w:val="Compact"/>
              <w:jc w:val="left"/>
            </w:pPr>
            <w:r>
              <w:rPr>
                <w:rFonts w:ascii="Times New Roman" w:hAnsi="Times New Roman" w:eastAsia="Times New Roman" w:cs="Times New Roman"/>
                <w:b/>
                <w:bCs/>
                <w:color w:val="000000"/>
                <w:sz w:val="24"/>
                <w:szCs w:val="24"/>
              </w:rPr>
              <w:t>Identificación</w:t>
            </w:r>
          </w:p>
        </w:tc>
        <w:tc>
          <w:tcPr>
            <w:tcW w:w="7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DDC65B6">
            <w:pPr>
              <w:pStyle w:val="Compact"/>
              <w:jc w:val="left"/>
            </w:pPr>
          </w:p>
        </w:tc>
      </w:tr>
      <w:tr>
        <w:tc>
          <w:tcPr>
            <w:tcW w:w="2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420484">
            <w:pPr>
              <w:pStyle w:val="Compact"/>
              <w:jc w:val="left"/>
            </w:pPr>
            <w:r>
              <w:rPr>
                <w:rFonts w:ascii="Times New Roman" w:hAnsi="Times New Roman" w:eastAsia="Times New Roman" w:cs="Times New Roman"/>
                <w:color w:val="000000"/>
                <w:sz w:val="20"/>
                <w:szCs w:val="20"/>
              </w:rPr>
              <w:t>Apellido y nombre</w:t>
            </w:r>
          </w:p>
        </w:tc>
        <w:tc>
          <w:tcPr>
            <w:tcW w:w="7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D20C03">
            <w:pPr>
              <w:pStyle w:val="Compact"/>
              <w:jc w:val="left"/>
            </w:pPr>
            <w:r>
              <w:rPr>
                <w:rFonts w:ascii="Times New Roman" w:hAnsi="Times New Roman" w:eastAsia="Times New Roman" w:cs="Times New Roman"/>
                <w:color w:val="000000"/>
                <w:sz w:val="20"/>
                <w:szCs w:val="20"/>
              </w:rPr>
              <w:t>Sánchez, Joaquín Sebastián</w:t>
            </w:r>
          </w:p>
        </w:tc>
      </w:tr>
      <w:tr>
        <w:tc>
          <w:tcPr>
            <w:tcW w:w="2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DD817">
            <w:pPr>
              <w:pStyle w:val="Compact"/>
              <w:jc w:val="left"/>
            </w:pPr>
            <w:r>
              <w:rPr>
                <w:rFonts w:ascii="Times New Roman" w:hAnsi="Times New Roman" w:eastAsia="Times New Roman" w:cs="Times New Roman"/>
                <w:color w:val="000000"/>
                <w:sz w:val="20"/>
                <w:szCs w:val="20"/>
              </w:rPr>
              <w:t>DNI</w:t>
            </w:r>
          </w:p>
        </w:tc>
        <w:tc>
          <w:tcPr>
            <w:tcW w:w="7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8D1C1F">
            <w:pPr>
              <w:pStyle w:val="Compact"/>
              <w:jc w:val="left"/>
            </w:pPr>
            <w:r>
              <w:rPr>
                <w:rFonts w:ascii="Times New Roman" w:hAnsi="Times New Roman" w:eastAsia="Times New Roman" w:cs="Times New Roman"/>
                <w:color w:val="000000"/>
                <w:sz w:val="20"/>
                <w:szCs w:val="20"/>
              </w:rPr>
              <w:t>45.452.416</w:t>
            </w:r>
          </w:p>
        </w:tc>
      </w:tr>
      <w:tr>
        <w:tc>
          <w:tcPr>
            <w:tcW w:w="2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6F0D12">
            <w:pPr>
              <w:pStyle w:val="Compact"/>
              <w:jc w:val="left"/>
            </w:pPr>
            <w:r>
              <w:rPr>
                <w:rFonts w:ascii="Times New Roman" w:hAnsi="Times New Roman" w:eastAsia="Times New Roman" w:cs="Times New Roman"/>
                <w:color w:val="000000"/>
                <w:sz w:val="20"/>
                <w:szCs w:val="20"/>
              </w:rPr>
              <w:t>Proyecto</w:t>
            </w:r>
          </w:p>
        </w:tc>
        <w:tc>
          <w:tcPr>
            <w:tcW w:w="7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BA0478">
            <w:pPr>
              <w:pStyle w:val="Compact"/>
              <w:jc w:val="left"/>
            </w:pPr>
            <w:r>
              <w:rPr>
                <w:rFonts w:ascii="Times New Roman" w:hAnsi="Times New Roman" w:eastAsia="Times New Roman" w:cs="Times New Roman"/>
                <w:color w:val="000000"/>
                <w:sz w:val="20"/>
                <w:szCs w:val="20"/>
              </w:rPr>
              <w:t>RIGE: plataforma local para la resolución y explicación de la configuración efectiva y su procedencia en herramientas de programación basadas en agentes</w:t>
            </w:r>
          </w:p>
        </w:tc>
      </w:tr>
      <w:tr>
        <w:tc>
          <w:tcPr>
            <w:tcW w:w="2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C1FE85">
            <w:pPr>
              <w:pStyle w:val="Compact"/>
              <w:jc w:val="left"/>
            </w:pPr>
            <w:r>
              <w:rPr>
                <w:rFonts w:ascii="Times New Roman" w:hAnsi="Times New Roman" w:eastAsia="Times New Roman" w:cs="Times New Roman"/>
                <w:color w:val="000000"/>
                <w:sz w:val="20"/>
                <w:szCs w:val="20"/>
              </w:rPr>
              <w:t>Equipo e integrantes</w:t>
            </w:r>
          </w:p>
        </w:tc>
        <w:tc>
          <w:tcPr>
            <w:tcW w:w="7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D8E325">
            <w:pPr>
              <w:pStyle w:val="Compact"/>
              <w:jc w:val="left"/>
            </w:pPr>
            <w:r>
              <w:rPr>
                <w:rFonts w:ascii="Times New Roman" w:hAnsi="Times New Roman" w:eastAsia="Times New Roman" w:cs="Times New Roman"/>
                <w:color w:val="000000"/>
                <w:sz w:val="20"/>
                <w:szCs w:val="20"/>
              </w:rPr>
              <w:t>Proyecto individual</w:t>
            </w:r>
          </w:p>
        </w:tc>
      </w:tr>
      <w:tr>
        <w:tc>
          <w:tcPr>
            <w:tcW w:w="2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B9CE99">
            <w:pPr>
              <w:pStyle w:val="Compact"/>
              <w:jc w:val="left"/>
            </w:pPr>
            <w:r>
              <w:rPr>
                <w:rFonts w:ascii="Times New Roman" w:hAnsi="Times New Roman" w:eastAsia="Times New Roman" w:cs="Times New Roman"/>
                <w:color w:val="000000"/>
                <w:sz w:val="20"/>
                <w:szCs w:val="20"/>
              </w:rPr>
              <w:t>Repositorio</w:t>
            </w:r>
          </w:p>
        </w:tc>
        <w:tc>
          <w:tcPr>
            <w:tcW w:w="7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63FFE1">
            <w:pPr>
              <w:pStyle w:val="Compact"/>
              <w:jc w:val="left"/>
            </w:pPr>
            <w:hyperlink r:id="rId9">
              <w:r>
                <w:rPr>
                  <w:rStyle w:val="Hyperlink"/>
                  <w:rFonts w:ascii="Times New Roman" w:hAnsi="Times New Roman" w:eastAsia="Times New Roman" w:cs="Times New Roman"/>
                  <w:color w:val="000000" w:themeColor="accent1"/>
                  <w:sz w:val="20"/>
                  <w:szCs w:val="20"/>
                </w:rPr>
                <w:t>https://github.com/Joassanchez/RIGE-TIF-Sanchez-IngSistemas-UCP</w:t>
              </w:r>
            </w:hyperlink>
          </w:p>
        </w:tc>
      </w:tr>
      <w:tr>
        <w:tc>
          <w:tcPr>
            <w:tcW w:w="2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A3C864">
            <w:pPr>
              <w:pStyle w:val="Compact"/>
              <w:jc w:val="left"/>
            </w:pPr>
            <w:r>
              <w:rPr>
                <w:rFonts w:ascii="Times New Roman" w:hAnsi="Times New Roman" w:eastAsia="Times New Roman" w:cs="Times New Roman"/>
                <w:color w:val="000000"/>
                <w:sz w:val="20"/>
                <w:szCs w:val="20"/>
              </w:rPr>
              <w:t>Período que cubre</w:t>
            </w:r>
          </w:p>
        </w:tc>
        <w:tc>
          <w:tcPr>
            <w:tcW w:w="7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47087A">
            <w:pPr>
              <w:pStyle w:val="Compact"/>
              <w:jc w:val="left"/>
            </w:pPr>
            <w:r>
              <w:rPr>
                <w:rFonts w:ascii="Times New Roman" w:hAnsi="Times New Roman" w:eastAsia="Times New Roman" w:cs="Times New Roman"/>
                <w:color w:val="000000"/>
                <w:sz w:val="20"/>
                <w:szCs w:val="20"/>
              </w:rPr>
              <w:t>AE2 · semanas 5 a 8 del Sprint 2 · del 7 de septiembre al 1.º de octubre de 2026</w:t>
            </w:r>
          </w:p>
        </w:tc>
      </w:tr>
    </w:tbl>
    <w:p w14:paraId="2123426B">
      <w:pPr>
        <w:pStyle w:val="BlockText"/>
        <w:jc w:val="both"/>
      </w:pPr>
      <w:r>
        <w:rPr>
          <w:rFonts w:ascii="Times New Roman" w:hAnsi="Times New Roman" w:eastAsia="Times New Roman" w:cs="Times New Roman"/>
          <w:color w:val="000000"/>
          <w:sz w:val="24"/>
          <w:szCs w:val="24"/>
        </w:rPr>
        <w:t>Entrada más reciente arriba. Se escribe el día en que ocurre lo que se registra.</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/cerrar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agrega aquí el borrador de la entrada del día; el autor lo revisa y lo aprueba.</w:t>
      </w:r>
    </w:p>
    <w:p w14:paraId="4B9F253C">
      <w:pPr>
        <w:pStyle w:val="Heading2"/>
        <w:jc w:val="left"/>
      </w:pPr>
      <w:r>
        <w:rPr>
          <w:rFonts w:ascii="Times New Roman" w:hAnsi="Times New Roman" w:eastAsia="Times New Roman" w:cs="Times New Roman"/>
          <w:b/>
          <w:bCs/>
          <w:color w:val="000000"/>
          <w:sz w:val="26"/>
          <w:szCs w:val="26"/>
        </w:rPr>
        <w:t>Alcance y criterio de registro</w:t>
      </w:r>
    </w:p>
    <w:p w14:paraId="7CB1F362">
      <w:pPr>
        <w:pStyle w:val="FirstParagraph"/>
        <w:jc w:val="both"/>
      </w:pPr>
      <w:r>
        <w:rPr>
          <w:rFonts w:ascii="Times New Roman" w:hAnsi="Times New Roman" w:eastAsia="Times New Roman" w:cs="Times New Roman"/>
          <w:color w:val="000000"/>
          <w:sz w:val="24"/>
          <w:szCs w:val="24"/>
        </w:rPr>
        <w:t>Registro el proceso y las decisiones correspondientes a las Actividades de Evaluación del Proyecto Final de Grado. Se trata de una bitácora individual y no compartida, conforme al apartado 8.2 de la guía de consignas.</w:t>
      </w:r>
    </w:p>
    <w:p w14:paraId="4BC903C6">
      <w:pPr>
        <w:pStyle w:val="BodyText"/>
        <w:jc w:val="both"/>
      </w:pPr>
      <w:r>
        <w:rPr>
          <w:rFonts w:ascii="Times New Roman" w:hAnsi="Times New Roman" w:eastAsia="Times New Roman" w:cs="Times New Roman"/>
          <w:color w:val="000000"/>
          <w:sz w:val="24"/>
          <w:szCs w:val="24"/>
        </w:rPr>
        <w:t>Cada entrada se fecha y consigna los seis elementos que el apartado 8.2 establece: la decisión adoptada, las alternativas evaluadas con su criterio de descarte, la evidencia que la sostiene, el aporte personal con remisión al artefacto del repositorio, el desacuerdo producido y su resolución, y la herramienta auxiliar empleada con su alcance.</w:t>
      </w:r>
    </w:p>
    <w:p w14:paraId="20A10B82">
      <w:pPr>
        <w:pStyle w:val="BodyText"/>
        <w:jc w:val="both"/>
      </w:pPr>
      <w:r>
        <w:rPr>
          <w:rFonts w:ascii="Times New Roman" w:hAnsi="Times New Roman" w:eastAsia="Times New Roman" w:cs="Times New Roman"/>
          <w:color w:val="000000"/>
          <w:sz w:val="24"/>
          <w:szCs w:val="24"/>
        </w:rPr>
        <w:t>Sobre el quinto elemento. Conforme al apartado 2.3 de la guía, el Resumen y los Capítulos I y II se elaboran de manera individual y la deliberación colectiva del equipo se circunscribe al Informe Grupal de Encuadre Común. Por ese motivo las entradas registran ese elemento en una línea. Las objeciones que planteé a la herramienta y que modificaron una propuesta se consignan como aporte personal (elemento 4).</w:t>
      </w:r>
    </w:p>
    <w:p w14:paraId="31107B1F">
      <w:pPr>
        <w:pStyle w:val="BodyText"/>
        <w:jc w:val="both"/>
      </w:pPr>
      <w:r>
        <w:rPr>
          <w:rFonts w:ascii="Times New Roman" w:hAnsi="Times New Roman" w:eastAsia="Times New Roman" w:cs="Times New Roman"/>
          <w:color w:val="000000"/>
          <w:sz w:val="24"/>
          <w:szCs w:val="24"/>
        </w:rPr>
        <w:t>Declaración general sobre herramientas auxiliares, conforme al Protocolo de Uso Autorizado. Durante la elaboración empleé herramientas auxiliares como apoyo y ayuda con el siguiente alcance: contraste de razonamientos, detección de omisiones y propuesta de alternativas, siempre sobre contenido y decisiones propias; verificación de cálculos, de fuentes y del código de OpenCode; comprobación de coherencia interna, referencias cruzadas y formato; y, en el prototipo, apoyo en la codificación a partir de fichas de tarea, con revisión posterior.</w:t>
      </w:r>
    </w:p>
    <w:p w14:paraId="6AF64429">
      <w:pPr>
        <w:pStyle w:val="BodyText"/>
        <w:jc w:val="both"/>
      </w:pPr>
      <w:r>
        <w:rPr>
          <w:rFonts w:ascii="Times New Roman" w:hAnsi="Times New Roman" w:eastAsia="Times New Roman" w:cs="Times New Roman"/>
          <w:color w:val="000000"/>
          <w:sz w:val="24"/>
          <w:szCs w:val="24"/>
        </w:rPr>
        <w:t>Quedan fuera de ese alcance, y los realizo de manera propia, la delimitación del problema, la conducción de la entrevista y de la sesión de validación con la referente, la elección entre alternativas y la aceptación de cada decisión, la aprobación de los esquemas y del texto, y la verificación de todo resultado antes de incorporarlo al informe o a la rama principal. Cada entrada remite a esta declaración y consigna solo lo particular de la jornada.</w:t>
      </w:r>
    </w:p>
    <w:p w14:paraId="2A30F445">
      <w:pPr>
        <w:pStyle w:val="BodyText"/>
        <w:jc w:val="both"/>
      </w:pPr>
      <w:r>
        <w:rPr>
          <w:rFonts w:ascii="Times New Roman" w:hAnsi="Times New Roman" w:eastAsia="Times New Roman" w:cs="Times New Roman"/>
          <w:b/>
          <w:bCs/>
          <w:color w:val="000000"/>
          <w:sz w:val="24"/>
          <w:szCs w:val="24"/>
        </w:rPr>
        <w:t>Herramientas por período</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063"/>
        <w:gridCol w:w="1814"/>
        <w:gridCol w:w="2565"/>
        <w:gridCol w:w="3062"/>
      </w:tblGrid>
      <w:tr>
        <w:trPr>
          <w:tblHeader/>
        </w:trPr>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2493B25">
            <w:pPr>
              <w:pStyle w:val="Compact"/>
              <w:jc w:val="left"/>
            </w:pPr>
            <w:r>
              <w:rPr>
                <w:rFonts w:ascii="Times New Roman" w:hAnsi="Times New Roman" w:eastAsia="Times New Roman" w:cs="Times New Roman"/>
                <w:b/>
                <w:bCs/>
                <w:color w:val="000000"/>
                <w:sz w:val="24"/>
                <w:szCs w:val="24"/>
              </w:rPr>
              <w:t>Período</w:t>
            </w:r>
          </w:p>
        </w:tc>
        <w:tc>
          <w:tcPr>
            <w:tcW w:w="2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9024680">
            <w:pPr>
              <w:pStyle w:val="Compact"/>
              <w:jc w:val="left"/>
            </w:pPr>
            <w:r>
              <w:rPr>
                <w:rFonts w:ascii="Times New Roman" w:hAnsi="Times New Roman" w:eastAsia="Times New Roman" w:cs="Times New Roman"/>
                <w:b/>
                <w:bCs/>
                <w:color w:val="000000"/>
                <w:sz w:val="24"/>
                <w:szCs w:val="24"/>
              </w:rPr>
              <w:t>Herramienta</w:t>
            </w:r>
          </w:p>
        </w:tc>
        <w:tc>
          <w:tcPr>
            <w:tcW w:w="3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987D543">
            <w:pPr>
              <w:pStyle w:val="Compact"/>
              <w:jc w:val="left"/>
            </w:pPr>
            <w:r>
              <w:rPr>
                <w:rFonts w:ascii="Times New Roman" w:hAnsi="Times New Roman" w:eastAsia="Times New Roman" w:cs="Times New Roman"/>
                <w:b/>
                <w:bCs/>
                <w:color w:val="000000"/>
                <w:sz w:val="24"/>
                <w:szCs w:val="24"/>
              </w:rPr>
              <w:t>Función</w:t>
            </w:r>
          </w:p>
        </w:tc>
        <w:tc>
          <w:tcPr>
            <w:tcW w:w="3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0F08605">
            <w:pPr>
              <w:pStyle w:val="Compact"/>
              <w:jc w:val="left"/>
            </w:pPr>
            <w:r>
              <w:rPr>
                <w:rFonts w:ascii="Times New Roman" w:hAnsi="Times New Roman" w:eastAsia="Times New Roman" w:cs="Times New Roman"/>
                <w:b/>
                <w:bCs/>
                <w:color w:val="000000"/>
                <w:sz w:val="24"/>
                <w:szCs w:val="24"/>
              </w:rPr>
              <w:t>Artefactos afectados</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A308BD">
            <w:pPr>
              <w:pStyle w:val="Compact"/>
              <w:jc w:val="left"/>
            </w:pPr>
            <w:r>
              <w:rPr>
                <w:rFonts w:ascii="Times New Roman" w:hAnsi="Times New Roman" w:eastAsia="Times New Roman" w:cs="Times New Roman"/>
                <w:color w:val="000000"/>
                <w:sz w:val="20"/>
                <w:szCs w:val="20"/>
              </w:rPr>
              <w:t>AE1</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BC597F">
            <w:pPr>
              <w:pStyle w:val="Compact"/>
              <w:jc w:val="left"/>
            </w:pPr>
            <w:r>
              <w:rPr>
                <w:rFonts w:ascii="Times New Roman" w:hAnsi="Times New Roman" w:eastAsia="Times New Roman" w:cs="Times New Roman"/>
                <w:color w:val="000000"/>
                <w:sz w:val="20"/>
                <w:szCs w:val="20"/>
              </w:rPr>
              <w:t>Asistente conversacional</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4AE305">
            <w:pPr>
              <w:pStyle w:val="Compact"/>
              <w:jc w:val="left"/>
            </w:pPr>
            <w:r>
              <w:rPr>
                <w:rFonts w:ascii="Times New Roman" w:hAnsi="Times New Roman" w:eastAsia="Times New Roman" w:cs="Times New Roman"/>
                <w:color w:val="000000"/>
                <w:sz w:val="20"/>
                <w:szCs w:val="20"/>
              </w:rPr>
              <w:t>Contraste de la formulación del alcance, procesamiento de la planilla de registro y verificación de cálculos</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AD0C4F">
            <w:pPr>
              <w:pStyle w:val="Compact"/>
              <w:jc w:val="left"/>
            </w:pPr>
            <w:r>
              <w:rPr>
                <w:rFonts w:ascii="Times New Roman" w:hAnsi="Times New Roman" w:eastAsia="Times New Roman" w:cs="Times New Roman"/>
                <w:color w:val="000000"/>
                <w:sz w:val="20"/>
                <w:szCs w:val="20"/>
              </w:rPr>
              <w:t>Informe del AE1</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A336B8">
            <w:pPr>
              <w:pStyle w:val="Compact"/>
              <w:jc w:val="left"/>
            </w:pPr>
            <w:r>
              <w:rPr>
                <w:rFonts w:ascii="Times New Roman" w:hAnsi="Times New Roman" w:eastAsia="Times New Roman" w:cs="Times New Roman"/>
                <w:color w:val="000000"/>
                <w:sz w:val="20"/>
                <w:szCs w:val="20"/>
              </w:rPr>
              <w:t>25/09 al 01/10</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D61684">
            <w:pPr>
              <w:pStyle w:val="Compact"/>
              <w:jc w:val="left"/>
            </w:pPr>
            <w:r>
              <w:rPr>
                <w:rFonts w:ascii="Times New Roman" w:hAnsi="Times New Roman" w:eastAsia="Times New Roman" w:cs="Times New Roman"/>
                <w:color w:val="000000"/>
                <w:sz w:val="20"/>
                <w:szCs w:val="20"/>
              </w:rPr>
              <w:t>Claude Code</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6FDA9">
            <w:pPr>
              <w:pStyle w:val="Compact"/>
              <w:jc w:val="left"/>
            </w:pPr>
            <w:r>
              <w:rPr>
                <w:rFonts w:ascii="Times New Roman" w:hAnsi="Times New Roman" w:eastAsia="Times New Roman" w:cs="Times New Roman"/>
                <w:color w:val="000000"/>
                <w:sz w:val="20"/>
                <w:szCs w:val="20"/>
              </w:rPr>
              <w:t>Análisis y contraste de alternativas; apoyo en la estructuración de ADR, fichas y borradores de esta bitácora; verificación de fuentes y del código de OpenCode; orquestación de otras herramientas; creación del tablero con el conector de Trello</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B8A5B2">
            <w:pPr>
              <w:pStyle w:val="Compact"/>
              <w:jc w:val="left"/>
            </w:pPr>
            <w:r>
              <w:rPr>
                <w:rStyle w:val="VerbatimChar"/>
                <w:rFonts w:ascii="Consolas" w:hAnsi="Consolas" w:eastAsia="Times New Roman" w:cs="Times New Roman"/>
                <w:color w:val="000000"/>
                <w:sz w:val="22"/>
                <w:szCs w:val="20"/>
              </w:rPr>
              <w:t>00-gestion/</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04-diseno/</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README.md</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tools/README.md</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.github/workflows/ci.yml</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src/AGENTS.md</w:t>
            </w:r>
            <w:r>
              <w:rPr>
                <w:rFonts w:ascii="Times New Roman" w:hAnsi="Times New Roman" w:eastAsia="Times New Roman" w:cs="Times New Roman"/>
                <w:color w:val="000000"/>
                <w:sz w:val="20"/>
                <w:szCs w:val="20"/>
              </w:rPr>
              <w:t>, tablero</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1CAB9">
            <w:pPr>
              <w:pStyle w:val="Compact"/>
              <w:jc w:val="left"/>
            </w:pPr>
            <w:r>
              <w:rPr>
                <w:rFonts w:ascii="Times New Roman" w:hAnsi="Times New Roman" w:eastAsia="Times New Roman" w:cs="Times New Roman"/>
                <w:color w:val="000000"/>
                <w:sz w:val="20"/>
                <w:szCs w:val="20"/>
              </w:rPr>
              <w:t>25/09 al 30/09</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1F4659">
            <w:pPr>
              <w:pStyle w:val="Compact"/>
              <w:jc w:val="left"/>
            </w:pPr>
            <w:r>
              <w:rPr>
                <w:rFonts w:ascii="Times New Roman" w:hAnsi="Times New Roman" w:eastAsia="Times New Roman" w:cs="Times New Roman"/>
                <w:color w:val="000000"/>
                <w:sz w:val="20"/>
                <w:szCs w:val="20"/>
              </w:rPr>
              <w:t>Subagentes de Claude Code</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CB4D38">
            <w:pPr>
              <w:pStyle w:val="Compact"/>
              <w:jc w:val="left"/>
            </w:pPr>
            <w:r>
              <w:rPr>
                <w:rFonts w:ascii="Times New Roman" w:hAnsi="Times New Roman" w:eastAsia="Times New Roman" w:cs="Times New Roman"/>
                <w:color w:val="000000"/>
                <w:sz w:val="20"/>
                <w:szCs w:val="20"/>
              </w:rPr>
              <w:t>Apoyo y revisión de secciones del informe sobre esquemas y listas de cambios aprobadas; revisión de consigna, consistencia y fuentes</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7E0999">
            <w:pPr>
              <w:pStyle w:val="Compact"/>
              <w:jc w:val="left"/>
            </w:pPr>
            <w:r>
              <w:rPr>
                <w:rStyle w:val="VerbatimChar"/>
                <w:rFonts w:ascii="Consolas" w:hAnsi="Consolas" w:eastAsia="Times New Roman" w:cs="Times New Roman"/>
                <w:color w:val="000000"/>
                <w:sz w:val="22"/>
                <w:szCs w:val="20"/>
              </w:rPr>
              <w:t>informe/</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03-requisitos/libro/</w:t>
            </w:r>
            <w:r>
              <w:rPr>
                <w:rFonts w:ascii="Times New Roman" w:hAnsi="Times New Roman" w:eastAsia="Times New Roman" w:cs="Times New Roman"/>
                <w:color w:val="000000"/>
                <w:sz w:val="20"/>
                <w:szCs w:val="20"/>
              </w:rPr>
              <w: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instrumentos/</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70754B">
            <w:pPr>
              <w:pStyle w:val="Compact"/>
              <w:jc w:val="left"/>
            </w:pPr>
            <w:r>
              <w:rPr>
                <w:rFonts w:ascii="Times New Roman" w:hAnsi="Times New Roman" w:eastAsia="Times New Roman" w:cs="Times New Roman"/>
                <w:color w:val="000000"/>
                <w:sz w:val="20"/>
                <w:szCs w:val="20"/>
              </w:rPr>
              <w:t>Hasta el 30/09 (T0-01 a T0-09)</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0E849B">
            <w:pPr>
              <w:pStyle w:val="Compact"/>
              <w:jc w:val="left"/>
            </w:pPr>
            <w:r>
              <w:rPr>
                <w:rFonts w:ascii="Times New Roman" w:hAnsi="Times New Roman" w:eastAsia="Times New Roman" w:cs="Times New Roman"/>
                <w:color w:val="000000"/>
                <w:sz w:val="20"/>
                <w:szCs w:val="20"/>
              </w:rPr>
              <w:t>OpenCode con gentle-ai</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70CD1C">
            <w:pPr>
              <w:pStyle w:val="Compact"/>
              <w:jc w:val="left"/>
            </w:pPr>
            <w:r>
              <w:rPr>
                <w:rFonts w:ascii="Times New Roman" w:hAnsi="Times New Roman" w:eastAsia="Times New Roman" w:cs="Times New Roman"/>
                <w:color w:val="000000"/>
                <w:sz w:val="20"/>
                <w:szCs w:val="20"/>
              </w:rPr>
              <w:t>Propuesta del documento ODD; revisión e implementación; exploración</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CBA59">
            <w:pPr>
              <w:pStyle w:val="Compact"/>
              <w:jc w:val="left"/>
            </w:pPr>
            <w:r>
              <w:rPr>
                <w:rStyle w:val="VerbatimChar"/>
                <w:rFonts w:ascii="Consolas" w:hAnsi="Consolas" w:eastAsia="Times New Roman" w:cs="Times New Roman"/>
                <w:color w:val="000000"/>
                <w:sz w:val="22"/>
                <w:szCs w:val="20"/>
              </w:rPr>
              <w:t>src/</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416500">
            <w:pPr>
              <w:pStyle w:val="Compact"/>
              <w:jc w:val="left"/>
            </w:pPr>
            <w:r>
              <w:rPr>
                <w:rFonts w:ascii="Times New Roman" w:hAnsi="Times New Roman" w:eastAsia="Times New Roman" w:cs="Times New Roman"/>
                <w:color w:val="000000"/>
                <w:sz w:val="20"/>
                <w:szCs w:val="20"/>
              </w:rPr>
              <w:t>Desde el 30/09 (T0-10)</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C83824">
            <w:pPr>
              <w:pStyle w:val="Compact"/>
              <w:jc w:val="left"/>
            </w:pPr>
            <w:r>
              <w:rPr>
                <w:rFonts w:ascii="Times New Roman" w:hAnsi="Times New Roman" w:eastAsia="Times New Roman" w:cs="Times New Roman"/>
                <w:color w:val="000000"/>
                <w:sz w:val="20"/>
                <w:szCs w:val="20"/>
              </w:rPr>
              <w:t>Codex CLI (plan ChatGPT Plus), orquestado por Claude Code</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327F35">
            <w:pPr>
              <w:pStyle w:val="Compact"/>
              <w:jc w:val="left"/>
            </w:pPr>
            <w:r>
              <w:rPr>
                <w:rFonts w:ascii="Times New Roman" w:hAnsi="Times New Roman" w:eastAsia="Times New Roman" w:cs="Times New Roman"/>
                <w:color w:val="000000"/>
                <w:sz w:val="20"/>
                <w:szCs w:val="20"/>
              </w:rPr>
              <w:t>Apoyo en la implementación con TDD y commits en la rama del incremento; revisión y crítica del código</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8ACB12">
            <w:pPr>
              <w:pStyle w:val="Compact"/>
              <w:jc w:val="left"/>
            </w:pPr>
            <w:r>
              <w:rPr>
                <w:rStyle w:val="VerbatimChar"/>
                <w:rFonts w:ascii="Consolas" w:hAnsi="Consolas" w:eastAsia="Times New Roman" w:cs="Times New Roman"/>
                <w:color w:val="000000"/>
                <w:sz w:val="22"/>
                <w:szCs w:val="20"/>
              </w:rPr>
              <w:t>src/</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2F49C3">
            <w:pPr>
              <w:pStyle w:val="Compact"/>
              <w:jc w:val="left"/>
            </w:pPr>
            <w:r>
              <w:rPr>
                <w:rFonts w:ascii="Times New Roman" w:hAnsi="Times New Roman" w:eastAsia="Times New Roman" w:cs="Times New Roman"/>
                <w:color w:val="000000"/>
                <w:sz w:val="20"/>
                <w:szCs w:val="20"/>
              </w:rPr>
              <w:t>01/10</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4080C7">
            <w:pPr>
              <w:pStyle w:val="Compact"/>
              <w:jc w:val="left"/>
            </w:pPr>
            <w:r>
              <w:rPr>
                <w:rFonts w:ascii="Times New Roman" w:hAnsi="Times New Roman" w:eastAsia="Times New Roman" w:cs="Times New Roman"/>
                <w:color w:val="000000"/>
                <w:sz w:val="20"/>
                <w:szCs w:val="20"/>
              </w:rPr>
              <w:t>Codex como apoyo</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FC6D3C">
            <w:pPr>
              <w:pStyle w:val="Compact"/>
              <w:jc w:val="left"/>
            </w:pPr>
            <w:r>
              <w:rPr>
                <w:rFonts w:ascii="Times New Roman" w:hAnsi="Times New Roman" w:eastAsia="Times New Roman" w:cs="Times New Roman"/>
                <w:color w:val="000000"/>
                <w:sz w:val="20"/>
                <w:szCs w:val="20"/>
              </w:rPr>
              <w:t>Búsquedas web de solo lectura y apoyo en las correcciones de los Caps. IV, V y X sobre fichas</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6EEFD3">
            <w:pPr>
              <w:pStyle w:val="Compact"/>
              <w:jc w:val="left"/>
            </w:pPr>
            <w:r>
              <w:rPr>
                <w:rStyle w:val="VerbatimChar"/>
                <w:rFonts w:ascii="Consolas" w:hAnsi="Consolas" w:eastAsia="Times New Roman" w:cs="Times New Roman"/>
                <w:color w:val="000000"/>
                <w:sz w:val="22"/>
                <w:szCs w:val="20"/>
              </w:rPr>
              <w:t>informe/</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104164">
            <w:pPr>
              <w:pStyle w:val="Compact"/>
              <w:jc w:val="left"/>
            </w:pPr>
            <w:r>
              <w:rPr>
                <w:rFonts w:ascii="Times New Roman" w:hAnsi="Times New Roman" w:eastAsia="Times New Roman" w:cs="Times New Roman"/>
                <w:color w:val="000000"/>
                <w:sz w:val="20"/>
                <w:szCs w:val="20"/>
              </w:rPr>
              <w:t>28/09</w:t>
            </w:r>
          </w:p>
        </w:tc>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D023AC">
            <w:pPr>
              <w:pStyle w:val="Compact"/>
              <w:jc w:val="left"/>
            </w:pPr>
            <w:r>
              <w:rPr>
                <w:rFonts w:ascii="Times New Roman" w:hAnsi="Times New Roman" w:eastAsia="Times New Roman" w:cs="Times New Roman"/>
                <w:color w:val="000000"/>
                <w:sz w:val="20"/>
                <w:szCs w:val="20"/>
              </w:rPr>
              <w:t>Claude Design</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19CC92">
            <w:pPr>
              <w:pStyle w:val="Compact"/>
              <w:jc w:val="left"/>
            </w:pPr>
            <w:r>
              <w:rPr>
                <w:rFonts w:ascii="Times New Roman" w:hAnsi="Times New Roman" w:eastAsia="Times New Roman" w:cs="Times New Roman"/>
                <w:color w:val="000000"/>
                <w:sz w:val="20"/>
                <w:szCs w:val="20"/>
              </w:rPr>
              <w:t>Elaboración del HTML de la maqueta del prototipo v0</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6E345">
            <w:pPr>
              <w:pStyle w:val="Compact"/>
              <w:jc w:val="left"/>
            </w:pPr>
            <w:r>
              <w:rPr>
                <w:rFonts w:ascii="Times New Roman" w:hAnsi="Times New Roman" w:eastAsia="Times New Roman" w:cs="Times New Roman"/>
                <w:color w:val="000000"/>
                <w:sz w:val="20"/>
                <w:szCs w:val="20"/>
              </w:rPr>
              <w:t>Maqueta del v0</w:t>
            </w:r>
          </w:p>
        </w:tc>
      </w:tr>
    </w:tbl>
    <w:p w14:paraId="7127F745">
      <w:pPr>
        <w:pStyle w:val="BodyText"/>
        <w:jc w:val="both"/>
      </w:pPr>
      <w:r>
        <w:rPr>
          <w:rFonts w:ascii="Times New Roman" w:hAnsi="Times New Roman" w:eastAsia="Times New Roman" w:cs="Times New Roman"/>
          <w:color w:val="000000"/>
          <w:sz w:val="24"/>
          <w:szCs w:val="24"/>
        </w:rPr>
        <w:t>Las menciones a registros de decisión consolidados el 28/09/2026 se acompañan del número vigente; la tabla de equivalencias está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00-gestion/decisiones/INDICE.md</w:t>
      </w:r>
      <w:r>
        <w:rPr>
          <w:rFonts w:ascii="Times New Roman" w:hAnsi="Times New Roman" w:eastAsia="Times New Roman" w:cs="Times New Roman"/>
          <w:color w:val="000000"/>
          <w:sz w:val="24"/>
          <w:szCs w:val="24"/>
        </w:rPr>
        <w:t>.</w:t>
      </w:r>
    </w:p>
    <w:p w14:paraId="4FDDA5E8">
      <w:pPr>
        <w:pStyle w:val="Heading2"/>
        <w:jc w:val="left"/>
      </w:pPr>
      <w:r>
        <w:rPr>
          <w:rFonts w:ascii="Times New Roman" w:hAnsi="Times New Roman" w:eastAsia="Times New Roman" w:cs="Times New Roman"/>
          <w:b/>
          <w:bCs/>
          <w:color w:val="000000"/>
          <w:sz w:val="26"/>
          <w:szCs w:val="26"/>
        </w:rPr>
        <w:t>Decisiones clave de la AE2</w:t>
      </w:r>
    </w:p>
    <w:p w14:paraId="7C1D1741">
      <w:pPr>
        <w:pStyle w:val="FirstParagraph"/>
        <w:jc w:val="both"/>
      </w:pPr>
      <w:r>
        <w:rPr>
          <w:rFonts w:ascii="Times New Roman" w:hAnsi="Times New Roman" w:eastAsia="Times New Roman" w:cs="Times New Roman"/>
          <w:color w:val="000000"/>
          <w:sz w:val="24"/>
          <w:szCs w:val="24"/>
        </w:rPr>
        <w:t>Síntesis de las decisiones registradas en las entradas, para su consulta rápida; el detalle está en la entrada de cada fecha.</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850"/>
        <w:gridCol w:w="2744"/>
        <w:gridCol w:w="1247"/>
        <w:gridCol w:w="2075"/>
        <w:gridCol w:w="1588"/>
      </w:tblGrid>
      <w:tr>
        <w:trPr>
          <w:tblHeader/>
        </w:trPr>
        <w:tc>
          <w:tcPr>
            <w:tcW w:w="1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F75E834">
            <w:pPr>
              <w:pStyle w:val="Compact"/>
              <w:jc w:val="left"/>
            </w:pPr>
            <w:r>
              <w:rPr>
                <w:rFonts w:ascii="Times New Roman" w:hAnsi="Times New Roman" w:eastAsia="Times New Roman" w:cs="Times New Roman"/>
                <w:b/>
                <w:bCs/>
                <w:color w:val="000000"/>
                <w:sz w:val="24"/>
                <w:szCs w:val="24"/>
              </w:rPr>
              <w:t>Fecha</w:t>
            </w:r>
          </w:p>
        </w:tc>
        <w:tc>
          <w:tcPr>
            <w:tcW w:w="3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42BEB05">
            <w:pPr>
              <w:pStyle w:val="Compact"/>
              <w:jc w:val="left"/>
            </w:pPr>
            <w:r>
              <w:rPr>
                <w:rFonts w:ascii="Times New Roman" w:hAnsi="Times New Roman" w:eastAsia="Times New Roman" w:cs="Times New Roman"/>
                <w:b/>
                <w:bCs/>
                <w:color w:val="000000"/>
                <w:sz w:val="24"/>
                <w:szCs w:val="24"/>
              </w:rPr>
              <w:t>Decisión</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B84EFBA">
            <w:pPr>
              <w:pStyle w:val="Compact"/>
              <w:jc w:val="left"/>
            </w:pPr>
            <w:r>
              <w:rPr>
                <w:rFonts w:ascii="Times New Roman" w:hAnsi="Times New Roman" w:eastAsia="Times New Roman" w:cs="Times New Roman"/>
                <w:b/>
                <w:bCs/>
                <w:color w:val="000000"/>
                <w:sz w:val="24"/>
                <w:szCs w:val="24"/>
              </w:rPr>
              <w:t>Registro</w:t>
            </w:r>
          </w:p>
        </w:tc>
        <w:tc>
          <w:tcPr>
            <w:tcW w:w="2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A016822">
            <w:pPr>
              <w:pStyle w:val="Compact"/>
              <w:jc w:val="left"/>
            </w:pPr>
            <w:r>
              <w:rPr>
                <w:rFonts w:ascii="Times New Roman" w:hAnsi="Times New Roman" w:eastAsia="Times New Roman" w:cs="Times New Roman"/>
                <w:b/>
                <w:bCs/>
                <w:color w:val="000000"/>
                <w:sz w:val="24"/>
                <w:szCs w:val="24"/>
              </w:rPr>
              <w:t>Recorte principal</w:t>
            </w:r>
          </w:p>
        </w:tc>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CD6CB17">
            <w:pPr>
              <w:pStyle w:val="Compact"/>
              <w:jc w:val="left"/>
            </w:pPr>
            <w:r>
              <w:rPr>
                <w:rFonts w:ascii="Times New Roman" w:hAnsi="Times New Roman" w:eastAsia="Times New Roman" w:cs="Times New Roman"/>
                <w:b/>
                <w:bCs/>
                <w:color w:val="000000"/>
                <w:sz w:val="24"/>
                <w:szCs w:val="24"/>
              </w:rPr>
              <w:t>Estado</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B0D2D5">
            <w:pPr>
              <w:pStyle w:val="Compact"/>
              <w:jc w:val="left"/>
            </w:pPr>
            <w:r>
              <w:rPr>
                <w:rFonts w:ascii="Times New Roman" w:hAnsi="Times New Roman" w:eastAsia="Times New Roman" w:cs="Times New Roman"/>
                <w:color w:val="000000"/>
                <w:sz w:val="20"/>
                <w:szCs w:val="20"/>
              </w:rPr>
              <w:t>01/10</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810F7">
            <w:pPr>
              <w:pStyle w:val="Compact"/>
              <w:jc w:val="left"/>
            </w:pPr>
            <w:r>
              <w:rPr>
                <w:rFonts w:ascii="Times New Roman" w:hAnsi="Times New Roman" w:eastAsia="Times New Roman" w:cs="Times New Roman"/>
                <w:color w:val="000000"/>
                <w:sz w:val="20"/>
                <w:szCs w:val="20"/>
              </w:rPr>
              <w:t>Medición con agentes sobre ChatGPT Plus, consumo en tokens, tarifas congeladas; costo de hora basado en la mediana junior de SysArmy</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17D1FF">
            <w:pPr>
              <w:pStyle w:val="Compact"/>
              <w:jc w:val="left"/>
            </w:pPr>
            <w:r>
              <w:rPr>
                <w:rFonts w:ascii="Times New Roman" w:hAnsi="Times New Roman" w:eastAsia="Times New Roman" w:cs="Times New Roman"/>
                <w:color w:val="000000"/>
                <w:sz w:val="20"/>
                <w:szCs w:val="20"/>
              </w:rPr>
              <w:t>ADR-076</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31D9E2">
            <w:pPr>
              <w:pStyle w:val="Compact"/>
              <w:jc w:val="left"/>
            </w:pPr>
            <w:r>
              <w:rPr>
                <w:rFonts w:ascii="Times New Roman" w:hAnsi="Times New Roman" w:eastAsia="Times New Roman" w:cs="Times New Roman"/>
                <w:color w:val="000000"/>
                <w:sz w:val="20"/>
                <w:szCs w:val="20"/>
              </w:rPr>
              <w:t>tope de API; OpenCode Go y Claude Pro; salario promedio OPSSI</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F2BC30">
            <w:pPr>
              <w:pStyle w:val="Compact"/>
              <w:jc w:val="left"/>
            </w:pPr>
            <w:r>
              <w:rPr>
                <w:rFonts w:ascii="Times New Roman" w:hAnsi="Times New Roman" w:eastAsia="Times New Roman" w:cs="Times New Roman"/>
                <w:color w:val="000000"/>
                <w:sz w:val="20"/>
                <w:szCs w:val="20"/>
              </w:rPr>
              <w:t>vigente; eje X modificado por ADR-077</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12383">
            <w:pPr>
              <w:pStyle w:val="Compact"/>
              <w:jc w:val="left"/>
            </w:pPr>
            <w:r>
              <w:rPr>
                <w:rFonts w:ascii="Times New Roman" w:hAnsi="Times New Roman" w:eastAsia="Times New Roman" w:cs="Times New Roman"/>
                <w:color w:val="000000"/>
                <w:sz w:val="20"/>
                <w:szCs w:val="20"/>
              </w:rPr>
              <w:t>01/10</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8855D">
            <w:pPr>
              <w:pStyle w:val="Compact"/>
              <w:jc w:val="left"/>
            </w:pPr>
            <w:r>
              <w:rPr>
                <w:rFonts w:ascii="Times New Roman" w:hAnsi="Times New Roman" w:eastAsia="Times New Roman" w:cs="Times New Roman"/>
                <w:color w:val="000000"/>
                <w:sz w:val="20"/>
                <w:szCs w:val="20"/>
              </w:rPr>
              <w:t>Diferencial: decisión de permiso con regla determinante y procedencia por declaración; RF-02 CA-8</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5A6A05">
            <w:pPr>
              <w:pStyle w:val="Compact"/>
              <w:jc w:val="left"/>
            </w:pPr>
            <w:r>
              <w:rPr>
                <w:rFonts w:ascii="Times New Roman" w:hAnsi="Times New Roman" w:eastAsia="Times New Roman" w:cs="Times New Roman"/>
                <w:color w:val="000000"/>
                <w:sz w:val="20"/>
                <w:szCs w:val="20"/>
              </w:rPr>
              <w:t>ADR-075</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B2E365">
            <w:pPr>
              <w:pStyle w:val="Compact"/>
              <w:jc w:val="left"/>
            </w:pPr>
            <w:r>
              <w:rPr>
                <w:rFonts w:ascii="Times New Roman" w:hAnsi="Times New Roman" w:eastAsia="Times New Roman" w:cs="Times New Roman"/>
                <w:color w:val="000000"/>
                <w:sz w:val="20"/>
                <w:szCs w:val="20"/>
              </w:rPr>
              <w:t>diferencial en la explicación sola; inversión y otros modelos de sostenimiento</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F73A6E">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05201">
            <w:pPr>
              <w:pStyle w:val="Compact"/>
              <w:jc w:val="left"/>
            </w:pPr>
            <w:r>
              <w:rPr>
                <w:rFonts w:ascii="Times New Roman" w:hAnsi="Times New Roman" w:eastAsia="Times New Roman" w:cs="Times New Roman"/>
                <w:color w:val="000000"/>
                <w:sz w:val="20"/>
                <w:szCs w:val="20"/>
              </w:rPr>
              <w:t>01/10</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A95245">
            <w:pPr>
              <w:pStyle w:val="Compact"/>
              <w:jc w:val="left"/>
            </w:pPr>
            <w:r>
              <w:rPr>
                <w:rFonts w:ascii="Times New Roman" w:hAnsi="Times New Roman" w:eastAsia="Times New Roman" w:cs="Times New Roman"/>
                <w:color w:val="000000"/>
                <w:sz w:val="20"/>
                <w:szCs w:val="20"/>
              </w:rPr>
              <w:t>Guardas de arquitectura con analizador propio</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738886">
            <w:pPr>
              <w:pStyle w:val="Compact"/>
              <w:jc w:val="left"/>
            </w:pPr>
            <w:r>
              <w:rPr>
                <w:rFonts w:ascii="Times New Roman" w:hAnsi="Times New Roman" w:eastAsia="Times New Roman" w:cs="Times New Roman"/>
                <w:color w:val="000000"/>
                <w:sz w:val="20"/>
                <w:szCs w:val="20"/>
              </w:rPr>
              <w:t>ADR-070</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72478">
            <w:pPr>
              <w:pStyle w:val="Compact"/>
              <w:jc w:val="left"/>
            </w:pPr>
            <w:r>
              <w:rPr>
                <w:rFonts w:ascii="Times New Roman" w:hAnsi="Times New Roman" w:eastAsia="Times New Roman" w:cs="Times New Roman"/>
                <w:color w:val="000000"/>
                <w:sz w:val="20"/>
                <w:szCs w:val="20"/>
              </w:rPr>
              <w:t>herramientas externas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C8A873">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090C01">
            <w:pPr>
              <w:pStyle w:val="Compact"/>
              <w:jc w:val="left"/>
            </w:pPr>
            <w:r>
              <w:rPr>
                <w:rFonts w:ascii="Times New Roman" w:hAnsi="Times New Roman" w:eastAsia="Times New Roman" w:cs="Times New Roman"/>
                <w:color w:val="000000"/>
                <w:sz w:val="20"/>
                <w:szCs w:val="20"/>
              </w:rPr>
              <w:t>01/10</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1642C8">
            <w:pPr>
              <w:pStyle w:val="Compact"/>
              <w:jc w:val="left"/>
            </w:pPr>
            <w:r>
              <w:rPr>
                <w:rFonts w:ascii="Times New Roman" w:hAnsi="Times New Roman" w:eastAsia="Times New Roman" w:cs="Times New Roman"/>
                <w:color w:val="000000"/>
                <w:sz w:val="20"/>
                <w:szCs w:val="20"/>
              </w:rPr>
              <w:t>Error del entorno detectado antes de operar con código 1</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E80DC2">
            <w:pPr>
              <w:pStyle w:val="Compact"/>
              <w:jc w:val="left"/>
            </w:pPr>
            <w:r>
              <w:rPr>
                <w:rFonts w:ascii="Times New Roman" w:hAnsi="Times New Roman" w:eastAsia="Times New Roman" w:cs="Times New Roman"/>
                <w:color w:val="000000"/>
                <w:sz w:val="20"/>
                <w:szCs w:val="20"/>
              </w:rPr>
              <w:t>ADR-069</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8C50AF">
            <w:pPr>
              <w:pStyle w:val="Compact"/>
              <w:jc w:val="left"/>
            </w:pPr>
            <w:r>
              <w:rPr>
                <w:rFonts w:ascii="Times New Roman" w:hAnsi="Times New Roman" w:eastAsia="Times New Roman" w:cs="Times New Roman"/>
                <w:color w:val="000000"/>
                <w:sz w:val="20"/>
                <w:szCs w:val="20"/>
              </w:rPr>
              <w:t>—</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2FA26A">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71BBF">
            <w:pPr>
              <w:pStyle w:val="Compact"/>
              <w:jc w:val="left"/>
            </w:pPr>
            <w:r>
              <w:rPr>
                <w:rFonts w:ascii="Times New Roman" w:hAnsi="Times New Roman" w:eastAsia="Times New Roman" w:cs="Times New Roman"/>
                <w:color w:val="000000"/>
                <w:sz w:val="20"/>
                <w:szCs w:val="20"/>
              </w:rPr>
              <w:t>01/10</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942716">
            <w:pPr>
              <w:pStyle w:val="Compact"/>
              <w:jc w:val="left"/>
            </w:pPr>
            <w:r>
              <w:rPr>
                <w:rFonts w:ascii="Times New Roman" w:hAnsi="Times New Roman" w:eastAsia="Times New Roman" w:cs="Times New Roman"/>
                <w:color w:val="000000"/>
                <w:sz w:val="20"/>
                <w:szCs w:val="20"/>
              </w:rPr>
              <w:t>Cierre del incremento 0 y unión con</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main</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5348E2">
            <w:pPr>
              <w:pStyle w:val="Compact"/>
              <w:jc w:val="left"/>
            </w:pPr>
            <w:r>
              <w:rPr>
                <w:rFonts w:ascii="Times New Roman" w:hAnsi="Times New Roman" w:eastAsia="Times New Roman" w:cs="Times New Roman"/>
                <w:color w:val="000000"/>
                <w:sz w:val="20"/>
                <w:szCs w:val="20"/>
              </w:rPr>
              <w:t>fichas</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inc0/</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AD24E">
            <w:pPr>
              <w:pStyle w:val="Compact"/>
              <w:jc w:val="left"/>
            </w:pPr>
            <w:r>
              <w:rPr>
                <w:rFonts w:ascii="Times New Roman" w:hAnsi="Times New Roman" w:eastAsia="Times New Roman" w:cs="Times New Roman"/>
                <w:color w:val="000000"/>
                <w:sz w:val="20"/>
                <w:szCs w:val="20"/>
              </w:rPr>
              <w:t>subcomando</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estado</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color w:val="000000"/>
                <w:sz w:val="20"/>
                <w:szCs w:val="20"/>
              </w:rPr>
              <w:t>en la CLI</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0C5254">
            <w:pPr>
              <w:pStyle w:val="Compact"/>
              <w:jc w:val="left"/>
            </w:pPr>
            <w:r>
              <w:rPr>
                <w:rFonts w:ascii="Times New Roman" w:hAnsi="Times New Roman" w:eastAsia="Times New Roman" w:cs="Times New Roman"/>
                <w:color w:val="000000"/>
                <w:sz w:val="20"/>
                <w:szCs w:val="20"/>
              </w:rPr>
              <w:t>cerrado</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6A555F">
            <w:pPr>
              <w:pStyle w:val="Compact"/>
              <w:jc w:val="left"/>
            </w:pPr>
            <w:r>
              <w:rPr>
                <w:rFonts w:ascii="Times New Roman" w:hAnsi="Times New Roman" w:eastAsia="Times New Roman" w:cs="Times New Roman"/>
                <w:color w:val="000000"/>
                <w:sz w:val="20"/>
                <w:szCs w:val="20"/>
              </w:rPr>
              <w:t>30/09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BA0E39">
            <w:pPr>
              <w:pStyle w:val="Compact"/>
              <w:jc w:val="left"/>
            </w:pPr>
            <w:r>
              <w:rPr>
                <w:rFonts w:ascii="Times New Roman" w:hAnsi="Times New Roman" w:eastAsia="Times New Roman" w:cs="Times New Roman"/>
                <w:color w:val="000000"/>
                <w:sz w:val="20"/>
                <w:szCs w:val="20"/>
              </w:rPr>
              <w:t>Codex como apoyo; el sistema de orquesta, revisa y critica; sin gentle-ai</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07A2EF">
            <w:pPr>
              <w:pStyle w:val="Compact"/>
              <w:jc w:val="left"/>
            </w:pPr>
            <w:r>
              <w:rPr>
                <w:rFonts w:ascii="Times New Roman" w:hAnsi="Times New Roman" w:eastAsia="Times New Roman" w:cs="Times New Roman"/>
                <w:color w:val="000000"/>
                <w:sz w:val="20"/>
                <w:szCs w:val="20"/>
              </w:rPr>
              <w:t>ADR-067</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75022">
            <w:pPr>
              <w:pStyle w:val="Compact"/>
              <w:jc w:val="left"/>
            </w:pPr>
            <w:r>
              <w:rPr>
                <w:rFonts w:ascii="Times New Roman" w:hAnsi="Times New Roman" w:eastAsia="Times New Roman" w:cs="Times New Roman"/>
                <w:color w:val="000000"/>
                <w:sz w:val="20"/>
                <w:szCs w:val="20"/>
              </w:rPr>
              <w:t>mantener gentle-ai; Claude Code como único apoyo; Copilot Student</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5ADF3A">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3366B">
            <w:pPr>
              <w:pStyle w:val="Compact"/>
              <w:jc w:val="left"/>
            </w:pPr>
            <w:r>
              <w:rPr>
                <w:rFonts w:ascii="Times New Roman" w:hAnsi="Times New Roman" w:eastAsia="Times New Roman" w:cs="Times New Roman"/>
                <w:color w:val="000000"/>
                <w:sz w:val="20"/>
                <w:szCs w:val="20"/>
              </w:rPr>
              <w:t>30/09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9E35E1">
            <w:pPr>
              <w:pStyle w:val="Compact"/>
              <w:jc w:val="left"/>
            </w:pPr>
            <w:r>
              <w:rPr>
                <w:rFonts w:ascii="Times New Roman" w:hAnsi="Times New Roman" w:eastAsia="Times New Roman" w:cs="Times New Roman"/>
                <w:color w:val="000000"/>
                <w:sz w:val="20"/>
                <w:szCs w:val="20"/>
              </w:rPr>
              <w:t>Códigos de error estables; datos de ejecución fuera del repositorio</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3C46DE">
            <w:pPr>
              <w:pStyle w:val="Compact"/>
              <w:jc w:val="left"/>
            </w:pPr>
            <w:r>
              <w:rPr>
                <w:rFonts w:ascii="Times New Roman" w:hAnsi="Times New Roman" w:eastAsia="Times New Roman" w:cs="Times New Roman"/>
                <w:color w:val="000000"/>
                <w:sz w:val="20"/>
                <w:szCs w:val="20"/>
              </w:rPr>
              <w:t>ADR-066</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9EB173">
            <w:pPr>
              <w:pStyle w:val="Compact"/>
              <w:jc w:val="left"/>
            </w:pPr>
            <w:r>
              <w:rPr>
                <w:rFonts w:ascii="Times New Roman" w:hAnsi="Times New Roman" w:eastAsia="Times New Roman" w:cs="Times New Roman"/>
                <w:color w:val="000000"/>
                <w:sz w:val="20"/>
                <w:szCs w:val="20"/>
              </w:rPr>
              <w:t>—</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8A4B8D">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498961">
            <w:pPr>
              <w:pStyle w:val="Compact"/>
              <w:jc w:val="left"/>
            </w:pPr>
            <w:r>
              <w:rPr>
                <w:rFonts w:ascii="Times New Roman" w:hAnsi="Times New Roman" w:eastAsia="Times New Roman" w:cs="Times New Roman"/>
                <w:color w:val="000000"/>
                <w:sz w:val="20"/>
                <w:szCs w:val="20"/>
              </w:rPr>
              <w:t>30/09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DB414B">
            <w:pPr>
              <w:pStyle w:val="Compact"/>
              <w:jc w:val="left"/>
            </w:pPr>
            <w:r>
              <w:rPr>
                <w:rFonts w:ascii="Times New Roman" w:hAnsi="Times New Roman" w:eastAsia="Times New Roman" w:cs="Times New Roman"/>
                <w:color w:val="000000"/>
                <w:sz w:val="20"/>
                <w:szCs w:val="20"/>
              </w:rPr>
              <w:t>Tablero kanban por iteraciones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28C80">
            <w:pPr>
              <w:pStyle w:val="Compact"/>
              <w:jc w:val="left"/>
            </w:pPr>
            <w:r>
              <w:rPr>
                <w:rFonts w:ascii="Times New Roman" w:hAnsi="Times New Roman" w:eastAsia="Times New Roman" w:cs="Times New Roman"/>
                <w:color w:val="000000"/>
                <w:sz w:val="20"/>
                <w:szCs w:val="20"/>
              </w:rPr>
              <w:t>tablero de Trello</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569C04">
            <w:pPr>
              <w:pStyle w:val="Compact"/>
              <w:jc w:val="left"/>
            </w:pPr>
            <w:r>
              <w:rPr>
                <w:rFonts w:ascii="Times New Roman" w:hAnsi="Times New Roman" w:eastAsia="Times New Roman" w:cs="Times New Roman"/>
                <w:color w:val="000000"/>
                <w:sz w:val="20"/>
                <w:szCs w:val="20"/>
              </w:rPr>
              <w:t>columna «Hecho · Especificación»; simular fechas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412F2">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B7ECC6">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A9CFCD">
            <w:pPr>
              <w:pStyle w:val="Compact"/>
              <w:jc w:val="left"/>
            </w:pPr>
            <w:r>
              <w:rPr>
                <w:rFonts w:ascii="Times New Roman" w:hAnsi="Times New Roman" w:eastAsia="Times New Roman" w:cs="Times New Roman"/>
                <w:color w:val="000000"/>
                <w:sz w:val="20"/>
                <w:szCs w:val="20"/>
              </w:rPr>
              <w:t>Programación con OpenCode y gentle-ai en modo ODD</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659F5C">
            <w:pPr>
              <w:pStyle w:val="Compact"/>
              <w:jc w:val="left"/>
            </w:pPr>
            <w:r>
              <w:rPr>
                <w:rFonts w:ascii="Times New Roman" w:hAnsi="Times New Roman" w:eastAsia="Times New Roman" w:cs="Times New Roman"/>
                <w:color w:val="000000"/>
                <w:sz w:val="20"/>
                <w:szCs w:val="20"/>
              </w:rPr>
              <w:t>ADR-065</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995646">
            <w:pPr>
              <w:pStyle w:val="Compact"/>
              <w:jc w:val="left"/>
            </w:pPr>
            <w:r>
              <w:rPr>
                <w:rFonts w:ascii="Times New Roman" w:hAnsi="Times New Roman" w:eastAsia="Times New Roman" w:cs="Times New Roman"/>
                <w:color w:val="000000"/>
                <w:sz w:val="20"/>
                <w:szCs w:val="20"/>
              </w:rPr>
              <w:t>SDD completo; herramientas propias; solo Claude Code</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C3BE23">
            <w:pPr>
              <w:pStyle w:val="Compact"/>
              <w:jc w:val="left"/>
            </w:pPr>
            <w:r>
              <w:rPr>
                <w:rFonts w:ascii="Times New Roman" w:hAnsi="Times New Roman" w:eastAsia="Times New Roman" w:cs="Times New Roman"/>
                <w:color w:val="000000"/>
                <w:sz w:val="20"/>
                <w:szCs w:val="20"/>
              </w:rPr>
              <w:t>modificado por ADR-067</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FE6FFA">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3ABF78">
            <w:pPr>
              <w:pStyle w:val="Compact"/>
              <w:jc w:val="left"/>
            </w:pPr>
            <w:r>
              <w:rPr>
                <w:rFonts w:ascii="Times New Roman" w:hAnsi="Times New Roman" w:eastAsia="Times New Roman" w:cs="Times New Roman"/>
                <w:color w:val="000000"/>
                <w:sz w:val="20"/>
                <w:szCs w:val="20"/>
              </w:rPr>
              <w:t>Distribución con</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bun run</w:t>
            </w:r>
            <w:r>
              <w:rPr>
                <w:rFonts w:ascii="Times New Roman" w:hAnsi="Times New Roman" w:eastAsia="Times New Roman" w:cs="Times New Roman"/>
                <w:color w:val="000000"/>
                <w:sz w:val="20"/>
                <w:szCs w:val="20"/>
              </w:rPr>
              <w:t>, Bun 1.3.14 y TypeScript 7.0.2</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ACFB4F">
            <w:pPr>
              <w:pStyle w:val="Compact"/>
              <w:jc w:val="left"/>
            </w:pPr>
            <w:r>
              <w:rPr>
                <w:rFonts w:ascii="Times New Roman" w:hAnsi="Times New Roman" w:eastAsia="Times New Roman" w:cs="Times New Roman"/>
                <w:color w:val="000000"/>
                <w:sz w:val="20"/>
                <w:szCs w:val="20"/>
              </w:rPr>
              <w:t>ADR-062</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3F8DDF">
            <w:pPr>
              <w:pStyle w:val="Compact"/>
              <w:jc w:val="left"/>
            </w:pPr>
            <w:r>
              <w:rPr>
                <w:rFonts w:ascii="Times New Roman" w:hAnsi="Times New Roman" w:eastAsia="Times New Roman" w:cs="Times New Roman"/>
                <w:color w:val="000000"/>
                <w:sz w:val="20"/>
                <w:szCs w:val="20"/>
              </w:rPr>
              <w:t>Bun 1.4.2; Docker para desarrollar; ejecutable único</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F74002">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899A8B">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FE868B">
            <w:pPr>
              <w:pStyle w:val="Compact"/>
              <w:jc w:val="left"/>
            </w:pPr>
            <w:r>
              <w:rPr>
                <w:rFonts w:ascii="Times New Roman" w:hAnsi="Times New Roman" w:eastAsia="Times New Roman" w:cs="Times New Roman"/>
                <w:color w:val="000000"/>
                <w:sz w:val="20"/>
                <w:szCs w:val="20"/>
              </w:rPr>
              <w:t>Modelo de datos de la Resolución</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1B5C37">
            <w:pPr>
              <w:pStyle w:val="Compact"/>
              <w:jc w:val="left"/>
            </w:pPr>
            <w:r>
              <w:rPr>
                <w:rFonts w:ascii="Times New Roman" w:hAnsi="Times New Roman" w:eastAsia="Times New Roman" w:cs="Times New Roman"/>
                <w:color w:val="000000"/>
                <w:sz w:val="20"/>
                <w:szCs w:val="20"/>
              </w:rPr>
              <w:t>ADR-061</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B377C6">
            <w:pPr>
              <w:pStyle w:val="Compact"/>
              <w:jc w:val="left"/>
            </w:pPr>
            <w:r>
              <w:rPr>
                <w:rFonts w:ascii="Times New Roman" w:hAnsi="Times New Roman" w:eastAsia="Times New Roman" w:cs="Times New Roman"/>
                <w:color w:val="000000"/>
                <w:sz w:val="20"/>
                <w:szCs w:val="20"/>
              </w:rPr>
              <w:t>caché por resumen E-02</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8B0433">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92EE88">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2354BA">
            <w:pPr>
              <w:pStyle w:val="Compact"/>
              <w:jc w:val="left"/>
            </w:pPr>
            <w:r>
              <w:rPr>
                <w:rFonts w:ascii="Times New Roman" w:hAnsi="Times New Roman" w:eastAsia="Times New Roman" w:cs="Times New Roman"/>
                <w:color w:val="000000"/>
                <w:sz w:val="20"/>
                <w:szCs w:val="20"/>
              </w:rPr>
              <w:t>Contrato del adaptador y modelo del rastro</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F22244">
            <w:pPr>
              <w:pStyle w:val="Compact"/>
              <w:jc w:val="left"/>
            </w:pPr>
            <w:r>
              <w:rPr>
                <w:rFonts w:ascii="Times New Roman" w:hAnsi="Times New Roman" w:eastAsia="Times New Roman" w:cs="Times New Roman"/>
                <w:color w:val="000000"/>
                <w:sz w:val="20"/>
                <w:szCs w:val="20"/>
              </w:rPr>
              <w:t>ADR-060</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3D428C">
            <w:pPr>
              <w:pStyle w:val="Compact"/>
              <w:jc w:val="left"/>
            </w:pPr>
            <w:r>
              <w:rPr>
                <w:rFonts w:ascii="Times New Roman" w:hAnsi="Times New Roman" w:eastAsia="Times New Roman" w:cs="Times New Roman"/>
                <w:color w:val="000000"/>
                <w:sz w:val="20"/>
                <w:szCs w:val="20"/>
              </w:rPr>
              <w:t>descriptor declarativo; adaptador que resuelve</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BC73F5">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01D939">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C86F3">
            <w:pPr>
              <w:pStyle w:val="Compact"/>
              <w:jc w:val="left"/>
            </w:pPr>
            <w:r>
              <w:rPr>
                <w:rFonts w:ascii="Times New Roman" w:hAnsi="Times New Roman" w:eastAsia="Times New Roman" w:cs="Times New Roman"/>
                <w:color w:val="000000"/>
                <w:sz w:val="20"/>
                <w:szCs w:val="20"/>
              </w:rPr>
              <w:t>Horas de los requisitos nuevos financiadas con la estabilización</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4B253">
            <w:pPr>
              <w:pStyle w:val="Compact"/>
              <w:jc w:val="left"/>
            </w:pPr>
            <w:r>
              <w:rPr>
                <w:rFonts w:ascii="Times New Roman" w:hAnsi="Times New Roman" w:eastAsia="Times New Roman" w:cs="Times New Roman"/>
                <w:color w:val="000000"/>
                <w:sz w:val="20"/>
                <w:szCs w:val="20"/>
              </w:rPr>
              <w:t>ADR-064</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07B272">
            <w:pPr>
              <w:pStyle w:val="Compact"/>
              <w:jc w:val="left"/>
            </w:pPr>
            <w:r>
              <w:rPr>
                <w:rFonts w:ascii="Times New Roman" w:hAnsi="Times New Roman" w:eastAsia="Times New Roman" w:cs="Times New Roman"/>
                <w:color w:val="000000"/>
                <w:sz w:val="20"/>
                <w:szCs w:val="20"/>
              </w:rPr>
              <w:t>elevar el total; usar la reserva documental</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2DA91">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F8B91F">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33372">
            <w:pPr>
              <w:pStyle w:val="Compact"/>
              <w:jc w:val="left"/>
            </w:pPr>
            <w:r>
              <w:rPr>
                <w:rFonts w:ascii="Times New Roman" w:hAnsi="Times New Roman" w:eastAsia="Times New Roman" w:cs="Times New Roman"/>
                <w:color w:val="000000"/>
                <w:sz w:val="20"/>
                <w:szCs w:val="20"/>
              </w:rPr>
              <w:t>Revisión del catálogo y de los casos de uso</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B7138A">
            <w:pPr>
              <w:pStyle w:val="Compact"/>
              <w:jc w:val="left"/>
            </w:pPr>
            <w:r>
              <w:rPr>
                <w:rFonts w:ascii="Times New Roman" w:hAnsi="Times New Roman" w:eastAsia="Times New Roman" w:cs="Times New Roman"/>
                <w:color w:val="000000"/>
                <w:sz w:val="20"/>
                <w:szCs w:val="20"/>
              </w:rPr>
              <w:t>ADR-059</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BE3377">
            <w:pPr>
              <w:pStyle w:val="Compact"/>
              <w:jc w:val="left"/>
            </w:pPr>
            <w:r>
              <w:rPr>
                <w:rFonts w:ascii="Times New Roman" w:hAnsi="Times New Roman" w:eastAsia="Times New Roman" w:cs="Times New Roman"/>
                <w:color w:val="000000"/>
                <w:sz w:val="20"/>
                <w:szCs w:val="20"/>
              </w:rPr>
              <w:t>conservar el CU-05 anterior</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1A8D95">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1A2C6B">
            <w:pPr>
              <w:pStyle w:val="Compact"/>
              <w:jc w:val="left"/>
            </w:pPr>
            <w:r>
              <w:rPr>
                <w:rFonts w:ascii="Times New Roman" w:hAnsi="Times New Roman" w:eastAsia="Times New Roman" w:cs="Times New Roman"/>
                <w:color w:val="000000"/>
                <w:sz w:val="20"/>
                <w:szCs w:val="20"/>
              </w:rPr>
              <w:t>29/09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422049">
            <w:pPr>
              <w:pStyle w:val="Compact"/>
              <w:jc w:val="left"/>
            </w:pPr>
            <w:r>
              <w:rPr>
                <w:rFonts w:ascii="Times New Roman" w:hAnsi="Times New Roman" w:eastAsia="Times New Roman" w:cs="Times New Roman"/>
                <w:color w:val="000000"/>
                <w:sz w:val="20"/>
                <w:szCs w:val="20"/>
              </w:rPr>
              <w:t>Arquitectura de puertos y adaptadores en tres paquetes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E70BAF">
            <w:pPr>
              <w:pStyle w:val="Compact"/>
              <w:jc w:val="left"/>
            </w:pPr>
            <w:r>
              <w:rPr>
                <w:rFonts w:ascii="Times New Roman" w:hAnsi="Times New Roman" w:eastAsia="Times New Roman" w:cs="Times New Roman"/>
                <w:color w:val="000000"/>
                <w:sz w:val="20"/>
                <w:szCs w:val="20"/>
              </w:rPr>
              <w:t>ADR-058</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51052">
            <w:pPr>
              <w:pStyle w:val="Compact"/>
              <w:jc w:val="left"/>
            </w:pPr>
            <w:r>
              <w:rPr>
                <w:rFonts w:ascii="Times New Roman" w:hAnsi="Times New Roman" w:eastAsia="Times New Roman" w:cs="Times New Roman"/>
                <w:color w:val="000000"/>
                <w:sz w:val="20"/>
                <w:szCs w:val="20"/>
              </w:rPr>
              <w:t>paquete único; excepciones con manejador global</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AEB8D9">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EB4B9F">
            <w:pPr>
              <w:pStyle w:val="Compact"/>
              <w:jc w:val="left"/>
            </w:pPr>
            <w:r>
              <w:rPr>
                <w:rFonts w:ascii="Times New Roman" w:hAnsi="Times New Roman" w:eastAsia="Times New Roman" w:cs="Times New Roman"/>
                <w:color w:val="000000"/>
                <w:sz w:val="20"/>
                <w:szCs w:val="20"/>
              </w:rPr>
              <w:t>28/09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77D8F">
            <w:pPr>
              <w:pStyle w:val="Compact"/>
              <w:jc w:val="left"/>
            </w:pPr>
            <w:r>
              <w:rPr>
                <w:rFonts w:ascii="Times New Roman" w:hAnsi="Times New Roman" w:eastAsia="Times New Roman" w:cs="Times New Roman"/>
                <w:color w:val="000000"/>
                <w:sz w:val="20"/>
                <w:szCs w:val="20"/>
              </w:rPr>
              <w:t>Entorno de referencia en contenedor</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6225B">
            <w:pPr>
              <w:pStyle w:val="Compact"/>
              <w:jc w:val="left"/>
            </w:pPr>
            <w:r>
              <w:rPr>
                <w:rFonts w:ascii="Times New Roman" w:hAnsi="Times New Roman" w:eastAsia="Times New Roman" w:cs="Times New Roman"/>
                <w:color w:val="000000"/>
                <w:sz w:val="20"/>
                <w:szCs w:val="20"/>
              </w:rPr>
              <w:t>ADR-049 y 050 (hoy ADR-054); D-47</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BE0C78">
            <w:pPr>
              <w:pStyle w:val="Compact"/>
              <w:jc w:val="left"/>
            </w:pPr>
            <w:r>
              <w:rPr>
                <w:rFonts w:ascii="Times New Roman" w:hAnsi="Times New Roman" w:eastAsia="Times New Roman" w:cs="Times New Roman"/>
                <w:color w:val="000000"/>
                <w:sz w:val="20"/>
                <w:szCs w:val="20"/>
              </w:rPr>
              <w:t>WSL dedicada; máquina virtual; arranque dual</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6E92F2">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DB40A">
            <w:pPr>
              <w:pStyle w:val="Compact"/>
              <w:jc w:val="left"/>
            </w:pPr>
            <w:r>
              <w:rPr>
                <w:rFonts w:ascii="Times New Roman" w:hAnsi="Times New Roman" w:eastAsia="Times New Roman" w:cs="Times New Roman"/>
                <w:color w:val="000000"/>
                <w:sz w:val="20"/>
                <w:szCs w:val="20"/>
              </w:rPr>
              <w:t>28/09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5964CC">
            <w:pPr>
              <w:pStyle w:val="Compact"/>
              <w:jc w:val="left"/>
            </w:pPr>
            <w:r>
              <w:rPr>
                <w:rFonts w:ascii="Times New Roman" w:hAnsi="Times New Roman" w:eastAsia="Times New Roman" w:cs="Times New Roman"/>
                <w:color w:val="000000"/>
                <w:sz w:val="20"/>
                <w:szCs w:val="20"/>
              </w:rPr>
              <w:t>Recursos financieros: tope de API y costo de hora del OPSSI</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10230F">
            <w:pPr>
              <w:pStyle w:val="Compact"/>
              <w:jc w:val="left"/>
            </w:pPr>
            <w:r>
              <w:rPr>
                <w:rFonts w:ascii="Times New Roman" w:hAnsi="Times New Roman" w:eastAsia="Times New Roman" w:cs="Times New Roman"/>
                <w:color w:val="000000"/>
                <w:sz w:val="20"/>
                <w:szCs w:val="20"/>
              </w:rPr>
              <w:t>ADR-048 (hoy ADR-057)</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F8199A">
            <w:pPr>
              <w:pStyle w:val="Compact"/>
              <w:jc w:val="left"/>
            </w:pPr>
            <w:r>
              <w:rPr>
                <w:rFonts w:ascii="Times New Roman" w:hAnsi="Times New Roman" w:eastAsia="Times New Roman" w:cs="Times New Roman"/>
                <w:color w:val="000000"/>
                <w:sz w:val="20"/>
                <w:szCs w:val="20"/>
              </w:rPr>
              <w:t>cifras del encuadre grupal</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7CC3F">
            <w:pPr>
              <w:pStyle w:val="Compact"/>
              <w:jc w:val="left"/>
            </w:pPr>
            <w:r>
              <w:rPr>
                <w:rFonts w:ascii="Times New Roman" w:hAnsi="Times New Roman" w:eastAsia="Times New Roman" w:cs="Times New Roman"/>
                <w:color w:val="000000"/>
                <w:sz w:val="20"/>
                <w:szCs w:val="20"/>
              </w:rPr>
              <w:t>tope y costo reemplazados por ADR-076</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C6A494">
            <w:pPr>
              <w:pStyle w:val="Compact"/>
              <w:jc w:val="left"/>
            </w:pPr>
            <w:r>
              <w:rPr>
                <w:rFonts w:ascii="Times New Roman" w:hAnsi="Times New Roman" w:eastAsia="Times New Roman" w:cs="Times New Roman"/>
                <w:color w:val="000000"/>
                <w:sz w:val="20"/>
                <w:szCs w:val="20"/>
              </w:rPr>
              <w:t>28/09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727C79">
            <w:pPr>
              <w:pStyle w:val="Compact"/>
              <w:jc w:val="left"/>
            </w:pPr>
            <w:r>
              <w:rPr>
                <w:rFonts w:ascii="Times New Roman" w:hAnsi="Times New Roman" w:eastAsia="Times New Roman" w:cs="Times New Roman"/>
                <w:color w:val="000000"/>
                <w:sz w:val="20"/>
                <w:szCs w:val="20"/>
              </w:rPr>
              <w:t>Planificación: 136 h técnicas y 54 de reserva, capacidad por días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3209BE">
            <w:pPr>
              <w:pStyle w:val="Compact"/>
              <w:jc w:val="left"/>
            </w:pPr>
            <w:r>
              <w:rPr>
                <w:rFonts w:ascii="Times New Roman" w:hAnsi="Times New Roman" w:eastAsia="Times New Roman" w:cs="Times New Roman"/>
                <w:color w:val="000000"/>
                <w:sz w:val="20"/>
                <w:szCs w:val="20"/>
              </w:rPr>
              <w:t>ADR-046 y 047 (hoy ADR-052)</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97BBF6">
            <w:pPr>
              <w:pStyle w:val="Compact"/>
              <w:jc w:val="left"/>
            </w:pPr>
            <w:r>
              <w:rPr>
                <w:rFonts w:ascii="Times New Roman" w:hAnsi="Times New Roman" w:eastAsia="Times New Roman" w:cs="Times New Roman"/>
                <w:color w:val="000000"/>
                <w:sz w:val="20"/>
                <w:szCs w:val="20"/>
              </w:rPr>
              <w:t>reparto por semanas nominales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152B40">
            <w:pPr>
              <w:pStyle w:val="Compact"/>
              <w:jc w:val="left"/>
            </w:pPr>
            <w:r>
              <w:rPr>
                <w:rFonts w:ascii="Times New Roman" w:hAnsi="Times New Roman" w:eastAsia="Times New Roman" w:cs="Times New Roman"/>
                <w:color w:val="000000"/>
                <w:sz w:val="20"/>
                <w:szCs w:val="20"/>
              </w:rPr>
              <w:t>vigente; ajustado por ADR-064</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C593EF">
            <w:pPr>
              <w:pStyle w:val="Compact"/>
              <w:jc w:val="left"/>
            </w:pPr>
            <w:r>
              <w:rPr>
                <w:rFonts w:ascii="Times New Roman" w:hAnsi="Times New Roman" w:eastAsia="Times New Roman" w:cs="Times New Roman"/>
                <w:color w:val="000000"/>
                <w:sz w:val="20"/>
                <w:szCs w:val="20"/>
              </w:rPr>
              <w:t>28/09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50F568">
            <w:pPr>
              <w:pStyle w:val="Compact"/>
              <w:jc w:val="left"/>
            </w:pPr>
            <w:r>
              <w:rPr>
                <w:rFonts w:ascii="Times New Roman" w:hAnsi="Times New Roman" w:eastAsia="Times New Roman" w:cs="Times New Roman"/>
                <w:color w:val="000000"/>
                <w:sz w:val="20"/>
                <w:szCs w:val="20"/>
              </w:rPr>
              <w:t>Proyecto de referencia de RNF-07</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96D389">
            <w:pPr>
              <w:pStyle w:val="Compact"/>
              <w:jc w:val="left"/>
            </w:pPr>
            <w:r>
              <w:rPr>
                <w:rFonts w:ascii="Times New Roman" w:hAnsi="Times New Roman" w:eastAsia="Times New Roman" w:cs="Times New Roman"/>
                <w:color w:val="000000"/>
                <w:sz w:val="20"/>
                <w:szCs w:val="20"/>
              </w:rPr>
              <w:t>ADR-045 (hoy ADR-055)</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F985AD">
            <w:pPr>
              <w:pStyle w:val="Compact"/>
              <w:jc w:val="left"/>
            </w:pPr>
            <w:r>
              <w:rPr>
                <w:rFonts w:ascii="Times New Roman" w:hAnsi="Times New Roman" w:eastAsia="Times New Roman" w:cs="Times New Roman"/>
                <w:color w:val="000000"/>
                <w:sz w:val="20"/>
                <w:szCs w:val="20"/>
              </w:rPr>
              <w:t>esperar el dato de la referente</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28FA3A">
            <w:pPr>
              <w:pStyle w:val="Compact"/>
              <w:jc w:val="left"/>
            </w:pPr>
            <w:r>
              <w:rPr>
                <w:rFonts w:ascii="Times New Roman" w:hAnsi="Times New Roman" w:eastAsia="Times New Roman" w:cs="Times New Roman"/>
                <w:color w:val="000000"/>
                <w:sz w:val="20"/>
                <w:szCs w:val="20"/>
              </w:rPr>
              <w:t>vigente; precisado por ADR-071</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76FF83">
            <w:pPr>
              <w:pStyle w:val="Compact"/>
              <w:jc w:val="left"/>
            </w:pPr>
            <w:r>
              <w:rPr>
                <w:rFonts w:ascii="Times New Roman" w:hAnsi="Times New Roman" w:eastAsia="Times New Roman" w:cs="Times New Roman"/>
                <w:color w:val="000000"/>
                <w:sz w:val="20"/>
                <w:szCs w:val="20"/>
              </w:rPr>
              <w:t>28/09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F1C27B">
            <w:pPr>
              <w:pStyle w:val="Compact"/>
              <w:jc w:val="left"/>
            </w:pPr>
            <w:r>
              <w:rPr>
                <w:rFonts w:ascii="Times New Roman" w:hAnsi="Times New Roman" w:eastAsia="Times New Roman" w:cs="Times New Roman"/>
                <w:color w:val="000000"/>
                <w:sz w:val="20"/>
                <w:szCs w:val="20"/>
              </w:rPr>
              <w:t>Acta de la validación con la referente</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304E29">
            <w:pPr>
              <w:pStyle w:val="Compact"/>
              <w:jc w:val="left"/>
            </w:pPr>
            <w:r>
              <w:rPr>
                <w:rFonts w:ascii="Times New Roman" w:hAnsi="Times New Roman" w:eastAsia="Times New Roman" w:cs="Times New Roman"/>
                <w:color w:val="000000"/>
                <w:sz w:val="20"/>
                <w:szCs w:val="20"/>
              </w:rPr>
              <w:t>acta del 26/09</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E5EF24">
            <w:pPr>
              <w:pStyle w:val="Compact"/>
              <w:jc w:val="left"/>
            </w:pPr>
            <w:r>
              <w:rPr>
                <w:rFonts w:ascii="Times New Roman" w:hAnsi="Times New Roman" w:eastAsia="Times New Roman" w:cs="Times New Roman"/>
                <w:color w:val="000000"/>
                <w:sz w:val="20"/>
                <w:szCs w:val="20"/>
              </w:rPr>
              <w:t>—</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A58CE6">
            <w:pPr>
              <w:pStyle w:val="Compact"/>
              <w:jc w:val="left"/>
            </w:pPr>
            <w:r>
              <w:rPr>
                <w:rFonts w:ascii="Times New Roman" w:hAnsi="Times New Roman" w:eastAsia="Times New Roman" w:cs="Times New Roman"/>
                <w:color w:val="000000"/>
                <w:sz w:val="20"/>
                <w:szCs w:val="20"/>
              </w:rPr>
              <w:t>constancia pendiente (U-04)</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1E2BE3">
            <w:pPr>
              <w:pStyle w:val="Compact"/>
              <w:jc w:val="left"/>
            </w:pPr>
            <w:r>
              <w:rPr>
                <w:rFonts w:ascii="Times New Roman" w:hAnsi="Times New Roman" w:eastAsia="Times New Roman" w:cs="Times New Roman"/>
                <w:color w:val="000000"/>
                <w:sz w:val="20"/>
                <w:szCs w:val="20"/>
              </w:rPr>
              <w:t>25/09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D874C5">
            <w:pPr>
              <w:pStyle w:val="Compact"/>
              <w:jc w:val="left"/>
            </w:pPr>
            <w:r>
              <w:rPr>
                <w:rFonts w:ascii="Times New Roman" w:hAnsi="Times New Roman" w:eastAsia="Times New Roman" w:cs="Times New Roman"/>
                <w:color w:val="000000"/>
                <w:sz w:val="20"/>
                <w:szCs w:val="20"/>
              </w:rPr>
              <w:t>RNF-07: consulta por CLI en menos de 2 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58FEFA">
            <w:pPr>
              <w:pStyle w:val="Compact"/>
              <w:jc w:val="left"/>
            </w:pPr>
            <w:r>
              <w:rPr>
                <w:rFonts w:ascii="Times New Roman" w:hAnsi="Times New Roman" w:eastAsia="Times New Roman" w:cs="Times New Roman"/>
                <w:color w:val="000000"/>
                <w:sz w:val="20"/>
                <w:szCs w:val="20"/>
              </w:rPr>
              <w:t>ADR-044 (hoy ADR-055)</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2147DB">
            <w:pPr>
              <w:pStyle w:val="Compact"/>
              <w:jc w:val="left"/>
            </w:pPr>
            <w:r>
              <w:rPr>
                <w:rFonts w:ascii="Times New Roman" w:hAnsi="Times New Roman" w:eastAsia="Times New Roman" w:cs="Times New Roman"/>
                <w:color w:val="000000"/>
                <w:sz w:val="20"/>
                <w:szCs w:val="20"/>
              </w:rPr>
              <w:t>umbral relativo al comando nativo; medir en la CI</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4FD37D">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65934">
            <w:pPr>
              <w:pStyle w:val="Compact"/>
              <w:jc w:val="left"/>
            </w:pPr>
            <w:r>
              <w:rPr>
                <w:rFonts w:ascii="Times New Roman" w:hAnsi="Times New Roman" w:eastAsia="Times New Roman" w:cs="Times New Roman"/>
                <w:color w:val="000000"/>
                <w:sz w:val="20"/>
                <w:szCs w:val="20"/>
              </w:rPr>
              <w:t>25/09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8344C0">
            <w:pPr>
              <w:pStyle w:val="Compact"/>
              <w:jc w:val="left"/>
            </w:pPr>
            <w:r>
              <w:rPr>
                <w:rFonts w:ascii="Times New Roman" w:hAnsi="Times New Roman" w:eastAsia="Times New Roman" w:cs="Times New Roman"/>
                <w:color w:val="000000"/>
                <w:sz w:val="20"/>
                <w:szCs w:val="20"/>
              </w:rPr>
              <w:t>Plataformas Ubuntu 26.04 y Windows 11 sin privilegios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B63BEB">
            <w:pPr>
              <w:pStyle w:val="Compact"/>
              <w:jc w:val="left"/>
            </w:pPr>
            <w:r>
              <w:rPr>
                <w:rFonts w:ascii="Times New Roman" w:hAnsi="Times New Roman" w:eastAsia="Times New Roman" w:cs="Times New Roman"/>
                <w:color w:val="000000"/>
                <w:sz w:val="20"/>
                <w:szCs w:val="20"/>
              </w:rPr>
              <w:t>ADR-037 (hoy ADR-054)</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756F3F">
            <w:pPr>
              <w:pStyle w:val="Compact"/>
              <w:jc w:val="left"/>
            </w:pPr>
            <w:r>
              <w:rPr>
                <w:rFonts w:ascii="Times New Roman" w:hAnsi="Times New Roman" w:eastAsia="Times New Roman" w:cs="Times New Roman"/>
                <w:color w:val="000000"/>
                <w:sz w:val="20"/>
                <w:szCs w:val="20"/>
              </w:rPr>
              <w:t>macOS sin acreditar</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90846">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5347B5">
            <w:pPr>
              <w:pStyle w:val="Compact"/>
              <w:jc w:val="left"/>
            </w:pPr>
            <w:r>
              <w:rPr>
                <w:rFonts w:ascii="Times New Roman" w:hAnsi="Times New Roman" w:eastAsia="Times New Roman" w:cs="Times New Roman"/>
                <w:color w:val="000000"/>
                <w:sz w:val="20"/>
                <w:szCs w:val="20"/>
              </w:rPr>
              <w:t>25/09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09A1EC">
            <w:pPr>
              <w:pStyle w:val="Compact"/>
              <w:jc w:val="left"/>
            </w:pPr>
            <w:r>
              <w:rPr>
                <w:rFonts w:ascii="Times New Roman" w:hAnsi="Times New Roman" w:eastAsia="Times New Roman" w:cs="Times New Roman"/>
                <w:color w:val="000000"/>
                <w:sz w:val="20"/>
                <w:szCs w:val="20"/>
              </w:rPr>
              <w:t>CLI completa y web limitada; salida versionada con</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--explicar</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3F4EA">
            <w:pPr>
              <w:pStyle w:val="Compact"/>
              <w:jc w:val="left"/>
            </w:pPr>
            <w:r>
              <w:rPr>
                <w:rFonts w:ascii="Times New Roman" w:hAnsi="Times New Roman" w:eastAsia="Times New Roman" w:cs="Times New Roman"/>
                <w:color w:val="000000"/>
                <w:sz w:val="20"/>
                <w:szCs w:val="20"/>
              </w:rPr>
              <w:t>ADR-036, 041 y 042 (hoy ADR-051)</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ACF403">
            <w:pPr>
              <w:pStyle w:val="Compact"/>
              <w:jc w:val="left"/>
            </w:pPr>
            <w:r>
              <w:rPr>
                <w:rFonts w:ascii="Times New Roman" w:hAnsi="Times New Roman" w:eastAsia="Times New Roman" w:cs="Times New Roman"/>
                <w:color w:val="000000"/>
                <w:sz w:val="20"/>
                <w:szCs w:val="20"/>
              </w:rPr>
              <w:t>solo CLI; exploración libre en la web</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01545E">
            <w:pPr>
              <w:pStyle w:val="Compact"/>
              <w:jc w:val="left"/>
            </w:pPr>
            <w:r>
              <w:rPr>
                <w:rFonts w:ascii="Times New Roman" w:hAnsi="Times New Roman" w:eastAsia="Times New Roman" w:cs="Times New Roman"/>
                <w:color w:val="000000"/>
                <w:sz w:val="20"/>
                <w:szCs w:val="20"/>
              </w:rPr>
              <w:t>vigente</w:t>
            </w:r>
          </w:p>
        </w:tc>
      </w:tr>
      <w:tr>
        <w:tc>
          <w:tcPr>
            <w:tcW w:w="1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930A97">
            <w:pPr>
              <w:pStyle w:val="Compact"/>
              <w:jc w:val="left"/>
            </w:pPr>
            <w:r>
              <w:rPr>
                <w:rFonts w:ascii="Times New Roman" w:hAnsi="Times New Roman" w:eastAsia="Times New Roman" w:cs="Times New Roman"/>
                <w:color w:val="000000"/>
                <w:sz w:val="20"/>
                <w:szCs w:val="20"/>
              </w:rPr>
              <w:t>25/09</w:t>
            </w:r>
          </w:p>
        </w:tc>
        <w:tc>
          <w:tcPr>
            <w:tcW w:w="3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47F900">
            <w:pPr>
              <w:pStyle w:val="Compact"/>
              <w:jc w:val="left"/>
            </w:pPr>
            <w:r>
              <w:rPr>
                <w:rFonts w:ascii="Times New Roman" w:hAnsi="Times New Roman" w:eastAsia="Times New Roman" w:cs="Times New Roman"/>
                <w:color w:val="000000"/>
                <w:sz w:val="20"/>
                <w:szCs w:val="20"/>
              </w:rPr>
              <w:t>Línea de base con herramientas como ejecutores, dieciséis casos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3E1094">
            <w:pPr>
              <w:pStyle w:val="Compact"/>
              <w:jc w:val="left"/>
            </w:pPr>
            <w:r>
              <w:rPr>
                <w:rFonts w:ascii="Times New Roman" w:hAnsi="Times New Roman" w:eastAsia="Times New Roman" w:cs="Times New Roman"/>
                <w:color w:val="000000"/>
                <w:sz w:val="20"/>
                <w:szCs w:val="20"/>
              </w:rPr>
              <w:t>ADR-040 (hoy ADR-053); D-41</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27B923">
            <w:pPr>
              <w:pStyle w:val="Compact"/>
              <w:jc w:val="left"/>
            </w:pPr>
            <w:r>
              <w:rPr>
                <w:rFonts w:ascii="Times New Roman" w:hAnsi="Times New Roman" w:eastAsia="Times New Roman" w:cs="Times New Roman"/>
                <w:color w:val="000000"/>
                <w:sz w:val="20"/>
                <w:szCs w:val="20"/>
              </w:rPr>
              <w:t>medición con personas; encuesta como línea de base</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95A4C1">
            <w:pPr>
              <w:pStyle w:val="Compact"/>
              <w:jc w:val="left"/>
            </w:pPr>
            <w:r>
              <w:rPr>
                <w:rFonts w:ascii="Times New Roman" w:hAnsi="Times New Roman" w:eastAsia="Times New Roman" w:cs="Times New Roman"/>
                <w:color w:val="000000"/>
                <w:sz w:val="20"/>
                <w:szCs w:val="20"/>
              </w:rPr>
              <w:t>vigente; herramientas modificadas por ADR-076</w:t>
            </w:r>
          </w:p>
        </w:tc>
      </w:tr>
    </w:tbl>
    <w:p w14:paraId="3E281035">
      <w:pPr>
        <w:pStyle w:val="Heading2"/>
        <w:jc w:val="left"/>
      </w:pPr>
      <w:r>
        <w:rPr>
          <w:rFonts w:ascii="Times New Roman" w:hAnsi="Times New Roman" w:eastAsia="Times New Roman" w:cs="Times New Roman"/>
          <w:b/>
          <w:bCs/>
          <w:color w:val="000000"/>
          <w:sz w:val="26"/>
          <w:szCs w:val="26"/>
        </w:rPr>
        <w:t>Entradas de la AE2</w:t>
      </w:r>
    </w:p>
    <w:p w14:paraId="6EB4C37B">
      <w:pPr>
        <w:pStyle w:val="Heading3"/>
        <w:jc w:val="left"/>
      </w:pPr>
      <w:r>
        <w:rPr>
          <w:rFonts w:ascii="Times New Roman" w:hAnsi="Times New Roman" w:eastAsia="Times New Roman" w:cs="Times New Roman"/>
          <w:b/>
          <w:bCs/>
          <w:color w:val="000000"/>
          <w:sz w:val="24"/>
          <w:szCs w:val="24"/>
        </w:rPr>
        <w:t>Entrada · Jueves 1 de octubre de 2026 (incluye la noche del 30 de septiembre) — Cierre del incremento 0 y corrección de los Capítulos IV, V y X</w:t>
      </w:r>
    </w:p>
    <w:p w14:paraId="575AE98C">
      <w:pPr>
        <w:numPr>
          <w:ilvl w:val="0"/>
          <w:numId w:val="1001"/>
        </w:numPr>
        <w:ind w:left="720" w:hanging="360"/>
        <w:jc w:val="both"/>
      </w:pPr>
      <w:r>
        <w:rPr>
          <w:rFonts w:ascii="Times New Roman" w:hAnsi="Times New Roman" w:eastAsia="Times New Roman" w:cs="Times New Roman"/>
          <w:b/>
          <w:bCs/>
          <w:color w:val="000000"/>
          <w:sz w:val="24"/>
          <w:szCs w:val="24"/>
        </w:rPr>
        <w:t>Decisión adoptada.</w:t>
      </w:r>
    </w:p>
    <w:p w14:paraId="2951C6E5">
      <w:pPr>
        <w:numPr>
          <w:ilvl w:val="1"/>
          <w:numId w:val="1002"/>
        </w:numPr>
        <w:ind w:left="1440" w:hanging="360"/>
        <w:jc w:val="both"/>
      </w:pPr>
      <w:r>
        <w:rPr>
          <w:rFonts w:ascii="Times New Roman" w:hAnsi="Times New Roman" w:eastAsia="Times New Roman" w:cs="Times New Roman"/>
          <w:b/>
          <w:bCs/>
          <w:color w:val="000000"/>
          <w:sz w:val="24"/>
          <w:szCs w:val="24"/>
        </w:rPr>
        <w:t>Diferencial (ADR-075).</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Adopté la combinación de la decisión de permiso con su regla determinante y la procedencia por declaración (RF-02 CA-8). Definí el aporte a OpenCode como salida estratégica y conservé el repositorio privado (D-31).</w:t>
      </w:r>
    </w:p>
    <w:p w14:paraId="1687055D">
      <w:pPr>
        <w:numPr>
          <w:ilvl w:val="1"/>
          <w:numId w:val="1002"/>
        </w:numPr>
        <w:ind w:left="1440" w:hanging="360"/>
        <w:jc w:val="both"/>
      </w:pPr>
      <w:r>
        <w:rPr>
          <w:rFonts w:ascii="Times New Roman" w:hAnsi="Times New Roman" w:eastAsia="Times New Roman" w:cs="Times New Roman"/>
          <w:b/>
          <w:bCs/>
          <w:color w:val="000000"/>
          <w:sz w:val="24"/>
          <w:szCs w:val="24"/>
        </w:rPr>
        <w:t>Planificación (D-36).</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Declaré una metodología iterativa e incremental, con elementos de Scrum y Crystal Clear. Sinteticé V.1 y organicé V.4 en cinco bloques; organicé la línea de base en una preparación y una ejecución de uno o dos días, con el resultado al 16/10.</w:t>
      </w:r>
    </w:p>
    <w:p w14:paraId="5C103018">
      <w:pPr>
        <w:numPr>
          <w:ilvl w:val="1"/>
          <w:numId w:val="1002"/>
        </w:numPr>
        <w:ind w:left="1440" w:hanging="360"/>
        <w:jc w:val="both"/>
      </w:pPr>
      <w:r>
        <w:rPr>
          <w:rFonts w:ascii="Times New Roman" w:hAnsi="Times New Roman" w:eastAsia="Times New Roman" w:cs="Times New Roman"/>
          <w:b/>
          <w:bCs/>
          <w:color w:val="000000"/>
          <w:sz w:val="24"/>
          <w:szCs w:val="24"/>
        </w:rPr>
        <w:t>Recursos (ADR-076).</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Elegí la suscripción a ChatGPT Plus (USD 20/mes). Adopté la medición en tokens, su equivalente monetario informativo y las tarifas congeladas al 01/10. Tomé la mediana junior de SysArmy ($8.876/h), organicé X.3 por partidas e incorporé Codex, Trello y matplotlib a X.4 (D-48, D-49 y D-60).</w:t>
      </w:r>
    </w:p>
    <w:p w14:paraId="5E7B8811">
      <w:pPr>
        <w:numPr>
          <w:ilvl w:val="1"/>
          <w:numId w:val="1002"/>
        </w:numPr>
        <w:ind w:left="1440" w:hanging="360"/>
        <w:jc w:val="both"/>
      </w:pPr>
      <w:r>
        <w:rPr>
          <w:rFonts w:ascii="Times New Roman" w:hAnsi="Times New Roman" w:eastAsia="Times New Roman" w:cs="Times New Roman"/>
          <w:b/>
          <w:bCs/>
          <w:color w:val="000000"/>
          <w:sz w:val="24"/>
          <w:szCs w:val="24"/>
        </w:rPr>
        <w:t>Incremento 0 (fichas</w:t>
      </w:r>
      <w:r>
        <w:rPr>
          <w:rFonts w:ascii="Times New Roman" w:hAnsi="Times New Roman" w:eastAsia="Times New Roman" w:cs="Times New Roman"/>
          <w:b/>
          <w:bCs/>
          <w:color w:val="000000"/>
          <w:sz w:val="24"/>
          <w:szCs w:val="24"/>
        </w:rPr>
        <w:t xml:space="preserve"> </w:t>
      </w:r>
      <w:r>
        <w:rPr>
          <w:rStyle w:val="VerbatimChar"/>
          <w:rFonts w:ascii="Consolas" w:hAnsi="Consolas" w:eastAsia="Times New Roman" w:cs="Times New Roman"/>
          <w:b/>
          <w:bCs/>
          <w:color w:val="000000"/>
          <w:sz w:val="22"/>
          <w:szCs w:val="24"/>
        </w:rPr>
        <w:t>inc0/</w:t>
      </w:r>
      <w:r>
        <w:rPr>
          <w:rFonts w:ascii="Times New Roman" w:hAnsi="Times New Roman" w:eastAsia="Times New Roman" w:cs="Times New Roman"/>
          <w:b/>
          <w:bCs/>
          <w:color w:val="000000"/>
          <w:sz w:val="24"/>
          <w:szCs w:val="24"/>
        </w:rPr>
        <w: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Fijé el contrato de errores de la CLI y probé ADR-067 sin supervisión constante. Cerré T0-11a a T0-13 y las mejoras inc0-c1 a inc0-c4 tras una revisión conforme; luego uní la rama con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main</w:t>
      </w:r>
      <w:r>
        <w:rPr>
          <w:rFonts w:ascii="Times New Roman" w:hAnsi="Times New Roman" w:eastAsia="Times New Roman" w:cs="Times New Roman"/>
          <w:color w:val="000000"/>
          <w:sz w:val="24"/>
          <w:szCs w:val="24"/>
        </w:rPr>
        <w:t>.</w:t>
      </w:r>
    </w:p>
    <w:p w14:paraId="74E44CCD">
      <w:pPr>
        <w:numPr>
          <w:ilvl w:val="1"/>
          <w:numId w:val="1002"/>
        </w:numPr>
        <w:ind w:left="1440" w:hanging="360"/>
        <w:jc w:val="both"/>
      </w:pPr>
      <w:r>
        <w:rPr>
          <w:rFonts w:ascii="Times New Roman" w:hAnsi="Times New Roman" w:eastAsia="Times New Roman" w:cs="Times New Roman"/>
          <w:b/>
          <w:bCs/>
          <w:color w:val="000000"/>
          <w:sz w:val="24"/>
          <w:szCs w:val="24"/>
        </w:rPr>
        <w:t>Errores y guardas (ADR-069 y ADR-070).</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Acepté el código 1 para los errores del entorno detectados antes de operar y el analizador propio para las guardas.</w:t>
      </w:r>
    </w:p>
    <w:p w14:paraId="1FA99F41">
      <w:pPr>
        <w:numPr>
          <w:ilvl w:val="1"/>
          <w:numId w:val="1002"/>
        </w:numPr>
        <w:ind w:left="1440" w:hanging="360"/>
        <w:jc w:val="both"/>
      </w:pPr>
      <w:r>
        <w:rPr>
          <w:rFonts w:ascii="Times New Roman" w:hAnsi="Times New Roman" w:eastAsia="Times New Roman" w:cs="Times New Roman"/>
          <w:b/>
          <w:bCs/>
          <w:color w:val="000000"/>
          <w:sz w:val="24"/>
          <w:szCs w:val="24"/>
        </w:rPr>
        <w:t>Integración continua.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Cambié el ejecutor del CI a</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ubuntu-26.04</w:t>
      </w:r>
      <w:r>
        <w:rPr>
          <w:rFonts w:ascii="Times New Roman" w:hAnsi="Times New Roman" w:eastAsia="Times New Roman" w:cs="Times New Roman"/>
          <w:color w:val="000000"/>
          <w:sz w:val="24"/>
          <w:szCs w:val="24"/>
        </w:rPr>
        <w:t>.</w:t>
      </w:r>
    </w:p>
    <w:p w14:paraId="03B34EF2">
      <w:pPr>
        <w:numPr>
          <w:ilvl w:val="0"/>
          <w:numId w:val="1001"/>
        </w:numPr>
        <w:ind w:left="720" w:hanging="360"/>
        <w:jc w:val="both"/>
      </w:pPr>
      <w:r>
        <w:rPr>
          <w:rFonts w:ascii="Times New Roman" w:hAnsi="Times New Roman" w:eastAsia="Times New Roman" w:cs="Times New Roman"/>
          <w:b/>
          <w:bCs/>
          <w:color w:val="000000"/>
          <w:sz w:val="24"/>
          <w:szCs w:val="24"/>
        </w:rPr>
        <w:t>Alternativas y criterio de descarte (recortes).</w:t>
      </w:r>
    </w:p>
    <w:p w14:paraId="42EBB933">
      <w:pPr>
        <w:numPr>
          <w:ilvl w:val="1"/>
          <w:numId w:val="1003"/>
        </w:numPr>
        <w:ind w:left="1440" w:hanging="360"/>
        <w:jc w:val="both"/>
      </w:pPr>
      <w:r>
        <w:rPr>
          <w:rFonts w:ascii="Times New Roman" w:hAnsi="Times New Roman" w:eastAsia="Times New Roman" w:cs="Times New Roman"/>
          <w:b/>
          <w:bCs/>
          <w:color w:val="000000"/>
          <w:sz w:val="24"/>
          <w:szCs w:val="24"/>
        </w:rPr>
        <w:t>Diferencial.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la explicación sola porque Amp y Codex ya evalúan decisiones.</w:t>
      </w:r>
    </w:p>
    <w:p w14:paraId="4838C8C4">
      <w:pPr>
        <w:numPr>
          <w:ilvl w:val="1"/>
          <w:numId w:val="1003"/>
        </w:numPr>
        <w:ind w:left="1440" w:hanging="360"/>
        <w:jc w:val="both"/>
      </w:pPr>
      <w:r>
        <w:rPr>
          <w:rFonts w:ascii="Times New Roman" w:hAnsi="Times New Roman" w:eastAsia="Times New Roman" w:cs="Times New Roman"/>
          <w:b/>
          <w:bCs/>
          <w:color w:val="000000"/>
          <w:sz w:val="24"/>
          <w:szCs w:val="24"/>
        </w:rPr>
        <w:t>Verificación.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la combinación sin criterio de aceptación porque dejaba el diferencial sin comprobar.</w:t>
      </w:r>
    </w:p>
    <w:p w14:paraId="5B44F21D">
      <w:pPr>
        <w:numPr>
          <w:ilvl w:val="1"/>
          <w:numId w:val="1003"/>
        </w:numPr>
        <w:ind w:left="1440" w:hanging="360"/>
        <w:jc w:val="both"/>
      </w:pPr>
      <w:r>
        <w:rPr>
          <w:rFonts w:ascii="Times New Roman" w:hAnsi="Times New Roman" w:eastAsia="Times New Roman" w:cs="Times New Roman"/>
          <w:b/>
          <w:bCs/>
          <w:color w:val="000000"/>
          <w:sz w:val="24"/>
          <w:szCs w:val="24"/>
        </w:rPr>
        <w:t>Sostenimiento.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 inversión, el núcleo abierto, el servicio alojado, la licencia dual y el soporte pago por las fuerzas de IV.3 (D-31).</w:t>
      </w:r>
    </w:p>
    <w:p w14:paraId="75CE9C35">
      <w:pPr>
        <w:numPr>
          <w:ilvl w:val="1"/>
          <w:numId w:val="1003"/>
        </w:numPr>
        <w:ind w:left="1440" w:hanging="360"/>
        <w:jc w:val="both"/>
      </w:pPr>
      <w:r>
        <w:rPr>
          <w:rFonts w:ascii="Times New Roman" w:hAnsi="Times New Roman" w:eastAsia="Times New Roman" w:cs="Times New Roman"/>
          <w:b/>
          <w:bCs/>
          <w:color w:val="000000"/>
          <w:sz w:val="24"/>
          <w:szCs w:val="24"/>
        </w:rPr>
        <w:t>Competidores.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 propuesta de Codex (incidencia n.º 26255) porque no está implementada; la conservé como señal de demanda.</w:t>
      </w:r>
    </w:p>
    <w:p w14:paraId="2B697FA9">
      <w:pPr>
        <w:numPr>
          <w:ilvl w:val="1"/>
          <w:numId w:val="1003"/>
        </w:numPr>
        <w:ind w:left="1440" w:hanging="360"/>
        <w:jc w:val="both"/>
      </w:pPr>
      <w:r>
        <w:rPr>
          <w:rFonts w:ascii="Times New Roman" w:hAnsi="Times New Roman" w:eastAsia="Times New Roman" w:cs="Times New Roman"/>
          <w:b/>
          <w:bCs/>
          <w:color w:val="000000"/>
          <w:sz w:val="24"/>
          <w:szCs w:val="24"/>
        </w:rPr>
        <w:t>Relevamiento.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del A.I.4 las categorías genéricas sin una herramienta con nombre.</w:t>
      </w:r>
    </w:p>
    <w:p w14:paraId="5256AD60">
      <w:pPr>
        <w:numPr>
          <w:ilvl w:val="1"/>
          <w:numId w:val="1003"/>
        </w:numPr>
        <w:ind w:left="1440" w:hanging="360"/>
        <w:jc w:val="both"/>
      </w:pPr>
      <w:r>
        <w:rPr>
          <w:rFonts w:ascii="Times New Roman" w:hAnsi="Times New Roman" w:eastAsia="Times New Roman" w:cs="Times New Roman"/>
          <w:b/>
          <w:bCs/>
          <w:color w:val="000000"/>
          <w:sz w:val="24"/>
          <w:szCs w:val="24"/>
        </w:rPr>
        <w:t>Presupuesto.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Reemplacé el tope de API de USD 50 y la estimación de USD 75 por la suscripción.</w:t>
      </w:r>
    </w:p>
    <w:p w14:paraId="4BE4524B">
      <w:pPr>
        <w:numPr>
          <w:ilvl w:val="1"/>
          <w:numId w:val="1003"/>
        </w:numPr>
        <w:ind w:left="1440" w:hanging="360"/>
        <w:jc w:val="both"/>
      </w:pPr>
      <w:r>
        <w:rPr>
          <w:rFonts w:ascii="Times New Roman" w:hAnsi="Times New Roman" w:eastAsia="Times New Roman" w:cs="Times New Roman"/>
          <w:b/>
          <w:bCs/>
          <w:color w:val="000000"/>
          <w:sz w:val="24"/>
          <w:szCs w:val="24"/>
        </w:rPr>
        <w:t>Proveedor.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OpenCode Go y Claude Pro como proveedores de la medición (D-48).</w:t>
      </w:r>
    </w:p>
    <w:p w14:paraId="6905099B">
      <w:pPr>
        <w:numPr>
          <w:ilvl w:val="1"/>
          <w:numId w:val="1003"/>
        </w:numPr>
        <w:ind w:left="1440" w:hanging="360"/>
        <w:jc w:val="both"/>
      </w:pPr>
      <w:r>
        <w:rPr>
          <w:rFonts w:ascii="Times New Roman" w:hAnsi="Times New Roman" w:eastAsia="Times New Roman" w:cs="Times New Roman"/>
          <w:b/>
          <w:bCs/>
          <w:color w:val="000000"/>
          <w:sz w:val="24"/>
          <w:szCs w:val="24"/>
        </w:rPr>
        <w:t>Costo horario.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 promedio del OPSSI porque mezcla seniorities.</w:t>
      </w:r>
    </w:p>
    <w:p w14:paraId="3133AB65">
      <w:pPr>
        <w:numPr>
          <w:ilvl w:val="1"/>
          <w:numId w:val="1003"/>
        </w:numPr>
        <w:ind w:left="1440" w:hanging="360"/>
        <w:jc w:val="both"/>
      </w:pPr>
      <w:r>
        <w:rPr>
          <w:rFonts w:ascii="Times New Roman" w:hAnsi="Times New Roman" w:eastAsia="Times New Roman" w:cs="Times New Roman"/>
          <w:b/>
          <w:bCs/>
          <w:color w:val="000000"/>
          <w:sz w:val="24"/>
          <w:szCs w:val="24"/>
        </w:rPr>
        <w:t>Honorarios.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los honorarios de los colegios profesionales porque son tarifas de otras provincias y no salarios (D-60).</w:t>
      </w:r>
    </w:p>
    <w:p w14:paraId="761CECC4">
      <w:pPr>
        <w:numPr>
          <w:ilvl w:val="1"/>
          <w:numId w:val="1003"/>
        </w:numPr>
        <w:ind w:left="1440" w:hanging="360"/>
        <w:jc w:val="both"/>
      </w:pPr>
      <w:r>
        <w:rPr>
          <w:rFonts w:ascii="Times New Roman" w:hAnsi="Times New Roman" w:eastAsia="Times New Roman" w:cs="Times New Roman"/>
          <w:b/>
          <w:bCs/>
          <w:color w:val="000000"/>
          <w:sz w:val="24"/>
          <w:szCs w:val="24"/>
        </w:rPr>
        <w:t>Texto del informe.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Retiré gentle-ai porque no aportó y genera confusión.</w:t>
      </w:r>
    </w:p>
    <w:p w14:paraId="0FBDB702">
      <w:pPr>
        <w:numPr>
          <w:ilvl w:val="1"/>
          <w:numId w:val="1003"/>
        </w:numPr>
        <w:ind w:left="1440" w:hanging="360"/>
        <w:jc w:val="both"/>
      </w:pPr>
      <w:r>
        <w:rPr>
          <w:rFonts w:ascii="Times New Roman" w:hAnsi="Times New Roman" w:eastAsia="Times New Roman" w:cs="Times New Roman"/>
          <w:b/>
          <w:bCs/>
          <w:color w:val="000000"/>
          <w:sz w:val="24"/>
          <w:szCs w:val="24"/>
        </w:rPr>
        <w:t>Texto del informe.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Retiré pandoc por decisión propia.</w:t>
      </w:r>
    </w:p>
    <w:p w14:paraId="364FACC3">
      <w:pPr>
        <w:numPr>
          <w:ilvl w:val="1"/>
          <w:numId w:val="1003"/>
        </w:numPr>
        <w:ind w:left="1440" w:hanging="360"/>
        <w:jc w:val="both"/>
      </w:pPr>
      <w:r>
        <w:rPr>
          <w:rFonts w:ascii="Times New Roman" w:hAnsi="Times New Roman" w:eastAsia="Times New Roman" w:cs="Times New Roman"/>
          <w:b/>
          <w:bCs/>
          <w:color w:val="000000"/>
          <w:sz w:val="24"/>
          <w:szCs w:val="24"/>
        </w:rPr>
        <w:t>Texto del informe.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Retiré el detalle de internet y del lugar de trabajo por decisión propia.</w:t>
      </w:r>
    </w:p>
    <w:p w14:paraId="27CD637E">
      <w:pPr>
        <w:numPr>
          <w:ilvl w:val="1"/>
          <w:numId w:val="1003"/>
        </w:numPr>
        <w:ind w:left="1440" w:hanging="360"/>
        <w:jc w:val="both"/>
      </w:pPr>
      <w:r>
        <w:rPr>
          <w:rFonts w:ascii="Times New Roman" w:hAnsi="Times New Roman" w:eastAsia="Times New Roman" w:cs="Times New Roman"/>
          <w:b/>
          <w:bCs/>
          <w:color w:val="000000"/>
          <w:sz w:val="24"/>
          <w:szCs w:val="24"/>
        </w:rPr>
        <w:t>Texto del informe.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Retiré la explicación técnica de la virtualización por decisión propia.</w:t>
      </w:r>
    </w:p>
    <w:p w14:paraId="4EAFD2FD">
      <w:pPr>
        <w:numPr>
          <w:ilvl w:val="1"/>
          <w:numId w:val="1003"/>
        </w:numPr>
        <w:ind w:left="1440" w:hanging="360"/>
        <w:jc w:val="both"/>
      </w:pPr>
      <w:r>
        <w:rPr>
          <w:rFonts w:ascii="Times New Roman" w:hAnsi="Times New Roman" w:eastAsia="Times New Roman" w:cs="Times New Roman"/>
          <w:b/>
          <w:bCs/>
          <w:color w:val="000000"/>
          <w:sz w:val="24"/>
          <w:szCs w:val="24"/>
        </w:rPr>
        <w:t>Jornada.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Dejé fuera las correcciones de los Caps. I y II, anotadas en la Ventana del AE1 (§8 a §10).</w:t>
      </w:r>
    </w:p>
    <w:p w14:paraId="6714B6A6">
      <w:pPr>
        <w:numPr>
          <w:ilvl w:val="1"/>
          <w:numId w:val="1003"/>
        </w:numPr>
        <w:ind w:left="1440" w:hanging="360"/>
        <w:jc w:val="both"/>
      </w:pPr>
      <w:r>
        <w:rPr>
          <w:rFonts w:ascii="Times New Roman" w:hAnsi="Times New Roman" w:eastAsia="Times New Roman" w:cs="Times New Roman"/>
          <w:b/>
          <w:bCs/>
          <w:color w:val="000000"/>
          <w:sz w:val="24"/>
          <w:szCs w:val="24"/>
        </w:rPr>
        <w:t>CLI.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 subcomando</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estado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porque ADR-062 C1 cierra la lista de subcomandos; reservé la consulta de estado para</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servir</w:t>
      </w:r>
      <w:r>
        <w:rPr>
          <w:rFonts w:ascii="Times New Roman" w:hAnsi="Times New Roman" w:eastAsia="Times New Roman" w:cs="Times New Roman"/>
          <w:color w:val="000000"/>
          <w:sz w:val="24"/>
          <w:szCs w:val="24"/>
        </w:rPr>
        <w:t>.</w:t>
      </w:r>
    </w:p>
    <w:p w14:paraId="17607558">
      <w:pPr>
        <w:numPr>
          <w:ilvl w:val="1"/>
          <w:numId w:val="1003"/>
        </w:numPr>
        <w:ind w:left="1440" w:hanging="360"/>
        <w:jc w:val="both"/>
      </w:pPr>
      <w:r>
        <w:rPr>
          <w:rFonts w:ascii="Times New Roman" w:hAnsi="Times New Roman" w:eastAsia="Times New Roman" w:cs="Times New Roman"/>
          <w:b/>
          <w:bCs/>
          <w:color w:val="000000"/>
          <w:sz w:val="24"/>
          <w:szCs w:val="24"/>
        </w:rPr>
        <w:t>Modelo de datos.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C6, la propuesta de precisar ADR-061 para admitir</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existsSync</w:t>
      </w:r>
      <w:r>
        <w:rPr>
          <w:rFonts w:ascii="Times New Roman" w:hAnsi="Times New Roman" w:eastAsia="Times New Roman" w:cs="Times New Roman"/>
          <w:color w:val="000000"/>
          <w:sz w:val="24"/>
          <w:szCs w:val="24"/>
        </w:rPr>
        <w:t>, porque una clase de ocho líneas no justifica reabrirlo.</w:t>
      </w:r>
    </w:p>
    <w:p w14:paraId="5BB9BA7B">
      <w:pPr>
        <w:numPr>
          <w:ilvl w:val="1"/>
          <w:numId w:val="1003"/>
        </w:numPr>
        <w:ind w:left="1440" w:hanging="360"/>
        <w:jc w:val="both"/>
      </w:pPr>
      <w:r>
        <w:rPr>
          <w:rFonts w:ascii="Times New Roman" w:hAnsi="Times New Roman" w:eastAsia="Times New Roman" w:cs="Times New Roman"/>
          <w:b/>
          <w:bCs/>
          <w:color w:val="000000"/>
          <w:sz w:val="24"/>
          <w:szCs w:val="24"/>
        </w:rPr>
        <w:t>Diagnóstico web.</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Diferí el diagnóstico con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--depurar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 RNF-04.</w:t>
      </w:r>
    </w:p>
    <w:p w14:paraId="6085F056">
      <w:pPr>
        <w:numPr>
          <w:ilvl w:val="1"/>
          <w:numId w:val="1003"/>
        </w:numPr>
        <w:ind w:left="1440" w:hanging="360"/>
        <w:jc w:val="both"/>
      </w:pPr>
      <w:r>
        <w:rPr>
          <w:rFonts w:ascii="Times New Roman" w:hAnsi="Times New Roman" w:eastAsia="Times New Roman" w:cs="Times New Roman"/>
          <w:b/>
          <w:bCs/>
          <w:color w:val="000000"/>
          <w:sz w:val="24"/>
          <w:szCs w:val="24"/>
        </w:rPr>
        <w:t>ADR-069.</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Diferí su programación al incremento 1 porque se aceptó después del cierre.</w:t>
      </w:r>
    </w:p>
    <w:p w14:paraId="479A4EB9">
      <w:pPr>
        <w:numPr>
          <w:ilvl w:val="1"/>
          <w:numId w:val="1003"/>
        </w:numPr>
        <w:ind w:left="1440" w:hanging="360"/>
        <w:jc w:val="both"/>
      </w:pPr>
      <w:r>
        <w:rPr>
          <w:rFonts w:ascii="Times New Roman" w:hAnsi="Times New Roman" w:eastAsia="Times New Roman" w:cs="Times New Roman"/>
          <w:b/>
          <w:bCs/>
          <w:color w:val="000000"/>
          <w:sz w:val="24"/>
          <w:szCs w:val="24"/>
        </w:rPr>
        <w:t>Sesión.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cerrar solo T0-11a porque las fichas siguientes entraron sin superar la cuota.</w:t>
      </w:r>
    </w:p>
    <w:p w14:paraId="32AFD83C">
      <w:pPr>
        <w:numPr>
          <w:ilvl w:val="0"/>
          <w:numId w:val="1001"/>
        </w:numPr>
        <w:ind w:left="720" w:hanging="360"/>
        <w:jc w:val="both"/>
      </w:pPr>
      <w:r>
        <w:rPr>
          <w:rFonts w:ascii="Times New Roman" w:hAnsi="Times New Roman" w:eastAsia="Times New Roman" w:cs="Times New Roman"/>
          <w:b/>
          <w:bCs/>
          <w:color w:val="000000"/>
          <w:sz w:val="24"/>
          <w:szCs w:val="24"/>
        </w:rPr>
        <w:t>Evidencia.</w:t>
      </w:r>
    </w:p>
    <w:p w14:paraId="0F63330B">
      <w:pPr>
        <w:numPr>
          <w:ilvl w:val="1"/>
          <w:numId w:val="1004"/>
        </w:numPr>
        <w:ind w:left="1440" w:hanging="360"/>
        <w:jc w:val="both"/>
      </w:pPr>
      <w:r>
        <w:rPr>
          <w:rFonts w:ascii="Times New Roman" w:hAnsi="Times New Roman" w:eastAsia="Times New Roman" w:cs="Times New Roman"/>
          <w:color w:val="000000"/>
          <w:sz w:val="24"/>
          <w:szCs w:val="24"/>
        </w:rPr>
        <w:t>La nómina de 33 competidores surge de una búsqueda con Codex (</w:t>
      </w:r>
      <w:r>
        <w:rPr>
          <w:rStyle w:val="VerbatimChar"/>
          <w:rFonts w:ascii="Consolas" w:hAnsi="Consolas" w:eastAsia="Times New Roman" w:cs="Times New Roman"/>
          <w:color w:val="000000"/>
          <w:sz w:val="22"/>
          <w:szCs w:val="24"/>
        </w:rPr>
        <w:t>00-gestion/fichas-redaccion/20261001-cap4-nomina-competidores.md</w:t>
      </w:r>
      <w:r>
        <w:rPr>
          <w:rFonts w:ascii="Times New Roman" w:hAnsi="Times New Roman" w:eastAsia="Times New Roman" w:cs="Times New Roman"/>
          <w:color w:val="000000"/>
          <w:sz w:val="24"/>
          <w:szCs w:val="24"/>
        </w:rPr>
        <w:t>, 01/10, A.I.4). Verifiqué en la documentación oficial</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amp permissions test</w:t>
      </w:r>
      <w:r>
        <w:rPr>
          <w:rFonts w:ascii="Times New Roman" w:hAnsi="Times New Roman" w:eastAsia="Times New Roman" w:cs="Times New Roman"/>
          <w:color w:val="000000"/>
          <w:sz w:val="24"/>
          <w:szCs w:val="24"/>
        </w:rPr>
        <w:t>, que informa la acción, la regla coincidente y el alcance, 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codex execpolicy check</w:t>
      </w:r>
      <w:r>
        <w:rPr>
          <w:rFonts w:ascii="Times New Roman" w:hAnsi="Times New Roman" w:eastAsia="Times New Roman" w:cs="Times New Roman"/>
          <w:color w:val="000000"/>
          <w:sz w:val="24"/>
          <w:szCs w:val="24"/>
        </w:rPr>
        <w:t>.</w:t>
      </w:r>
    </w:p>
    <w:p w14:paraId="7EF4869A">
      <w:pPr>
        <w:numPr>
          <w:ilvl w:val="1"/>
          <w:numId w:val="1004"/>
        </w:numPr>
        <w:ind w:left="1440" w:hanging="360"/>
        <w:jc w:val="both"/>
      </w:pPr>
      <w:r>
        <w:rPr>
          <w:rFonts w:ascii="Times New Roman" w:hAnsi="Times New Roman" w:eastAsia="Times New Roman" w:cs="Times New Roman"/>
          <w:color w:val="000000"/>
          <w:sz w:val="24"/>
          <w:szCs w:val="24"/>
        </w:rPr>
        <w:t>Me basé en los precios registrados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01-relevamiento/linea-base/tarifas-congeladas-20261001.json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 en la documentación de proveedores: la conexión de OpenCode con ChatGPT Plus está disponible desde la versión 1.1.11.</w:t>
      </w:r>
    </w:p>
    <w:p w14:paraId="69DFF557">
      <w:pPr>
        <w:numPr>
          <w:ilvl w:val="1"/>
          <w:numId w:val="1004"/>
        </w:numPr>
        <w:ind w:left="1440" w:hanging="360"/>
        <w:jc w:val="both"/>
      </w:pPr>
      <w:r>
        <w:rPr>
          <w:rFonts w:ascii="Times New Roman" w:hAnsi="Times New Roman" w:eastAsia="Times New Roman" w:cs="Times New Roman"/>
          <w:color w:val="000000"/>
          <w:sz w:val="24"/>
          <w:szCs w:val="24"/>
        </w:rPr>
        <w:t>Me basé en los anuncios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actions/runner-images</w:t>
      </w:r>
      <w:r>
        <w:rPr>
          <w:rFonts w:ascii="Times New Roman" w:hAnsi="Times New Roman" w:eastAsia="Times New Roman" w:cs="Times New Roman"/>
          <w:color w:val="000000"/>
          <w:sz w:val="24"/>
          <w:szCs w:val="24"/>
        </w:rPr>
        <w:t>: el ejecutor</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ubuntu-26.04</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está disponible desde el 17/09/2026 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ubuntu-latest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todavía corresponde a 24.04.</w:t>
      </w:r>
    </w:p>
    <w:p w14:paraId="39572E24">
      <w:pPr>
        <w:numPr>
          <w:ilvl w:val="1"/>
          <w:numId w:val="1004"/>
        </w:numPr>
        <w:ind w:left="1440" w:hanging="360"/>
        <w:jc w:val="both"/>
      </w:pPr>
      <w:r>
        <w:rPr>
          <w:rFonts w:ascii="Times New Roman" w:hAnsi="Times New Roman" w:eastAsia="Times New Roman" w:cs="Times New Roman"/>
          <w:color w:val="000000"/>
          <w:sz w:val="24"/>
          <w:szCs w:val="24"/>
        </w:rPr>
        <w:t>Tomé como referencia SysArmy 2026.01, con 4939 respuestas analizadas. La mediana junior queda pendiente de mi verificación directa.</w:t>
      </w:r>
    </w:p>
    <w:p w14:paraId="1370C6BC">
      <w:pPr>
        <w:numPr>
          <w:ilvl w:val="1"/>
          <w:numId w:val="1004"/>
        </w:numPr>
        <w:ind w:left="1440" w:hanging="360"/>
        <w:jc w:val="both"/>
      </w:pPr>
      <w:r>
        <w:rPr>
          <w:rFonts w:ascii="Times New Roman" w:hAnsi="Times New Roman" w:eastAsia="Times New Roman" w:cs="Times New Roman"/>
          <w:color w:val="000000"/>
          <w:sz w:val="24"/>
          <w:szCs w:val="24"/>
        </w:rPr>
        <w:t>Me basé en las fichas</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20261001-cap4.md</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20261001-cap5.md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20261001-cap10.md</w:t>
      </w:r>
      <w:r>
        <w:rPr>
          <w:rFonts w:ascii="Times New Roman" w:hAnsi="Times New Roman" w:eastAsia="Times New Roman" w:cs="Times New Roman"/>
          <w:color w:val="000000"/>
          <w:sz w:val="24"/>
          <w:szCs w:val="24"/>
        </w:rPr>
        <w:t>. Comprobé el CI en verde en Ubuntu y Windows desde el 30/09/2026, las 324 pruebas y el resultado PASS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bun run verificar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main</w:t>
      </w:r>
      <w:r>
        <w:rPr>
          <w:rFonts w:ascii="Times New Roman" w:hAnsi="Times New Roman" w:eastAsia="Times New Roman" w:cs="Times New Roman"/>
          <w:color w:val="000000"/>
          <w:sz w:val="24"/>
          <w:szCs w:val="24"/>
        </w:rPr>
        <w:t>.</w:t>
      </w:r>
    </w:p>
    <w:p w14:paraId="0C5FD1FD">
      <w:pPr>
        <w:numPr>
          <w:ilvl w:val="1"/>
          <w:numId w:val="1004"/>
        </w:numPr>
        <w:ind w:left="1440" w:hanging="360"/>
        <w:jc w:val="both"/>
      </w:pPr>
      <w:r>
        <w:rPr>
          <w:rFonts w:ascii="Times New Roman" w:hAnsi="Times New Roman" w:eastAsia="Times New Roman" w:cs="Times New Roman"/>
          <w:color w:val="000000"/>
          <w:sz w:val="24"/>
          <w:szCs w:val="24"/>
        </w:rPr>
        <w:t>Registré mi medición de T0-11a a inc0-c4 (30/09 y 01/10): ≈ 82 min de uso de herramientas y ≈ 13,5 M de tokens de entrada, casi todos en caché, contra ≈ 1 h y ≈ 8 M por tarea con ADR-065 (</w:t>
      </w:r>
      <w:r>
        <w:rPr>
          <w:rStyle w:val="VerbatimChar"/>
          <w:rFonts w:ascii="Consolas" w:hAnsi="Consolas" w:eastAsia="Times New Roman" w:cs="Times New Roman"/>
          <w:color w:val="000000"/>
          <w:sz w:val="22"/>
          <w:szCs w:val="24"/>
        </w:rPr>
        <w:t>00-gestion/fichas/inc0/INDICE.md</w:t>
      </w:r>
      <w:r>
        <w:rPr>
          <w:rFonts w:ascii="Times New Roman" w:hAnsi="Times New Roman" w:eastAsia="Times New Roman" w:cs="Times New Roman"/>
          <w:color w:val="000000"/>
          <w:sz w:val="24"/>
          <w:szCs w:val="24"/>
        </w:rPr>
        <w:t>). Comprobé que cumplen la meta de reloj de 15 min; la reanudación de inc0-c4 y los 20 archivos de inc0-c3 explican los dos excesos en tokens.</w:t>
      </w:r>
    </w:p>
    <w:p w14:paraId="136E1D8A">
      <w:pPr>
        <w:numPr>
          <w:ilvl w:val="0"/>
          <w:numId w:val="1001"/>
        </w:numPr>
        <w:ind w:left="720" w:hanging="360"/>
        <w:jc w:val="both"/>
      </w:pPr>
      <w:r>
        <w:rPr>
          <w:rFonts w:ascii="Times New Roman" w:hAnsi="Times New Roman" w:eastAsia="Times New Roman" w:cs="Times New Roman"/>
          <w:b/>
          <w:bCs/>
          <w:color w:val="000000"/>
          <w:sz w:val="24"/>
          <w:szCs w:val="24"/>
        </w:rPr>
        <w:t>Aporte personal.</w:t>
      </w:r>
    </w:p>
    <w:p w14:paraId="01C00673">
      <w:pPr>
        <w:numPr>
          <w:ilvl w:val="1"/>
          <w:numId w:val="1005"/>
        </w:numPr>
        <w:ind w:left="1440" w:hanging="360"/>
        <w:jc w:val="both"/>
      </w:pPr>
      <w:r>
        <w:rPr>
          <w:rFonts w:ascii="Times New Roman" w:hAnsi="Times New Roman" w:eastAsia="Times New Roman" w:cs="Times New Roman"/>
          <w:color w:val="000000"/>
          <w:sz w:val="24"/>
          <w:szCs w:val="24"/>
        </w:rPr>
        <w:t>Definí las correcciones, las suscripciones, el perfil junior y las tarifas. Registré el aporte en ADR-075, ADR-076, el Anexo III (D-31, D-36, D-41, D-48, D-49, D-59 y D-60), los Caps. IV, V y X, las Tablas 11, 15, 16 y 18 y las Figuras 2 y 3.</w:t>
      </w:r>
    </w:p>
    <w:p w14:paraId="349C8364">
      <w:pPr>
        <w:numPr>
          <w:ilvl w:val="1"/>
          <w:numId w:val="1005"/>
        </w:numPr>
        <w:ind w:left="1440" w:hanging="360"/>
        <w:jc w:val="both"/>
      </w:pPr>
      <w:r>
        <w:rPr>
          <w:rFonts w:ascii="Times New Roman" w:hAnsi="Times New Roman" w:eastAsia="Times New Roman" w:cs="Times New Roman"/>
          <w:color w:val="000000"/>
          <w:sz w:val="24"/>
          <w:szCs w:val="24"/>
        </w:rPr>
        <w:t>Fijé el contrato de errores. Utilicé la herramienta de apoyo para resolver con sus recomendaciones las consultas de implementación, para probar el método de ADR-067. Subí la rama, elegí las mejoras y la uní con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main</w:t>
      </w:r>
      <w:r>
        <w:rPr>
          <w:rFonts w:ascii="Times New Roman" w:hAnsi="Times New Roman" w:eastAsia="Times New Roman" w:cs="Times New Roman"/>
          <w:color w:val="000000"/>
          <w:sz w:val="24"/>
          <w:szCs w:val="24"/>
        </w:rPr>
        <w:t>; registré el aporte en las fichas</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inc0/</w:t>
      </w:r>
      <w:r>
        <w:rPr>
          <w:rFonts w:ascii="Times New Roman" w:hAnsi="Times New Roman" w:eastAsia="Times New Roman" w:cs="Times New Roman"/>
          <w:color w:val="000000"/>
          <w:sz w:val="24"/>
          <w:szCs w:val="24"/>
        </w:rPr>
        <w:t>, ADR-069, ADR-070,</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src/README.md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04-diseno/README.md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§1.</w:t>
      </w:r>
    </w:p>
    <w:p w14:paraId="28C9661E">
      <w:pPr>
        <w:numPr>
          <w:ilvl w:val="1"/>
          <w:numId w:val="1005"/>
        </w:numPr>
        <w:ind w:left="1440" w:hanging="360"/>
        <w:jc w:val="both"/>
      </w:pPr>
      <w:r>
        <w:rPr>
          <w:rFonts w:ascii="Times New Roman" w:hAnsi="Times New Roman" w:eastAsia="Times New Roman" w:cs="Times New Roman"/>
          <w:color w:val="000000"/>
          <w:sz w:val="24"/>
          <w:szCs w:val="24"/>
        </w:rPr>
        <w:t>Conservé la declaración de gentle-ai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src/README.md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§8 por una recomendación válida de la herramienta sobre cómo declarar el código ya generado.</w:t>
      </w:r>
    </w:p>
    <w:p w14:paraId="01A88F48">
      <w:pPr>
        <w:numPr>
          <w:ilvl w:val="0"/>
          <w:numId w:val="1001"/>
        </w:numPr>
        <w:ind w:left="720" w:hanging="360"/>
        <w:jc w:val="both"/>
      </w:pPr>
      <w:r>
        <w:rPr>
          <w:rFonts w:ascii="Times New Roman" w:hAnsi="Times New Roman" w:eastAsia="Times New Roman" w:cs="Times New Roman"/>
          <w:b/>
          <w:bCs/>
          <w:color w:val="000000"/>
          <w:sz w:val="24"/>
          <w:szCs w:val="24"/>
        </w:rPr>
        <w:t>Desacuerdo y resolución.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Proyecto individual; sin desacuerdos dentro del equipo. Rechacé nombrar otra causa para la reformulación de la línea de base que no fueran la entrevista con la referente y la reorientación del proyecto.</w:t>
      </w:r>
    </w:p>
    <w:p w14:paraId="4A4C8FAE">
      <w:pPr>
        <w:numPr>
          <w:ilvl w:val="0"/>
          <w:numId w:val="1001"/>
        </w:numPr>
        <w:ind w:left="720" w:hanging="360"/>
        <w:jc w:val="both"/>
      </w:pPr>
      <w:r>
        <w:rPr>
          <w:rFonts w:ascii="Times New Roman" w:hAnsi="Times New Roman" w:eastAsia="Times New Roman" w:cs="Times New Roman"/>
          <w:b/>
          <w:bCs/>
          <w:color w:val="000000"/>
          <w:sz w:val="24"/>
          <w:szCs w:val="24"/>
        </w:rPr>
        <w:t>Herramienta auxiliar.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Conforme a la declaración por período. Particularidad: las búsquedas y la asistencia en las correcciones del informe se hicieron con Codex, con un consumo del 14 % al 49 % de la ventana de cinco horas. Las Figuras 2 y 3 se generan con matplotlib mediante scripts del repositorio.</w:t>
      </w:r>
    </w:p>
    <w:p w14:paraId="6C49F730">
      <w:pPr>
        <w:pStyle w:val="Heading3"/>
        <w:jc w:val="left"/>
      </w:pPr>
      <w:r>
        <w:rPr>
          <w:rFonts w:ascii="Times New Roman" w:hAnsi="Times New Roman" w:eastAsia="Times New Roman" w:cs="Times New Roman"/>
          <w:b/>
          <w:bCs/>
          <w:color w:val="000000"/>
          <w:sz w:val="24"/>
          <w:szCs w:val="24"/>
        </w:rPr>
        <w:t>Entrada · Miércoles 30 de septiembre de 2026 — Tablero de gestión, cambio del método de programación e incremento 0 hasta T0-10</w:t>
      </w:r>
    </w:p>
    <w:p w14:paraId="334D9BBF">
      <w:pPr>
        <w:numPr>
          <w:ilvl w:val="0"/>
          <w:numId w:val="1006"/>
        </w:numPr>
        <w:ind w:left="720" w:hanging="360"/>
        <w:jc w:val="both"/>
      </w:pPr>
      <w:r>
        <w:rPr>
          <w:rFonts w:ascii="Times New Roman" w:hAnsi="Times New Roman" w:eastAsia="Times New Roman" w:cs="Times New Roman"/>
          <w:b/>
          <w:bCs/>
          <w:color w:val="000000"/>
          <w:sz w:val="24"/>
          <w:szCs w:val="24"/>
        </w:rPr>
        <w:t>Decisión adoptada.</w:t>
      </w:r>
    </w:p>
    <w:p w14:paraId="10C0A2C5">
      <w:pPr>
        <w:numPr>
          <w:ilvl w:val="1"/>
          <w:numId w:val="1007"/>
        </w:numPr>
        <w:ind w:left="1440" w:hanging="360"/>
        <w:jc w:val="both"/>
      </w:pPr>
      <w:r>
        <w:rPr>
          <w:rFonts w:ascii="Times New Roman" w:hAnsi="Times New Roman" w:eastAsia="Times New Roman" w:cs="Times New Roman"/>
          <w:b/>
          <w:bCs/>
          <w:color w:val="000000"/>
          <w:sz w:val="24"/>
          <w:szCs w:val="24"/>
        </w:rPr>
        <w:t>Tablero.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Definí un kanban por estados, con un máximo de dos tareas en curso, una columna «Hecho» por iteración y 47 tarjetas basadas en V.4, Tabla 18 y los entregables. Incorporé el prefijo, el color, las fechas reales y la reconstrucción declarada; las tareas inconclusas cambian de iteración en la misma tarjeta, con un comentario.</w:t>
      </w:r>
    </w:p>
    <w:p w14:paraId="3DD630CC">
      <w:pPr>
        <w:numPr>
          <w:ilvl w:val="1"/>
          <w:numId w:val="1007"/>
        </w:numPr>
        <w:ind w:left="1440" w:hanging="360"/>
        <w:jc w:val="both"/>
      </w:pPr>
      <w:r>
        <w:rPr>
          <w:rFonts w:ascii="Times New Roman" w:hAnsi="Times New Roman" w:eastAsia="Times New Roman" w:cs="Times New Roman"/>
          <w:b/>
          <w:bCs/>
          <w:color w:val="000000"/>
          <w:sz w:val="24"/>
          <w:szCs w:val="24"/>
        </w:rPr>
        <w:t>Errores (ADR-066).</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Fijé los códigos estables y la ubicación de los datos de ejecución en temporales, separados del repositorio.</w:t>
      </w:r>
    </w:p>
    <w:p w14:paraId="4FF79D55">
      <w:pPr>
        <w:numPr>
          <w:ilvl w:val="1"/>
          <w:numId w:val="1007"/>
        </w:numPr>
        <w:ind w:left="1440" w:hanging="360"/>
        <w:jc w:val="both"/>
      </w:pPr>
      <w:r>
        <w:rPr>
          <w:rFonts w:ascii="Times New Roman" w:hAnsi="Times New Roman" w:eastAsia="Times New Roman" w:cs="Times New Roman"/>
          <w:b/>
          <w:bCs/>
          <w:color w:val="000000"/>
          <w:sz w:val="24"/>
          <w:szCs w:val="24"/>
        </w:rPr>
        <w:t>Incremento 0 (fichas T0-01 a T0-09).</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Cerré las tareas con ADR-065 tras dos revisiones del documento ODD. Recuperé los casos de uso de ADR-058 y la validación de las vías contra el adaptador en la aplicación.</w:t>
      </w:r>
    </w:p>
    <w:p w14:paraId="2B701871">
      <w:pPr>
        <w:numPr>
          <w:ilvl w:val="1"/>
          <w:numId w:val="1007"/>
        </w:numPr>
        <w:ind w:left="1440" w:hanging="360"/>
        <w:jc w:val="both"/>
      </w:pPr>
      <w:r>
        <w:rPr>
          <w:rFonts w:ascii="Times New Roman" w:hAnsi="Times New Roman" w:eastAsia="Times New Roman" w:cs="Times New Roman"/>
          <w:b/>
          <w:bCs/>
          <w:color w:val="000000"/>
          <w:sz w:val="24"/>
          <w:szCs w:val="24"/>
        </w:rPr>
        <w:t>Programación (ADR-067).</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Desinstalé gentle-ai y elegí a Codex como apoyo para codificar por ficha y hacer el commit en la rama. Asigné al sistema del TIF un esquema de revisión; cerré T0-10 con ese método.</w:t>
      </w:r>
    </w:p>
    <w:p w14:paraId="093C895F">
      <w:pPr>
        <w:numPr>
          <w:ilvl w:val="0"/>
          <w:numId w:val="1006"/>
        </w:numPr>
        <w:ind w:left="720" w:hanging="360"/>
        <w:jc w:val="both"/>
      </w:pPr>
      <w:r>
        <w:rPr>
          <w:rFonts w:ascii="Times New Roman" w:hAnsi="Times New Roman" w:eastAsia="Times New Roman" w:cs="Times New Roman"/>
          <w:b/>
          <w:bCs/>
          <w:color w:val="000000"/>
          <w:sz w:val="24"/>
          <w:szCs w:val="24"/>
        </w:rPr>
        <w:t>Alternativas y criterio de descarte (recortes).</w:t>
      </w:r>
    </w:p>
    <w:p w14:paraId="22839329">
      <w:pPr>
        <w:numPr>
          <w:ilvl w:val="1"/>
          <w:numId w:val="1008"/>
        </w:numPr>
        <w:ind w:left="1440" w:hanging="360"/>
        <w:jc w:val="both"/>
      </w:pPr>
      <w:r>
        <w:rPr>
          <w:rFonts w:ascii="Times New Roman" w:hAnsi="Times New Roman" w:eastAsia="Times New Roman" w:cs="Times New Roman"/>
          <w:b/>
          <w:bCs/>
          <w:color w:val="000000"/>
          <w:sz w:val="24"/>
          <w:szCs w:val="24"/>
        </w:rPr>
        <w:t>Método.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mantener gentle-ai porque reproducía el costo medido.</w:t>
      </w:r>
    </w:p>
    <w:p w14:paraId="699D6251">
      <w:pPr>
        <w:numPr>
          <w:ilvl w:val="1"/>
          <w:numId w:val="1008"/>
        </w:numPr>
        <w:ind w:left="1440" w:hanging="360"/>
        <w:jc w:val="both"/>
      </w:pPr>
      <w:r>
        <w:rPr>
          <w:rFonts w:ascii="Times New Roman" w:hAnsi="Times New Roman" w:eastAsia="Times New Roman" w:cs="Times New Roman"/>
          <w:b/>
          <w:bCs/>
          <w:color w:val="000000"/>
          <w:sz w:val="24"/>
          <w:szCs w:val="24"/>
        </w:rPr>
        <w:t>Ajuste.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afinarlo sin SDD porque la delegación obligatoria y el espejo en Engram siguen en ODD, según su código.</w:t>
      </w:r>
    </w:p>
    <w:p w14:paraId="74C56BB5">
      <w:pPr>
        <w:numPr>
          <w:ilvl w:val="1"/>
          <w:numId w:val="1008"/>
        </w:numPr>
        <w:ind w:left="1440" w:hanging="360"/>
        <w:jc w:val="both"/>
      </w:pPr>
      <w:r>
        <w:rPr>
          <w:rFonts w:ascii="Times New Roman" w:hAnsi="Times New Roman" w:eastAsia="Times New Roman" w:cs="Times New Roman"/>
          <w:b/>
          <w:bCs/>
          <w:color w:val="000000"/>
          <w:sz w:val="24"/>
          <w:szCs w:val="24"/>
        </w:rPr>
        <w:t>Arnés.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OpenCode sin gentle-ai porque no aporta frente al arnés propio.</w:t>
      </w:r>
    </w:p>
    <w:p w14:paraId="327EE263">
      <w:pPr>
        <w:numPr>
          <w:ilvl w:val="1"/>
          <w:numId w:val="1008"/>
        </w:numPr>
        <w:ind w:left="1440" w:hanging="360"/>
        <w:jc w:val="both"/>
      </w:pPr>
      <w:r>
        <w:rPr>
          <w:rFonts w:ascii="Times New Roman" w:hAnsi="Times New Roman" w:eastAsia="Times New Roman" w:cs="Times New Roman"/>
          <w:b/>
          <w:bCs/>
          <w:color w:val="000000"/>
          <w:sz w:val="24"/>
          <w:szCs w:val="24"/>
        </w:rPr>
        <w:t>Orquestación.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Rechacé Codex en VS Code conmigo como intermediario porque exige una integración manual continua.</w:t>
      </w:r>
    </w:p>
    <w:p w14:paraId="179EA263">
      <w:pPr>
        <w:numPr>
          <w:ilvl w:val="1"/>
          <w:numId w:val="1008"/>
        </w:numPr>
        <w:ind w:left="1440" w:hanging="360"/>
        <w:jc w:val="both"/>
      </w:pPr>
      <w:r>
        <w:rPr>
          <w:rFonts w:ascii="Times New Roman" w:hAnsi="Times New Roman" w:eastAsia="Times New Roman" w:cs="Times New Roman"/>
          <w:b/>
          <w:bCs/>
          <w:color w:val="000000"/>
          <w:sz w:val="24"/>
          <w:szCs w:val="24"/>
        </w:rPr>
        <w:t>Independencia.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Claude Code como única herramienta de apoyo porque se pierde la independencia en la validación del código.</w:t>
      </w:r>
    </w:p>
    <w:p w14:paraId="536682EC">
      <w:pPr>
        <w:numPr>
          <w:ilvl w:val="1"/>
          <w:numId w:val="1008"/>
        </w:numPr>
        <w:ind w:left="1440" w:hanging="360"/>
        <w:jc w:val="both"/>
      </w:pPr>
      <w:r>
        <w:rPr>
          <w:rFonts w:ascii="Times New Roman" w:hAnsi="Times New Roman" w:eastAsia="Times New Roman" w:cs="Times New Roman"/>
          <w:b/>
          <w:bCs/>
          <w:color w:val="000000"/>
          <w:sz w:val="24"/>
          <w:szCs w:val="24"/>
        </w:rPr>
        <w:t>Proveedor.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Copilot Student porque, desde el 24/06/2026, solo permite la selección automática y ofrece 200 créditos.</w:t>
      </w:r>
    </w:p>
    <w:p w14:paraId="29B161F5">
      <w:pPr>
        <w:numPr>
          <w:ilvl w:val="1"/>
          <w:numId w:val="1008"/>
        </w:numPr>
        <w:ind w:left="1440" w:hanging="360"/>
        <w:jc w:val="both"/>
      </w:pPr>
      <w:r>
        <w:rPr>
          <w:rFonts w:ascii="Times New Roman" w:hAnsi="Times New Roman" w:eastAsia="Times New Roman" w:cs="Times New Roman"/>
          <w:b/>
          <w:bCs/>
          <w:color w:val="000000"/>
          <w:sz w:val="24"/>
          <w:szCs w:val="24"/>
        </w:rPr>
        <w:t>Implementación.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Diferí la implementación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puerto-ocupado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 T0-11b.</w:t>
      </w:r>
    </w:p>
    <w:p w14:paraId="4D2F99D3">
      <w:pPr>
        <w:numPr>
          <w:ilvl w:val="1"/>
          <w:numId w:val="1008"/>
        </w:numPr>
        <w:ind w:left="1440" w:hanging="360"/>
        <w:jc w:val="both"/>
      </w:pPr>
      <w:r>
        <w:rPr>
          <w:rFonts w:ascii="Times New Roman" w:hAnsi="Times New Roman" w:eastAsia="Times New Roman" w:cs="Times New Roman"/>
          <w:b/>
          <w:bCs/>
          <w:color w:val="000000"/>
          <w:sz w:val="24"/>
          <w:szCs w:val="24"/>
        </w:rPr>
        <w:t>Plataformas.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Mantuve diferida la acreditación de macOS (ADR-054).</w:t>
      </w:r>
    </w:p>
    <w:p w14:paraId="192E5CC0">
      <w:pPr>
        <w:numPr>
          <w:ilvl w:val="1"/>
          <w:numId w:val="1008"/>
        </w:numPr>
        <w:ind w:left="1440" w:hanging="360"/>
        <w:jc w:val="both"/>
      </w:pPr>
      <w:r>
        <w:rPr>
          <w:rFonts w:ascii="Times New Roman" w:hAnsi="Times New Roman" w:eastAsia="Times New Roman" w:cs="Times New Roman"/>
          <w:b/>
          <w:bCs/>
          <w:color w:val="000000"/>
          <w:sz w:val="24"/>
          <w:szCs w:val="24"/>
        </w:rPr>
        <w:t>Registro.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Congelé el documento ODD del incremento 0 como antecedente.</w:t>
      </w:r>
    </w:p>
    <w:p w14:paraId="5462D959">
      <w:pPr>
        <w:numPr>
          <w:ilvl w:val="1"/>
          <w:numId w:val="1008"/>
        </w:numPr>
        <w:ind w:left="1440" w:hanging="360"/>
        <w:jc w:val="both"/>
      </w:pPr>
      <w:r>
        <w:rPr>
          <w:rFonts w:ascii="Times New Roman" w:hAnsi="Times New Roman" w:eastAsia="Times New Roman" w:cs="Times New Roman"/>
          <w:b/>
          <w:bCs/>
          <w:color w:val="000000"/>
          <w:sz w:val="24"/>
          <w:szCs w:val="24"/>
        </w:rPr>
        <w:t>Revisiones.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Dejé de guardar las revisiones como archivos con ADR-067.</w:t>
      </w:r>
    </w:p>
    <w:p w14:paraId="1B4AA229">
      <w:pPr>
        <w:numPr>
          <w:ilvl w:val="1"/>
          <w:numId w:val="1008"/>
        </w:numPr>
        <w:ind w:left="1440" w:hanging="360"/>
        <w:jc w:val="both"/>
      </w:pPr>
      <w:r>
        <w:rPr>
          <w:rFonts w:ascii="Times New Roman" w:hAnsi="Times New Roman" w:eastAsia="Times New Roman" w:cs="Times New Roman"/>
          <w:b/>
          <w:bCs/>
          <w:color w:val="000000"/>
          <w:sz w:val="24"/>
          <w:szCs w:val="24"/>
        </w:rPr>
        <w:t>Tablero.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«Hecho · Especificación» para el período del 07/09 al 20/09 porque falta un historial fechado y obligaría a inventar fechas; el trabajo pertenece a la iteración 1.</w:t>
      </w:r>
    </w:p>
    <w:p w14:paraId="521D4B29">
      <w:pPr>
        <w:numPr>
          <w:ilvl w:val="1"/>
          <w:numId w:val="1008"/>
        </w:numPr>
        <w:ind w:left="1440" w:hanging="360"/>
        <w:jc w:val="both"/>
      </w:pPr>
      <w:r>
        <w:rPr>
          <w:rFonts w:ascii="Times New Roman" w:hAnsi="Times New Roman" w:eastAsia="Times New Roman" w:cs="Times New Roman"/>
          <w:b/>
          <w:bCs/>
          <w:color w:val="000000"/>
          <w:sz w:val="24"/>
          <w:szCs w:val="24"/>
        </w:rPr>
        <w:t>Estados.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las columnas organizadas solo por iteración porque perderían el estado exigido.</w:t>
      </w:r>
    </w:p>
    <w:p w14:paraId="4A2FEAB9">
      <w:pPr>
        <w:numPr>
          <w:ilvl w:val="1"/>
          <w:numId w:val="1008"/>
        </w:numPr>
        <w:ind w:left="1440" w:hanging="360"/>
        <w:jc w:val="both"/>
      </w:pPr>
      <w:r>
        <w:rPr>
          <w:rFonts w:ascii="Times New Roman" w:hAnsi="Times New Roman" w:eastAsia="Times New Roman" w:cs="Times New Roman"/>
          <w:b/>
          <w:bCs/>
          <w:color w:val="000000"/>
          <w:sz w:val="24"/>
          <w:szCs w:val="24"/>
        </w:rPr>
        <w:t>Fechas.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 simulación de fechas de creación anteriores porque Trello guarda la fecha real; declaré la reconstrucción.</w:t>
      </w:r>
    </w:p>
    <w:p w14:paraId="1B14121B">
      <w:pPr>
        <w:numPr>
          <w:ilvl w:val="1"/>
          <w:numId w:val="1008"/>
        </w:numPr>
        <w:ind w:left="1440" w:hanging="360"/>
        <w:jc w:val="both"/>
      </w:pPr>
      <w:r>
        <w:rPr>
          <w:rFonts w:ascii="Times New Roman" w:hAnsi="Times New Roman" w:eastAsia="Times New Roman" w:cs="Times New Roman"/>
          <w:b/>
          <w:bCs/>
          <w:color w:val="000000"/>
          <w:sz w:val="24"/>
          <w:szCs w:val="24"/>
        </w:rPr>
        <w:t>Calendario.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Dejé pendientes las fechas de cierre, de la Ventana y de la AE3 porque la cátedra no las fijó.</w:t>
      </w:r>
    </w:p>
    <w:p w14:paraId="2DEAB2E4">
      <w:pPr>
        <w:numPr>
          <w:ilvl w:val="1"/>
          <w:numId w:val="1008"/>
        </w:numPr>
        <w:ind w:left="1440" w:hanging="360"/>
        <w:jc w:val="both"/>
      </w:pPr>
      <w:r>
        <w:rPr>
          <w:rFonts w:ascii="Times New Roman" w:hAnsi="Times New Roman" w:eastAsia="Times New Roman" w:cs="Times New Roman"/>
          <w:b/>
          <w:bCs/>
          <w:color w:val="000000"/>
          <w:sz w:val="24"/>
          <w:szCs w:val="24"/>
        </w:rPr>
        <w:t>Metadatos.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No cargué las etiquetas de tipo, el responsable ni la fecha de inicio por los límites del conector. Incluí el tipo en la descripción y dejé a mi cargo la carga manual del responsable y de los nombres de las etiquetas.</w:t>
      </w:r>
    </w:p>
    <w:p w14:paraId="1D6DEFB7">
      <w:pPr>
        <w:numPr>
          <w:ilvl w:val="1"/>
          <w:numId w:val="1008"/>
        </w:numPr>
        <w:ind w:left="1440" w:hanging="360"/>
        <w:jc w:val="both"/>
      </w:pPr>
      <w:r>
        <w:rPr>
          <w:rFonts w:ascii="Times New Roman" w:hAnsi="Times New Roman" w:eastAsia="Times New Roman" w:cs="Times New Roman"/>
          <w:b/>
          <w:bCs/>
          <w:color w:val="000000"/>
          <w:sz w:val="24"/>
          <w:szCs w:val="24"/>
        </w:rPr>
        <w:t>Formalización.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Diferí registrar en un ADR el criterio del tablero.</w:t>
      </w:r>
    </w:p>
    <w:p w14:paraId="020CA6E0">
      <w:pPr>
        <w:numPr>
          <w:ilvl w:val="0"/>
          <w:numId w:val="1006"/>
        </w:numPr>
        <w:ind w:left="720" w:hanging="360"/>
        <w:jc w:val="both"/>
      </w:pPr>
      <w:r>
        <w:rPr>
          <w:rFonts w:ascii="Times New Roman" w:hAnsi="Times New Roman" w:eastAsia="Times New Roman" w:cs="Times New Roman"/>
          <w:b/>
          <w:bCs/>
          <w:color w:val="000000"/>
          <w:sz w:val="24"/>
          <w:szCs w:val="24"/>
        </w:rPr>
        <w:t>Evidencia.</w:t>
      </w:r>
    </w:p>
    <w:p w14:paraId="086BDCF8">
      <w:pPr>
        <w:numPr>
          <w:ilvl w:val="1"/>
          <w:numId w:val="1009"/>
        </w:numPr>
        <w:ind w:left="1440" w:hanging="360"/>
        <w:jc w:val="both"/>
      </w:pPr>
      <w:r>
        <w:rPr>
          <w:rFonts w:ascii="Times New Roman" w:hAnsi="Times New Roman" w:eastAsia="Times New Roman" w:cs="Times New Roman"/>
          <w:color w:val="000000"/>
          <w:sz w:val="24"/>
          <w:szCs w:val="24"/>
        </w:rPr>
        <w:t>Me basé en la guía AE2, el objeto 3, la dimensión 6 y la autoverificación; en V.1, Tabla 14 y V.4, Tablas 18 y 19; y en el historial del 24/09 al 30/09.</w:t>
      </w:r>
    </w:p>
    <w:p w14:paraId="74F4AADB">
      <w:pPr>
        <w:numPr>
          <w:ilvl w:val="1"/>
          <w:numId w:val="1009"/>
        </w:numPr>
        <w:ind w:left="1440" w:hanging="360"/>
        <w:jc w:val="both"/>
      </w:pPr>
      <w:r>
        <w:rPr>
          <w:rFonts w:ascii="Times New Roman" w:hAnsi="Times New Roman" w:eastAsia="Times New Roman" w:cs="Times New Roman"/>
          <w:color w:val="000000"/>
          <w:sz w:val="24"/>
          <w:szCs w:val="24"/>
        </w:rPr>
        <w:t>Analicé</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opencode.db</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para T0-01 a T0-09, el 30/09: ≈ 590 min de uso de herramientas frente a menos de 5 min manuales, 459 pasos y 196 llamadas a Engram; ≈ 69,5 M de tokens de caché y ≈ 3 M de entrada.</w:t>
      </w:r>
    </w:p>
    <w:p w14:paraId="7044BD96">
      <w:pPr>
        <w:numPr>
          <w:ilvl w:val="1"/>
          <w:numId w:val="1009"/>
        </w:numPr>
        <w:ind w:left="1440" w:hanging="360"/>
        <w:jc w:val="both"/>
      </w:pPr>
      <w:r>
        <w:rPr>
          <w:rFonts w:ascii="Times New Roman" w:hAnsi="Times New Roman" w:eastAsia="Times New Roman" w:cs="Times New Roman"/>
          <w:color w:val="000000"/>
          <w:sz w:val="24"/>
          <w:szCs w:val="24"/>
        </w:rPr>
        <w:t>Sustenté el cambio en gentle-shell #1494, las notas de gentle-ai 3.1 a 3.5 y mi prueba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codex exec</w:t>
      </w:r>
      <w:r>
        <w:rPr>
          <w:rFonts w:ascii="Times New Roman" w:hAnsi="Times New Roman" w:eastAsia="Times New Roman" w:cs="Times New Roman"/>
          <w:color w:val="000000"/>
          <w:sz w:val="24"/>
          <w:szCs w:val="24"/>
        </w:rPr>
        <w:t>.</w:t>
      </w:r>
    </w:p>
    <w:p w14:paraId="294DCCB0">
      <w:pPr>
        <w:numPr>
          <w:ilvl w:val="1"/>
          <w:numId w:val="1009"/>
        </w:numPr>
        <w:ind w:left="1440" w:hanging="360"/>
        <w:jc w:val="both"/>
      </w:pPr>
      <w:r>
        <w:rPr>
          <w:rFonts w:ascii="Times New Roman" w:hAnsi="Times New Roman" w:eastAsia="Times New Roman" w:cs="Times New Roman"/>
          <w:color w:val="000000"/>
          <w:sz w:val="24"/>
          <w:szCs w:val="24"/>
        </w:rPr>
        <w:t>Registré mi medición de T0-10, el 30/09: ≈ 6 min y ≈ 0,73 M de tokens de entrada (≈ 0,67 M en caché), contra ≈ 1 h y ≈ 8 M por tarea con ADR-065 (</w:t>
      </w:r>
      <w:r>
        <w:rPr>
          <w:rStyle w:val="VerbatimChar"/>
          <w:rFonts w:ascii="Consolas" w:hAnsi="Consolas" w:eastAsia="Times New Roman" w:cs="Times New Roman"/>
          <w:color w:val="000000"/>
          <w:sz w:val="22"/>
          <w:szCs w:val="24"/>
        </w:rPr>
        <w:t>00-gestion/fichas/inc0/INDICE.md</w:t>
      </w:r>
      <w:r>
        <w:rPr>
          <w:rFonts w:ascii="Times New Roman" w:hAnsi="Times New Roman" w:eastAsia="Times New Roman" w:cs="Times New Roman"/>
          <w:color w:val="000000"/>
          <w:sz w:val="24"/>
          <w:szCs w:val="24"/>
        </w:rPr>
        <w:t>). Comprobé 225 pruebas en T0-09 y 233 en T0-10.</w:t>
      </w:r>
    </w:p>
    <w:p w14:paraId="64E29A41">
      <w:pPr>
        <w:numPr>
          <w:ilvl w:val="0"/>
          <w:numId w:val="1006"/>
        </w:numPr>
        <w:ind w:left="720" w:hanging="360"/>
        <w:jc w:val="both"/>
      </w:pPr>
      <w:r>
        <w:rPr>
          <w:rFonts w:ascii="Times New Roman" w:hAnsi="Times New Roman" w:eastAsia="Times New Roman" w:cs="Times New Roman"/>
          <w:b/>
          <w:bCs/>
          <w:color w:val="000000"/>
          <w:sz w:val="24"/>
          <w:szCs w:val="24"/>
        </w:rPr>
        <w:t>Aporte personal.</w:t>
      </w:r>
    </w:p>
    <w:p w14:paraId="22FF75A7">
      <w:pPr>
        <w:numPr>
          <w:ilvl w:val="1"/>
          <w:numId w:val="1010"/>
        </w:numPr>
        <w:ind w:left="1440" w:hanging="360"/>
        <w:jc w:val="both"/>
      </w:pPr>
      <w:r>
        <w:rPr>
          <w:rFonts w:ascii="Times New Roman" w:hAnsi="Times New Roman" w:eastAsia="Times New Roman" w:cs="Times New Roman"/>
          <w:color w:val="000000"/>
          <w:sz w:val="24"/>
          <w:szCs w:val="24"/>
        </w:rPr>
        <w:t>Objeté el documento ODD a la herramienta de apoyo; la objeción resultó fundada y se incorporaron los casos de uso. Objeté la propuesta inicial y ADR-067 incorporó un proceso de revisión adicional. Marqué como inaceptable el consumo de más de 4 h y más del 25 % de mi cuota semanal; decidí cambiar las herramientas y retirar gentle-ai.</w:t>
      </w:r>
    </w:p>
    <w:p w14:paraId="5EDB3F33">
      <w:pPr>
        <w:numPr>
          <w:ilvl w:val="1"/>
          <w:numId w:val="1010"/>
        </w:numPr>
        <w:ind w:left="1440" w:hanging="360"/>
        <w:jc w:val="both"/>
      </w:pPr>
      <w:r>
        <w:rPr>
          <w:rFonts w:ascii="Times New Roman" w:hAnsi="Times New Roman" w:eastAsia="Times New Roman" w:cs="Times New Roman"/>
          <w:color w:val="000000"/>
          <w:sz w:val="24"/>
          <w:szCs w:val="24"/>
        </w:rPr>
        <w:t xml:space="preserve">Aprobé el tablero y la distinción visual, lo pasé a privado y completé </w:t>
      </w:r>
      <w:r>
        <w:rPr>
          <w:rStyle w:val="VerbatimChar"/>
          <w:rFonts w:ascii="Consolas" w:hAnsi="Consolas" w:eastAsia="Times New Roman" w:cs="Times New Roman"/>
          <w:color w:val="000000"/>
          <w:sz w:val="22"/>
          <w:szCs w:val="24"/>
        </w:rPr>
        <w:t>informe/datos-autor.yaml</w:t>
      </w:r>
      <w:r>
        <w:rPr>
          <w:rFonts w:ascii="Times New Roman" w:hAnsi="Times New Roman" w:eastAsia="Times New Roman" w:cs="Times New Roman"/>
          <w:color w:val="000000"/>
          <w:sz w:val="24"/>
          <w:szCs w:val="24"/>
        </w:rPr>
        <w:t xml:space="preserve">. Registré el aporte en </w:t>
      </w:r>
      <w:hyperlink r:id="rId13">
        <w:r>
          <w:rPr>
            <w:rStyle w:val="Hyperlink"/>
            <w:rFonts w:ascii="Times New Roman" w:hAnsi="Times New Roman" w:eastAsia="Times New Roman" w:cs="Times New Roman"/>
            <w:color w:val="000000" w:themeColor="accent1"/>
            <w:sz w:val="24"/>
            <w:szCs w:val="24"/>
          </w:rPr>
          <w:t>https://trello.com/b/BhNydwGK</w:t>
        </w:r>
      </w:hyperlink>
      <w:r>
        <w:rPr>
          <w:rFonts w:ascii="Times New Roman" w:hAnsi="Times New Roman" w:eastAsia="Times New Roman" w:cs="Times New Roman"/>
          <w:color w:val="000000"/>
          <w:sz w:val="24"/>
          <w:szCs w:val="24"/>
        </w:rPr>
        <w:t xml:space="preserve">, ADR-066, ADR-067, las fichas, </w:t>
      </w:r>
      <w:r>
        <w:rPr>
          <w:rStyle w:val="VerbatimChar"/>
          <w:rFonts w:ascii="Consolas" w:hAnsi="Consolas" w:eastAsia="Times New Roman" w:cs="Times New Roman"/>
          <w:color w:val="000000"/>
          <w:sz w:val="22"/>
          <w:szCs w:val="24"/>
        </w:rPr>
        <w:t>00-gestion/diseno-sistema-agentes.md</w:t>
      </w:r>
      <w:r>
        <w:rPr>
          <w:rFonts w:ascii="Times New Roman" w:hAnsi="Times New Roman" w:eastAsia="Times New Roman" w:cs="Times New Roman"/>
          <w:color w:val="000000"/>
          <w:sz w:val="24"/>
          <w:szCs w:val="24"/>
        </w:rPr>
        <w:t xml:space="preserve"> y la rama </w:t>
      </w:r>
      <w:r>
        <w:rPr>
          <w:rStyle w:val="VerbatimChar"/>
          <w:rFonts w:ascii="Consolas" w:hAnsi="Consolas" w:eastAsia="Times New Roman" w:cs="Times New Roman"/>
          <w:color w:val="000000"/>
          <w:sz w:val="22"/>
          <w:szCs w:val="24"/>
        </w:rPr>
        <w:t>inc0-esqueleto</w:t>
      </w:r>
      <w:r>
        <w:rPr>
          <w:rFonts w:ascii="Times New Roman" w:hAnsi="Times New Roman" w:eastAsia="Times New Roman" w:cs="Times New Roman"/>
          <w:color w:val="000000"/>
          <w:sz w:val="24"/>
          <w:szCs w:val="24"/>
        </w:rPr>
        <w:t>.</w:t>
      </w:r>
    </w:p>
    <w:p w14:paraId="703285E4">
      <w:pPr>
        <w:numPr>
          <w:ilvl w:val="0"/>
          <w:numId w:val="1006"/>
        </w:numPr>
        <w:ind w:left="720" w:hanging="360"/>
        <w:jc w:val="both"/>
      </w:pPr>
      <w:r>
        <w:rPr>
          <w:rFonts w:ascii="Times New Roman" w:hAnsi="Times New Roman" w:eastAsia="Times New Roman" w:cs="Times New Roman"/>
          <w:b/>
          <w:bCs/>
          <w:color w:val="000000"/>
          <w:sz w:val="24"/>
          <w:szCs w:val="24"/>
        </w:rPr>
        <w:t>Desacuerdo y resolución.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Proyecto individual; sin desacuerdos dentro del equipo.</w:t>
      </w:r>
    </w:p>
    <w:p w14:paraId="7761090F">
      <w:pPr>
        <w:numPr>
          <w:ilvl w:val="0"/>
          <w:numId w:val="1006"/>
        </w:numPr>
        <w:ind w:left="720" w:hanging="360"/>
        <w:jc w:val="both"/>
      </w:pPr>
      <w:r>
        <w:rPr>
          <w:rFonts w:ascii="Times New Roman" w:hAnsi="Times New Roman" w:eastAsia="Times New Roman" w:cs="Times New Roman"/>
          <w:b/>
          <w:bCs/>
          <w:color w:val="000000"/>
          <w:sz w:val="24"/>
          <w:szCs w:val="24"/>
        </w:rPr>
        <w:t>Herramienta auxiliar.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Conforme a la declaración por período. Particularidad: el tablero se creó con el conector de Trello, y desde T0-10 el código cuenta con el apoyo de Codex.</w:t>
      </w:r>
    </w:p>
    <w:p w14:paraId="759347F8">
      <w:pPr>
        <w:pStyle w:val="Heading3"/>
        <w:jc w:val="left"/>
      </w:pPr>
      <w:r>
        <w:rPr>
          <w:rFonts w:ascii="Times New Roman" w:hAnsi="Times New Roman" w:eastAsia="Times New Roman" w:cs="Times New Roman"/>
          <w:b/>
          <w:bCs/>
          <w:color w:val="000000"/>
          <w:sz w:val="24"/>
          <w:szCs w:val="24"/>
        </w:rPr>
        <w:t>Entrada · Martes 29 de septiembre de 2026 — Arquitectura, revisión del catálogo y diseño para programar el v1</w:t>
      </w:r>
    </w:p>
    <w:p w14:paraId="06399750">
      <w:pPr>
        <w:numPr>
          <w:ilvl w:val="0"/>
          <w:numId w:val="1011"/>
        </w:numPr>
        <w:ind w:left="720" w:hanging="360"/>
        <w:jc w:val="both"/>
      </w:pPr>
      <w:r>
        <w:rPr>
          <w:rFonts w:ascii="Times New Roman" w:hAnsi="Times New Roman" w:eastAsia="Times New Roman" w:cs="Times New Roman"/>
          <w:b/>
          <w:bCs/>
          <w:color w:val="000000"/>
          <w:sz w:val="24"/>
          <w:szCs w:val="24"/>
        </w:rPr>
        <w:t>Decisión adoptada.</w:t>
      </w:r>
    </w:p>
    <w:p w14:paraId="0B58B2CF">
      <w:pPr>
        <w:numPr>
          <w:ilvl w:val="1"/>
          <w:numId w:val="1012"/>
        </w:numPr>
        <w:ind w:left="1440" w:hanging="360"/>
        <w:jc w:val="both"/>
      </w:pPr>
      <w:r>
        <w:rPr>
          <w:rFonts w:ascii="Times New Roman" w:hAnsi="Times New Roman" w:eastAsia="Times New Roman" w:cs="Times New Roman"/>
          <w:b/>
          <w:bCs/>
          <w:color w:val="000000"/>
          <w:sz w:val="24"/>
          <w:szCs w:val="24"/>
        </w:rPr>
        <w:t>Arquitectura (ADR-058).</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Acepté la arquitectura de puertos y adaptadores, con tres paquetes aislados, un núcleo sin dependencias y la política de OpenCode en el adaptador. Adopté los errores categorizados y la falla visible.</w:t>
      </w:r>
    </w:p>
    <w:p w14:paraId="3D0D7D73">
      <w:pPr>
        <w:numPr>
          <w:ilvl w:val="1"/>
          <w:numId w:val="1012"/>
        </w:numPr>
        <w:ind w:left="1440" w:hanging="360"/>
        <w:jc w:val="both"/>
      </w:pPr>
      <w:r>
        <w:rPr>
          <w:rFonts w:ascii="Times New Roman" w:hAnsi="Times New Roman" w:eastAsia="Times New Roman" w:cs="Times New Roman"/>
          <w:b/>
          <w:bCs/>
          <w:color w:val="000000"/>
          <w:sz w:val="24"/>
          <w:szCs w:val="24"/>
        </w:rPr>
        <w:t>Catálogo (ADR-059).</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Revisé los casos, los criterios, RF-12 y RF-14; incorporé RF-16, RNF-09 y RNF-10. Dejé 17 Must de 26 requisitos, CU-01 como subfunción y CU-05 para explorar el comportamiento.</w:t>
      </w:r>
    </w:p>
    <w:p w14:paraId="4957AF25">
      <w:pPr>
        <w:numPr>
          <w:ilvl w:val="1"/>
          <w:numId w:val="1012"/>
        </w:numPr>
        <w:ind w:left="1440" w:hanging="360"/>
        <w:jc w:val="both"/>
      </w:pPr>
      <w:r>
        <w:rPr>
          <w:rFonts w:ascii="Times New Roman" w:hAnsi="Times New Roman" w:eastAsia="Times New Roman" w:cs="Times New Roman"/>
          <w:b/>
          <w:bCs/>
          <w:color w:val="000000"/>
          <w:sz w:val="24"/>
          <w:szCs w:val="24"/>
        </w:rPr>
        <w:t>Horas (ADR-064).</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Financié RNF-09 (+1 h) y RF-16 (+3 h) con la estabilización, que pasó de 15 a 11 h. Incluí RNF-10 en la tarea del evaluador y conservé las 136 h técnicas y la contingencia.</w:t>
      </w:r>
    </w:p>
    <w:p w14:paraId="464C4385">
      <w:pPr>
        <w:numPr>
          <w:ilvl w:val="1"/>
          <w:numId w:val="1012"/>
        </w:numPr>
        <w:ind w:left="1440" w:hanging="360"/>
        <w:jc w:val="both"/>
      </w:pPr>
      <w:r>
        <w:rPr>
          <w:rFonts w:ascii="Times New Roman" w:hAnsi="Times New Roman" w:eastAsia="Times New Roman" w:cs="Times New Roman"/>
          <w:b/>
          <w:bCs/>
          <w:color w:val="000000"/>
          <w:sz w:val="24"/>
          <w:szCs w:val="24"/>
        </w:rPr>
        <w:t>Adaptador (ADR-060).</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Adopté las aplicaciones ejecutadas por el núcleo, el evaluador del adaptador, los rastros de valor y de decisión, los tres orígenes y las posiciones originales. Definí la medición por el canal de error y el resumen E-02.</w:t>
      </w:r>
    </w:p>
    <w:p w14:paraId="79891BC1">
      <w:pPr>
        <w:numPr>
          <w:ilvl w:val="1"/>
          <w:numId w:val="1012"/>
        </w:numPr>
        <w:ind w:left="1440" w:hanging="360"/>
        <w:jc w:val="both"/>
      </w:pPr>
      <w:r>
        <w:rPr>
          <w:rFonts w:ascii="Times New Roman" w:hAnsi="Times New Roman" w:eastAsia="Times New Roman" w:cs="Times New Roman"/>
          <w:b/>
          <w:bCs/>
          <w:color w:val="000000"/>
          <w:sz w:val="24"/>
          <w:szCs w:val="24"/>
        </w:rPr>
        <w:t>Persistencia (ADR-061).</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Identifiqué el Proyecto por su ruta canónica y adopté la Resolución como JSON inmutable y versionado. Definí la retención de 20 resoluciones, el resumen E-02 informativo sin caché y el esquema explícito.</w:t>
      </w:r>
    </w:p>
    <w:p w14:paraId="7E444957">
      <w:pPr>
        <w:numPr>
          <w:ilvl w:val="1"/>
          <w:numId w:val="1012"/>
        </w:numPr>
        <w:ind w:left="1440" w:hanging="360"/>
        <w:jc w:val="both"/>
      </w:pPr>
      <w:r>
        <w:rPr>
          <w:rFonts w:ascii="Times New Roman" w:hAnsi="Times New Roman" w:eastAsia="Times New Roman" w:cs="Times New Roman"/>
          <w:b/>
          <w:bCs/>
          <w:color w:val="000000"/>
          <w:sz w:val="24"/>
          <w:szCs w:val="24"/>
        </w:rPr>
        <w:t>Distribución (ADR-062).</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Elegí</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bun run</w:t>
      </w:r>
      <w:r>
        <w:rPr>
          <w:rFonts w:ascii="Times New Roman" w:hAnsi="Times New Roman" w:eastAsia="Times New Roman" w:cs="Times New Roman"/>
          <w:color w:val="000000"/>
          <w:sz w:val="24"/>
          <w:szCs w:val="24"/>
        </w:rPr>
        <w:t>, Bun 1.3.14, TypeScript 7.0.2, el escape HTML, las dependencias exactas, la configuración explícita, las versiones independientes y las pruebas aisladas. Definí la observación de las vías locales y la falla visible ante el contenido en variables.</w:t>
      </w:r>
    </w:p>
    <w:p w14:paraId="280F52CD">
      <w:pPr>
        <w:numPr>
          <w:ilvl w:val="1"/>
          <w:numId w:val="1012"/>
        </w:numPr>
        <w:ind w:left="1440" w:hanging="360"/>
        <w:jc w:val="both"/>
      </w:pPr>
      <w:r>
        <w:rPr>
          <w:rFonts w:ascii="Times New Roman" w:hAnsi="Times New Roman" w:eastAsia="Times New Roman" w:cs="Times New Roman"/>
          <w:b/>
          <w:bCs/>
          <w:color w:val="000000"/>
          <w:sz w:val="24"/>
          <w:szCs w:val="24"/>
        </w:rPr>
        <w:t>Vertical (ADR-061 y ADR-062).</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Fijé el caso con RF-01 CA-1 y RD-01, la ejecución del build, una clave escalar y tres archivos. Definí la persistencia y la recuperación web tras reiniciar, con una referencia de OpenCode 1.18.25 en WSL.</w:t>
      </w:r>
    </w:p>
    <w:p w14:paraId="3DA6E724">
      <w:pPr>
        <w:numPr>
          <w:ilvl w:val="1"/>
          <w:numId w:val="1012"/>
        </w:numPr>
        <w:ind w:left="1440" w:hanging="360"/>
        <w:jc w:val="both"/>
      </w:pPr>
      <w:r>
        <w:rPr>
          <w:rFonts w:ascii="Times New Roman" w:hAnsi="Times New Roman" w:eastAsia="Times New Roman" w:cs="Times New Roman"/>
          <w:b/>
          <w:bCs/>
          <w:color w:val="000000"/>
          <w:sz w:val="24"/>
          <w:szCs w:val="24"/>
        </w:rPr>
        <w:t>Programación (ADR-065).</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Adopté OpenCode con gentle-ai en ODD, un documento revisado por incremento, TDD y commits en la rama. Esta decisión se modificó el 30/09 por ADR-067, sin gentle-ai.</w:t>
      </w:r>
    </w:p>
    <w:p w14:paraId="3275E2D0">
      <w:pPr>
        <w:numPr>
          <w:ilvl w:val="1"/>
          <w:numId w:val="1012"/>
        </w:numPr>
        <w:ind w:left="1440" w:hanging="360"/>
        <w:jc w:val="both"/>
      </w:pPr>
      <w:r>
        <w:rPr>
          <w:rFonts w:ascii="Times New Roman" w:hAnsi="Times New Roman" w:eastAsia="Times New Roman" w:cs="Times New Roman"/>
          <w:b/>
          <w:bCs/>
          <w:color w:val="000000"/>
          <w:sz w:val="24"/>
          <w:szCs w:val="24"/>
        </w:rPr>
        <w:t>Propagación (ADR-058 y ADR-060).</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Acoté RNF-04 y RR-02 a las sustituciones y precisé RF-07 y RF-16. Dejé RNF-04, RR-02 y RF-07 pendientes de informar a la referente.</w:t>
      </w:r>
    </w:p>
    <w:p w14:paraId="03429AC4">
      <w:pPr>
        <w:numPr>
          <w:ilvl w:val="0"/>
          <w:numId w:val="1011"/>
        </w:numPr>
        <w:ind w:left="720" w:hanging="360"/>
        <w:jc w:val="both"/>
      </w:pPr>
      <w:r>
        <w:rPr>
          <w:rFonts w:ascii="Times New Roman" w:hAnsi="Times New Roman" w:eastAsia="Times New Roman" w:cs="Times New Roman"/>
          <w:b/>
          <w:bCs/>
          <w:color w:val="000000"/>
          <w:sz w:val="24"/>
          <w:szCs w:val="24"/>
        </w:rPr>
        <w:t>Alternativas y criterio de descarte (recortes).</w:t>
      </w:r>
    </w:p>
    <w:p w14:paraId="68F4B665">
      <w:pPr>
        <w:numPr>
          <w:ilvl w:val="1"/>
          <w:numId w:val="1013"/>
        </w:numPr>
        <w:ind w:left="1440" w:hanging="360"/>
        <w:jc w:val="both"/>
      </w:pPr>
      <w:r>
        <w:rPr>
          <w:rFonts w:ascii="Times New Roman" w:hAnsi="Times New Roman" w:eastAsia="Times New Roman" w:cs="Times New Roman"/>
          <w:b/>
          <w:bCs/>
          <w:color w:val="000000"/>
          <w:sz w:val="24"/>
          <w:szCs w:val="24"/>
        </w:rPr>
        <w:t>Casos de uso.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Retiré el CU-05 anterior porque duplicaba objetivos y modelaba un canal.</w:t>
      </w:r>
    </w:p>
    <w:p w14:paraId="53351177">
      <w:pPr>
        <w:numPr>
          <w:ilvl w:val="1"/>
          <w:numId w:val="1013"/>
        </w:numPr>
        <w:ind w:left="1440" w:hanging="360"/>
        <w:jc w:val="both"/>
      </w:pPr>
      <w:r>
        <w:rPr>
          <w:rFonts w:ascii="Times New Roman" w:hAnsi="Times New Roman" w:eastAsia="Times New Roman" w:cs="Times New Roman"/>
          <w:b/>
          <w:bCs/>
          <w:color w:val="000000"/>
          <w:sz w:val="24"/>
          <w:szCs w:val="24"/>
        </w:rPr>
        <w:t>Numeración.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CU-06 porque preferí la continuidad; el CU-05 anterior no llegó a lectores externos.</w:t>
      </w:r>
    </w:p>
    <w:p w14:paraId="54A0154C">
      <w:pPr>
        <w:numPr>
          <w:ilvl w:val="1"/>
          <w:numId w:val="1013"/>
        </w:numPr>
        <w:ind w:left="1440" w:hanging="360"/>
        <w:jc w:val="both"/>
      </w:pPr>
      <w:r>
        <w:rPr>
          <w:rFonts w:ascii="Times New Roman" w:hAnsi="Times New Roman" w:eastAsia="Times New Roman" w:cs="Times New Roman"/>
          <w:b/>
          <w:bCs/>
          <w:color w:val="000000"/>
          <w:sz w:val="24"/>
          <w:szCs w:val="24"/>
        </w:rPr>
        <w:t>Listados.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Revisé L-06 solo porque toda consulta parte de un estado determinado.</w:t>
      </w:r>
    </w:p>
    <w:p w14:paraId="3DAB699D">
      <w:pPr>
        <w:numPr>
          <w:ilvl w:val="1"/>
          <w:numId w:val="1013"/>
        </w:numPr>
        <w:ind w:left="1440" w:hanging="360"/>
        <w:jc w:val="both"/>
      </w:pPr>
      <w:r>
        <w:rPr>
          <w:rFonts w:ascii="Times New Roman" w:hAnsi="Times New Roman" w:eastAsia="Times New Roman" w:cs="Times New Roman"/>
          <w:b/>
          <w:bCs/>
          <w:color w:val="000000"/>
          <w:sz w:val="24"/>
          <w:szCs w:val="24"/>
        </w:rPr>
        <w:t>Exportación y editor.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Los reformulé como capacidades de la CLI, sin integración con un editor.</w:t>
      </w:r>
    </w:p>
    <w:p w14:paraId="4742B9D3">
      <w:pPr>
        <w:numPr>
          <w:ilvl w:val="1"/>
          <w:numId w:val="1013"/>
        </w:numPr>
        <w:ind w:left="1440" w:hanging="360"/>
        <w:jc w:val="both"/>
      </w:pPr>
      <w:r>
        <w:rPr>
          <w:rFonts w:ascii="Times New Roman" w:hAnsi="Times New Roman" w:eastAsia="Times New Roman" w:cs="Times New Roman"/>
          <w:b/>
          <w:bCs/>
          <w:color w:val="000000"/>
          <w:sz w:val="24"/>
          <w:szCs w:val="24"/>
        </w:rPr>
        <w:t>Matriz e inversa.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Mantuve RF-15 como Won’t, conforme a la delimitación.</w:t>
      </w:r>
    </w:p>
    <w:p w14:paraId="3B2EBE8A">
      <w:pPr>
        <w:numPr>
          <w:ilvl w:val="1"/>
          <w:numId w:val="1013"/>
        </w:numPr>
        <w:ind w:left="1440" w:hanging="360"/>
        <w:jc w:val="both"/>
      </w:pPr>
      <w:r>
        <w:rPr>
          <w:rFonts w:ascii="Times New Roman" w:hAnsi="Times New Roman" w:eastAsia="Times New Roman" w:cs="Times New Roman"/>
          <w:b/>
          <w:bCs/>
          <w:color w:val="000000"/>
          <w:sz w:val="24"/>
          <w:szCs w:val="24"/>
        </w:rPr>
        <w:t>Relaciones.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Mantuve RF-13 diferido, conforme a la delimitación.</w:t>
      </w:r>
    </w:p>
    <w:p w14:paraId="59F407E4">
      <w:pPr>
        <w:numPr>
          <w:ilvl w:val="1"/>
          <w:numId w:val="1013"/>
        </w:numPr>
        <w:ind w:left="1440" w:hanging="360"/>
        <w:jc w:val="both"/>
      </w:pPr>
      <w:r>
        <w:rPr>
          <w:rFonts w:ascii="Times New Roman" w:hAnsi="Times New Roman" w:eastAsia="Times New Roman" w:cs="Times New Roman"/>
          <w:b/>
          <w:bCs/>
          <w:color w:val="000000"/>
          <w:sz w:val="24"/>
          <w:szCs w:val="24"/>
        </w:rPr>
        <w:t>Otros listados.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Mantuve excluidos los listados de otros elementos.</w:t>
      </w:r>
    </w:p>
    <w:p w14:paraId="659C85A8">
      <w:pPr>
        <w:numPr>
          <w:ilvl w:val="1"/>
          <w:numId w:val="1013"/>
        </w:numPr>
        <w:ind w:left="1440" w:hanging="360"/>
        <w:jc w:val="both"/>
      </w:pPr>
      <w:r>
        <w:rPr>
          <w:rFonts w:ascii="Times New Roman" w:hAnsi="Times New Roman" w:eastAsia="Times New Roman" w:cs="Times New Roman"/>
          <w:b/>
          <w:bCs/>
          <w:color w:val="000000"/>
          <w:sz w:val="24"/>
          <w:szCs w:val="24"/>
        </w:rPr>
        <w:t>Paquetes.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un paquete único porque la instalación aislada detecta las dependencias no declaradas y hace de RNF-03 una propiedad estructural.</w:t>
      </w:r>
    </w:p>
    <w:p w14:paraId="1E24E14F">
      <w:pPr>
        <w:numPr>
          <w:ilvl w:val="1"/>
          <w:numId w:val="1013"/>
        </w:numPr>
        <w:ind w:left="1440" w:hanging="360"/>
        <w:jc w:val="both"/>
      </w:pPr>
      <w:r>
        <w:rPr>
          <w:rFonts w:ascii="Times New Roman" w:hAnsi="Times New Roman" w:eastAsia="Times New Roman" w:cs="Times New Roman"/>
          <w:b/>
          <w:bCs/>
          <w:color w:val="000000"/>
          <w:sz w:val="24"/>
          <w:szCs w:val="24"/>
        </w:rPr>
        <w:t>Errores.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las excepciones con un manejador global porque convierten los errores en valores plausibles.</w:t>
      </w:r>
    </w:p>
    <w:p w14:paraId="2FDE6249">
      <w:pPr>
        <w:numPr>
          <w:ilvl w:val="1"/>
          <w:numId w:val="1013"/>
        </w:numPr>
        <w:ind w:left="1440" w:hanging="360"/>
        <w:jc w:val="both"/>
      </w:pPr>
      <w:r>
        <w:rPr>
          <w:rFonts w:ascii="Times New Roman" w:hAnsi="Times New Roman" w:eastAsia="Times New Roman" w:cs="Times New Roman"/>
          <w:b/>
          <w:bCs/>
          <w:color w:val="000000"/>
          <w:sz w:val="24"/>
          <w:szCs w:val="24"/>
        </w:rPr>
        <w:t>Permisos.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ubicar la política en el núcleo porque contradice RNF-03.</w:t>
      </w:r>
    </w:p>
    <w:p w14:paraId="29BF6D70">
      <w:pPr>
        <w:numPr>
          <w:ilvl w:val="1"/>
          <w:numId w:val="1013"/>
        </w:numPr>
        <w:ind w:left="1440" w:hanging="360"/>
        <w:jc w:val="both"/>
      </w:pPr>
      <w:r>
        <w:rPr>
          <w:rFonts w:ascii="Times New Roman" w:hAnsi="Times New Roman" w:eastAsia="Times New Roman" w:cs="Times New Roman"/>
          <w:b/>
          <w:bCs/>
          <w:color w:val="000000"/>
          <w:sz w:val="24"/>
          <w:szCs w:val="24"/>
        </w:rPr>
        <w:t>Estimación.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incorporar los requisitos nuevos sin horas porque ajusta artificialmente la cuenta (D-38).</w:t>
      </w:r>
    </w:p>
    <w:p w14:paraId="1C86A0DE">
      <w:pPr>
        <w:numPr>
          <w:ilvl w:val="1"/>
          <w:numId w:val="1013"/>
        </w:numPr>
        <w:ind w:left="1440" w:hanging="360"/>
        <w:jc w:val="both"/>
      </w:pPr>
      <w:r>
        <w:rPr>
          <w:rFonts w:ascii="Times New Roman" w:hAnsi="Times New Roman" w:eastAsia="Times New Roman" w:cs="Times New Roman"/>
          <w:b/>
          <w:bCs/>
          <w:color w:val="000000"/>
          <w:sz w:val="24"/>
          <w:szCs w:val="24"/>
        </w:rPr>
        <w:t>Reserva.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usar la reserva documental porque está comprometida.</w:t>
      </w:r>
    </w:p>
    <w:p w14:paraId="3C4F4703">
      <w:pPr>
        <w:numPr>
          <w:ilvl w:val="1"/>
          <w:numId w:val="1013"/>
        </w:numPr>
        <w:ind w:left="1440" w:hanging="360"/>
        <w:jc w:val="both"/>
      </w:pPr>
      <w:r>
        <w:rPr>
          <w:rFonts w:ascii="Times New Roman" w:hAnsi="Times New Roman" w:eastAsia="Times New Roman" w:cs="Times New Roman"/>
          <w:b/>
          <w:bCs/>
          <w:color w:val="000000"/>
          <w:sz w:val="24"/>
          <w:szCs w:val="24"/>
        </w:rPr>
        <w:t>Capacidad.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elevar el total porque declararía horas que no tengo.</w:t>
      </w:r>
    </w:p>
    <w:p w14:paraId="48605517">
      <w:pPr>
        <w:numPr>
          <w:ilvl w:val="1"/>
          <w:numId w:val="1013"/>
        </w:numPr>
        <w:ind w:left="1440" w:hanging="360"/>
        <w:jc w:val="both"/>
      </w:pPr>
      <w:r>
        <w:rPr>
          <w:rFonts w:ascii="Times New Roman" w:hAnsi="Times New Roman" w:eastAsia="Times New Roman" w:cs="Times New Roman"/>
          <w:b/>
          <w:bCs/>
          <w:color w:val="000000"/>
          <w:sz w:val="24"/>
          <w:szCs w:val="24"/>
        </w:rPr>
        <w:t>Orden.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Diferí el contrato, los datos, la distribución y las pruebas metamórficas a ADR-060 a ADR-063; resolví los tres primeros durante la jornada.</w:t>
      </w:r>
    </w:p>
    <w:p w14:paraId="09AAE534">
      <w:pPr>
        <w:numPr>
          <w:ilvl w:val="1"/>
          <w:numId w:val="1013"/>
        </w:numPr>
        <w:ind w:left="1440" w:hanging="360"/>
        <w:jc w:val="both"/>
      </w:pPr>
      <w:r>
        <w:rPr>
          <w:rFonts w:ascii="Times New Roman" w:hAnsi="Times New Roman" w:eastAsia="Times New Roman" w:cs="Times New Roman"/>
          <w:b/>
          <w:bCs/>
          <w:color w:val="000000"/>
          <w:sz w:val="24"/>
          <w:szCs w:val="24"/>
        </w:rPr>
        <w:t>Contrato.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 descriptor declarativo porque no expresa las derivaciones posteriores a la fusión.</w:t>
      </w:r>
    </w:p>
    <w:p w14:paraId="1D743F53">
      <w:pPr>
        <w:numPr>
          <w:ilvl w:val="1"/>
          <w:numId w:val="1013"/>
        </w:numPr>
        <w:ind w:left="1440" w:hanging="360"/>
        <w:jc w:val="both"/>
      </w:pPr>
      <w:r>
        <w:rPr>
          <w:rFonts w:ascii="Times New Roman" w:hAnsi="Times New Roman" w:eastAsia="Times New Roman" w:cs="Times New Roman"/>
          <w:b/>
          <w:bCs/>
          <w:color w:val="000000"/>
          <w:sz w:val="24"/>
          <w:szCs w:val="24"/>
        </w:rPr>
        <w:t>Responsabilidades.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que el adaptador resuelva y devuelva el rastro porque vacía el núcleo y trivializa la prueba ficticia.</w:t>
      </w:r>
    </w:p>
    <w:p w14:paraId="3578313B">
      <w:pPr>
        <w:numPr>
          <w:ilvl w:val="1"/>
          <w:numId w:val="1013"/>
        </w:numPr>
        <w:ind w:left="1440" w:hanging="360"/>
        <w:jc w:val="both"/>
      </w:pPr>
      <w:r>
        <w:rPr>
          <w:rFonts w:ascii="Times New Roman" w:hAnsi="Times New Roman" w:eastAsia="Times New Roman" w:cs="Times New Roman"/>
          <w:b/>
          <w:bCs/>
          <w:color w:val="000000"/>
          <w:sz w:val="24"/>
          <w:szCs w:val="24"/>
        </w:rPr>
        <w:t>Rastro.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un rastro genérico porque oculta la posición efectiva de las reglas de permiso (RD-02 y RD-03).</w:t>
      </w:r>
    </w:p>
    <w:p w14:paraId="7941DD36">
      <w:pPr>
        <w:numPr>
          <w:ilvl w:val="1"/>
          <w:numId w:val="1013"/>
        </w:numPr>
        <w:ind w:left="1440" w:hanging="360"/>
        <w:jc w:val="both"/>
      </w:pPr>
      <w:r>
        <w:rPr>
          <w:rFonts w:ascii="Times New Roman" w:hAnsi="Times New Roman" w:eastAsia="Times New Roman" w:cs="Times New Roman"/>
          <w:b/>
          <w:bCs/>
          <w:color w:val="000000"/>
          <w:sz w:val="24"/>
          <w:szCs w:val="24"/>
        </w:rPr>
        <w:t>Medición.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incluir la medición en la respuesta porque rompe el determinismo de RF-03. Definí que la medición sale a pedido por el canal de error.</w:t>
      </w:r>
    </w:p>
    <w:p w14:paraId="2166ED10">
      <w:pPr>
        <w:numPr>
          <w:ilvl w:val="1"/>
          <w:numId w:val="1013"/>
        </w:numPr>
        <w:ind w:left="1440" w:hanging="360"/>
        <w:jc w:val="both"/>
      </w:pPr>
      <w:r>
        <w:rPr>
          <w:rFonts w:ascii="Times New Roman" w:hAnsi="Times New Roman" w:eastAsia="Times New Roman" w:cs="Times New Roman"/>
          <w:b/>
          <w:bCs/>
          <w:color w:val="000000"/>
          <w:sz w:val="24"/>
          <w:szCs w:val="24"/>
        </w:rPr>
        <w:t>Secretos.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el contenido de las variables del resumen para proteger los secretos de baja entropía; acepté que sus cambios no alteren E-02.</w:t>
      </w:r>
    </w:p>
    <w:p w14:paraId="437B586A">
      <w:pPr>
        <w:numPr>
          <w:ilvl w:val="1"/>
          <w:numId w:val="1013"/>
        </w:numPr>
        <w:ind w:left="1440" w:hanging="360"/>
        <w:jc w:val="both"/>
      </w:pPr>
      <w:r>
        <w:rPr>
          <w:rFonts w:ascii="Times New Roman" w:hAnsi="Times New Roman" w:eastAsia="Times New Roman" w:cs="Times New Roman"/>
          <w:b/>
          <w:bCs/>
          <w:color w:val="000000"/>
          <w:sz w:val="24"/>
          <w:szCs w:val="24"/>
        </w:rPr>
        <w:t>Remotas.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las entradas remotas por RNF-05 y las declaré no observadas.</w:t>
      </w:r>
    </w:p>
    <w:p w14:paraId="2881DC40">
      <w:pPr>
        <w:numPr>
          <w:ilvl w:val="1"/>
          <w:numId w:val="1013"/>
        </w:numPr>
        <w:ind w:left="1440" w:hanging="360"/>
        <w:jc w:val="both"/>
      </w:pPr>
      <w:r>
        <w:rPr>
          <w:rFonts w:ascii="Times New Roman" w:hAnsi="Times New Roman" w:eastAsia="Times New Roman" w:cs="Times New Roman"/>
          <w:b/>
          <w:bCs/>
          <w:color w:val="000000"/>
          <w:sz w:val="24"/>
          <w:szCs w:val="24"/>
        </w:rPr>
        <w:t>Gentle Shell.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incorporar un tercer runtime sin una ventaja demostrada.</w:t>
      </w:r>
    </w:p>
    <w:p w14:paraId="1A987F1A">
      <w:pPr>
        <w:numPr>
          <w:ilvl w:val="1"/>
          <w:numId w:val="1013"/>
        </w:numPr>
        <w:ind w:left="1440" w:hanging="360"/>
        <w:jc w:val="both"/>
      </w:pPr>
      <w:r>
        <w:rPr>
          <w:rFonts w:ascii="Times New Roman" w:hAnsi="Times New Roman" w:eastAsia="Times New Roman" w:cs="Times New Roman"/>
          <w:b/>
          <w:bCs/>
          <w:color w:val="000000"/>
          <w:sz w:val="24"/>
          <w:szCs w:val="24"/>
        </w:rPr>
        <w:t>Flujo propio.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reinventar una disciplina genérica ya curada.</w:t>
      </w:r>
    </w:p>
    <w:p w14:paraId="36979930">
      <w:pPr>
        <w:numPr>
          <w:ilvl w:val="1"/>
          <w:numId w:val="1013"/>
        </w:numPr>
        <w:ind w:left="1440" w:hanging="360"/>
        <w:jc w:val="both"/>
      </w:pPr>
      <w:r>
        <w:rPr>
          <w:rFonts w:ascii="Times New Roman" w:hAnsi="Times New Roman" w:eastAsia="Times New Roman" w:cs="Times New Roman"/>
          <w:b/>
          <w:bCs/>
          <w:color w:val="000000"/>
          <w:sz w:val="24"/>
          <w:szCs w:val="24"/>
        </w:rPr>
        <w:t>Diferimientos.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Dejé los datos, la distribución y las pruebas metamórficas para ADR-061 a ADR-063; resolví los datos y la distribución ese día. Dejé la invocación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summary</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para la iteración 2.</w:t>
      </w:r>
    </w:p>
    <w:p w14:paraId="0D5182AA">
      <w:pPr>
        <w:numPr>
          <w:ilvl w:val="1"/>
          <w:numId w:val="1013"/>
        </w:numPr>
        <w:ind w:left="1440" w:hanging="360"/>
        <w:jc w:val="both"/>
      </w:pPr>
      <w:r>
        <w:rPr>
          <w:rFonts w:ascii="Times New Roman" w:hAnsi="Times New Roman" w:eastAsia="Times New Roman" w:cs="Times New Roman"/>
          <w:b/>
          <w:bCs/>
          <w:color w:val="000000"/>
          <w:sz w:val="24"/>
          <w:szCs w:val="24"/>
        </w:rPr>
        <w:t>Bun.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la versión 1.4.2 porque cambia el runtime y las expresiones regulares; OpenCode compila con 1.3.14.</w:t>
      </w:r>
    </w:p>
    <w:p w14:paraId="1D7FB9CF">
      <w:pPr>
        <w:numPr>
          <w:ilvl w:val="1"/>
          <w:numId w:val="1013"/>
        </w:numPr>
        <w:ind w:left="1440" w:hanging="360"/>
        <w:jc w:val="both"/>
      </w:pPr>
      <w:r>
        <w:rPr>
          <w:rFonts w:ascii="Times New Roman" w:hAnsi="Times New Roman" w:eastAsia="Times New Roman" w:cs="Times New Roman"/>
          <w:b/>
          <w:bCs/>
          <w:color w:val="000000"/>
          <w:sz w:val="24"/>
          <w:szCs w:val="24"/>
        </w:rPr>
        <w:t>TypeScript.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Reemplacé la versión anterior por 7.0.2 porque solo verifica tipos y comprobé su compatibilidad.</w:t>
      </w:r>
    </w:p>
    <w:p w14:paraId="75E5965D">
      <w:pPr>
        <w:numPr>
          <w:ilvl w:val="1"/>
          <w:numId w:val="1013"/>
        </w:numPr>
        <w:ind w:left="1440" w:hanging="360"/>
        <w:jc w:val="both"/>
      </w:pPr>
      <w:r>
        <w:rPr>
          <w:rFonts w:ascii="Times New Roman" w:hAnsi="Times New Roman" w:eastAsia="Times New Roman" w:cs="Times New Roman"/>
          <w:b/>
          <w:bCs/>
          <w:color w:val="000000"/>
          <w:sz w:val="24"/>
          <w:szCs w:val="24"/>
        </w:rPr>
        <w:t>Docker.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descarté para el desarrollo y la comprobación por los privilegios, el conflicto con RNF-09 y el ocultamiento del disco; lo reservé para el oráculo y la medición.</w:t>
      </w:r>
    </w:p>
    <w:p w14:paraId="002DFEEF">
      <w:pPr>
        <w:numPr>
          <w:ilvl w:val="1"/>
          <w:numId w:val="1013"/>
        </w:numPr>
        <w:ind w:left="1440" w:hanging="360"/>
        <w:jc w:val="both"/>
      </w:pPr>
      <w:r>
        <w:rPr>
          <w:rFonts w:ascii="Times New Roman" w:hAnsi="Times New Roman" w:eastAsia="Times New Roman" w:cs="Times New Roman"/>
          <w:b/>
          <w:bCs/>
          <w:color w:val="000000"/>
          <w:sz w:val="24"/>
          <w:szCs w:val="24"/>
        </w:rPr>
        <w:t>SDD.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 ciclo completo porque sus artefactos duplican el catálogo y los ADR.</w:t>
      </w:r>
    </w:p>
    <w:p w14:paraId="5B022BEA">
      <w:pPr>
        <w:numPr>
          <w:ilvl w:val="1"/>
          <w:numId w:val="1013"/>
        </w:numPr>
        <w:ind w:left="1440" w:hanging="360"/>
        <w:jc w:val="both"/>
      </w:pPr>
      <w:r>
        <w:rPr>
          <w:rFonts w:ascii="Times New Roman" w:hAnsi="Times New Roman" w:eastAsia="Times New Roman" w:cs="Times New Roman"/>
          <w:b/>
          <w:bCs/>
          <w:color w:val="000000"/>
          <w:sz w:val="24"/>
          <w:szCs w:val="24"/>
        </w:rPr>
        <w:t>Solo Claude Code.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descarté por la falta de independencia y la falta de continuidad al agotar el plan.</w:t>
      </w:r>
    </w:p>
    <w:p w14:paraId="534155D8">
      <w:pPr>
        <w:numPr>
          <w:ilvl w:val="1"/>
          <w:numId w:val="1013"/>
        </w:numPr>
        <w:ind w:left="1440" w:hanging="360"/>
        <w:jc w:val="both"/>
      </w:pPr>
      <w:r>
        <w:rPr>
          <w:rFonts w:ascii="Times New Roman" w:hAnsi="Times New Roman" w:eastAsia="Times New Roman" w:cs="Times New Roman"/>
          <w:b/>
          <w:bCs/>
          <w:color w:val="000000"/>
          <w:sz w:val="24"/>
          <w:szCs w:val="24"/>
        </w:rPr>
        <w:t>Herramientas propias.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descarté porque exigen mantener scripts extras y contaminan los escenarios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.opencode/</w:t>
      </w:r>
      <w:r>
        <w:rPr>
          <w:rFonts w:ascii="Times New Roman" w:hAnsi="Times New Roman" w:eastAsia="Times New Roman" w:cs="Times New Roman"/>
          <w:color w:val="000000"/>
          <w:sz w:val="24"/>
          <w:szCs w:val="24"/>
        </w:rPr>
        <w:t>.</w:t>
      </w:r>
    </w:p>
    <w:p w14:paraId="6A6B45AF">
      <w:pPr>
        <w:numPr>
          <w:ilvl w:val="1"/>
          <w:numId w:val="1013"/>
        </w:numPr>
        <w:ind w:left="1440" w:hanging="360"/>
        <w:jc w:val="both"/>
      </w:pPr>
      <w:r>
        <w:rPr>
          <w:rFonts w:ascii="Times New Roman" w:hAnsi="Times New Roman" w:eastAsia="Times New Roman" w:cs="Times New Roman"/>
          <w:b/>
          <w:bCs/>
          <w:color w:val="000000"/>
          <w:sz w:val="24"/>
          <w:szCs w:val="24"/>
        </w:rPr>
        <w:t>gentle-ai en Claude Code.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retiré por las instrucciones en conflicto y la eliminación de las confirmaciones de permisos.</w:t>
      </w:r>
    </w:p>
    <w:p w14:paraId="42CC00CA">
      <w:pPr>
        <w:numPr>
          <w:ilvl w:val="1"/>
          <w:numId w:val="1013"/>
        </w:numPr>
        <w:ind w:left="1440" w:hanging="360"/>
        <w:jc w:val="both"/>
      </w:pPr>
      <w:r>
        <w:rPr>
          <w:rFonts w:ascii="Times New Roman" w:hAnsi="Times New Roman" w:eastAsia="Times New Roman" w:cs="Times New Roman"/>
          <w:b/>
          <w:bCs/>
          <w:color w:val="000000"/>
          <w:sz w:val="24"/>
          <w:szCs w:val="24"/>
        </w:rPr>
        <w:t>Herramientas gratuitas.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excluí por el riesgo de uso de los datos.</w:t>
      </w:r>
    </w:p>
    <w:p w14:paraId="01019BDA">
      <w:pPr>
        <w:numPr>
          <w:ilvl w:val="1"/>
          <w:numId w:val="1013"/>
        </w:numPr>
        <w:ind w:left="1440" w:hanging="360"/>
        <w:jc w:val="both"/>
      </w:pPr>
      <w:r>
        <w:rPr>
          <w:rFonts w:ascii="Times New Roman" w:hAnsi="Times New Roman" w:eastAsia="Times New Roman" w:cs="Times New Roman"/>
          <w:b/>
          <w:bCs/>
          <w:color w:val="000000"/>
          <w:sz w:val="24"/>
          <w:szCs w:val="24"/>
        </w:rPr>
        <w:t>Caché y ejecutable.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Los excluí por ADR-023 y SmartScreen, respectivamente.</w:t>
      </w:r>
    </w:p>
    <w:p w14:paraId="5886E38C">
      <w:pPr>
        <w:numPr>
          <w:ilvl w:val="1"/>
          <w:numId w:val="1013"/>
        </w:numPr>
        <w:ind w:left="1440" w:hanging="360"/>
        <w:jc w:val="both"/>
      </w:pPr>
      <w:r>
        <w:rPr>
          <w:rFonts w:ascii="Times New Roman" w:hAnsi="Times New Roman" w:eastAsia="Times New Roman" w:cs="Times New Roman"/>
          <w:b/>
          <w:bCs/>
          <w:color w:val="000000"/>
          <w:sz w:val="24"/>
          <w:szCs w:val="24"/>
        </w:rPr>
        <w:t>Posteriores.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Diferí ADR-063, la versión real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.gitattributes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 los documentos de los incrementos 1 a 5.</w:t>
      </w:r>
    </w:p>
    <w:p w14:paraId="6957C90E">
      <w:pPr>
        <w:numPr>
          <w:ilvl w:val="0"/>
          <w:numId w:val="1011"/>
        </w:numPr>
        <w:ind w:left="720" w:hanging="360"/>
        <w:jc w:val="both"/>
      </w:pPr>
      <w:r>
        <w:rPr>
          <w:rFonts w:ascii="Times New Roman" w:hAnsi="Times New Roman" w:eastAsia="Times New Roman" w:cs="Times New Roman"/>
          <w:b/>
          <w:bCs/>
          <w:color w:val="000000"/>
          <w:sz w:val="24"/>
          <w:szCs w:val="24"/>
        </w:rPr>
        <w:t>Evidencia.</w:t>
      </w:r>
    </w:p>
    <w:p w14:paraId="57920877">
      <w:pPr>
        <w:numPr>
          <w:ilvl w:val="1"/>
          <w:numId w:val="1014"/>
        </w:numPr>
        <w:ind w:left="1440" w:hanging="360"/>
        <w:jc w:val="both"/>
      </w:pPr>
      <w:r>
        <w:rPr>
          <w:rFonts w:ascii="Times New Roman" w:hAnsi="Times New Roman" w:eastAsia="Times New Roman" w:cs="Times New Roman"/>
          <w:color w:val="000000"/>
          <w:sz w:val="24"/>
          <w:szCs w:val="24"/>
        </w:rPr>
        <w:t>Me basé en el tag</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v1.18.25</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 OpenCode,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01-relevamiento/linea-base/laboratorio-verificacion.md</w:t>
      </w:r>
      <w:r>
        <w:rPr>
          <w:rFonts w:ascii="Times New Roman" w:hAnsi="Times New Roman" w:eastAsia="Times New Roman" w:cs="Times New Roman"/>
          <w:color w:val="000000"/>
          <w:sz w:val="24"/>
          <w:szCs w:val="24"/>
        </w:rPr>
        <w:t>, E-12 y E-18, RD-01 a RD-07, RNF-03, E-01, E-02, H-18 y los criterios del catálogo.</w:t>
      </w:r>
    </w:p>
    <w:p w14:paraId="16999F0C">
      <w:pPr>
        <w:numPr>
          <w:ilvl w:val="1"/>
          <w:numId w:val="1014"/>
        </w:numPr>
        <w:ind w:left="1440" w:hanging="360"/>
        <w:jc w:val="both"/>
      </w:pPr>
      <w:r>
        <w:rPr>
          <w:rFonts w:ascii="Times New Roman" w:hAnsi="Times New Roman" w:eastAsia="Times New Roman" w:cs="Times New Roman"/>
          <w:color w:val="000000"/>
          <w:sz w:val="24"/>
          <w:szCs w:val="24"/>
        </w:rPr>
        <w:t>Me basé en I.6.1, I.6.4 y la Tabla 9 del AE1, V.5 y la Tabla 20, ADR-052, D-38 y la guía de comprobación del v1. Utilicé la documentación oficial y mis pruebas de compatibilidad del 29/09.</w:t>
      </w:r>
    </w:p>
    <w:p w14:paraId="7BE35791">
      <w:pPr>
        <w:numPr>
          <w:ilvl w:val="1"/>
          <w:numId w:val="1014"/>
        </w:numPr>
        <w:ind w:left="1440" w:hanging="360"/>
        <w:jc w:val="both"/>
      </w:pPr>
      <w:r>
        <w:rPr>
          <w:rFonts w:ascii="Times New Roman" w:hAnsi="Times New Roman" w:eastAsia="Times New Roman" w:cs="Times New Roman"/>
          <w:color w:val="000000"/>
          <w:sz w:val="24"/>
          <w:szCs w:val="24"/>
        </w:rPr>
        <w:t>Sustenté la propagación en las revisiones</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00-gestion/revisiones/20260929_propagacion-ADR-058-060.md</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20260929_propagacion-ADR-059*.md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20260929_inc0-base-contexto.md</w:t>
      </w:r>
      <w:r>
        <w:rPr>
          <w:rFonts w:ascii="Times New Roman" w:hAnsi="Times New Roman" w:eastAsia="Times New Roman" w:cs="Times New Roman"/>
          <w:color w:val="000000"/>
          <w:sz w:val="24"/>
          <w:szCs w:val="24"/>
        </w:rPr>
        <w:t>.</w:t>
      </w:r>
    </w:p>
    <w:p w14:paraId="5DE69E8C">
      <w:pPr>
        <w:numPr>
          <w:ilvl w:val="0"/>
          <w:numId w:val="1011"/>
        </w:numPr>
        <w:ind w:left="720" w:hanging="360"/>
        <w:jc w:val="both"/>
      </w:pPr>
      <w:r>
        <w:rPr>
          <w:rFonts w:ascii="Times New Roman" w:hAnsi="Times New Roman" w:eastAsia="Times New Roman" w:cs="Times New Roman"/>
          <w:b/>
          <w:bCs/>
          <w:color w:val="000000"/>
          <w:sz w:val="24"/>
          <w:szCs w:val="24"/>
        </w:rPr>
        <w:t>Aporte personal.</w:t>
      </w:r>
    </w:p>
    <w:p w14:paraId="1D485E28">
      <w:pPr>
        <w:numPr>
          <w:ilvl w:val="1"/>
          <w:numId w:val="1015"/>
        </w:numPr>
        <w:ind w:left="1440" w:hanging="360"/>
        <w:jc w:val="both"/>
      </w:pPr>
      <w:r>
        <w:rPr>
          <w:rFonts w:ascii="Times New Roman" w:hAnsi="Times New Roman" w:eastAsia="Times New Roman" w:cs="Times New Roman"/>
          <w:color w:val="000000"/>
          <w:sz w:val="24"/>
          <w:szCs w:val="24"/>
        </w:rPr>
        <w:t>Pedí revisar los requisitos y verificar el tag; elegí CU-05 y el financiamiento, y acepté ADR-058 a ADR-062, ADR-064 y ADR-065.</w:t>
      </w:r>
    </w:p>
    <w:p w14:paraId="01211179">
      <w:pPr>
        <w:numPr>
          <w:ilvl w:val="1"/>
          <w:numId w:val="1015"/>
        </w:numPr>
        <w:ind w:left="1440" w:hanging="360"/>
        <w:jc w:val="both"/>
      </w:pPr>
      <w:r>
        <w:rPr>
          <w:rFonts w:ascii="Times New Roman" w:hAnsi="Times New Roman" w:eastAsia="Times New Roman" w:cs="Times New Roman"/>
          <w:color w:val="000000"/>
          <w:sz w:val="24"/>
          <w:szCs w:val="24"/>
        </w:rPr>
        <w:t>Objeté el README mezclado, SDD y el uso exclusivo de Claude Code; el análisis se rehízo y se adoptó mi posición o una alternativa mejor fundamentada. Aporté el aislamiento de los estudios, introduje ODD, instalé gentle-ai y pedí retirarlo de Claude Code; elegí OpenCode y después Codex.</w:t>
      </w:r>
    </w:p>
    <w:p w14:paraId="4F8C55CC">
      <w:pPr>
        <w:numPr>
          <w:ilvl w:val="1"/>
          <w:numId w:val="1015"/>
        </w:numPr>
        <w:ind w:left="1440" w:hanging="360"/>
        <w:jc w:val="both"/>
      </w:pPr>
      <w:r>
        <w:rPr>
          <w:rFonts w:ascii="Times New Roman" w:hAnsi="Times New Roman" w:eastAsia="Times New Roman" w:cs="Times New Roman"/>
          <w:color w:val="000000"/>
          <w:sz w:val="24"/>
          <w:szCs w:val="24"/>
        </w:rPr>
        <w:t>Registré el aporte en el libro, los Caps. III, V y X, los Anexos I y V, el Instrumento 34, la Figura 3, el Anexo III (D-50 a D-56),</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04-diseno/README.md</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README.md</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tools/README.md</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.github/workflows/ci.yml</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src/AGENTS.md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INDICE.md</w:t>
      </w:r>
      <w:r>
        <w:rPr>
          <w:rFonts w:ascii="Times New Roman" w:hAnsi="Times New Roman" w:eastAsia="Times New Roman" w:cs="Times New Roman"/>
          <w:color w:val="000000"/>
          <w:sz w:val="24"/>
          <w:szCs w:val="24"/>
        </w:rPr>
        <w:t>.</w:t>
      </w:r>
    </w:p>
    <w:p w14:paraId="12B7F15C">
      <w:pPr>
        <w:numPr>
          <w:ilvl w:val="0"/>
          <w:numId w:val="1011"/>
        </w:numPr>
        <w:ind w:left="720" w:hanging="360"/>
        <w:jc w:val="both"/>
      </w:pPr>
      <w:r>
        <w:rPr>
          <w:rFonts w:ascii="Times New Roman" w:hAnsi="Times New Roman" w:eastAsia="Times New Roman" w:cs="Times New Roman"/>
          <w:b/>
          <w:bCs/>
          <w:color w:val="000000"/>
          <w:sz w:val="24"/>
          <w:szCs w:val="24"/>
        </w:rPr>
        <w:t>Desacuerdo y resolución.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Proyecto individual; sin desacuerdos dentro del equipo.</w:t>
      </w:r>
    </w:p>
    <w:p w14:paraId="74F1429E">
      <w:pPr>
        <w:numPr>
          <w:ilvl w:val="0"/>
          <w:numId w:val="1011"/>
        </w:numPr>
        <w:ind w:left="720" w:hanging="360"/>
        <w:jc w:val="both"/>
      </w:pPr>
      <w:r>
        <w:rPr>
          <w:rFonts w:ascii="Times New Roman" w:hAnsi="Times New Roman" w:eastAsia="Times New Roman" w:cs="Times New Roman"/>
          <w:b/>
          <w:bCs/>
          <w:color w:val="000000"/>
          <w:sz w:val="24"/>
          <w:szCs w:val="24"/>
        </w:rPr>
        <w:t>Herramienta auxiliar.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Conforme a la declaración por período. Particularidad: la herramienta procesó el código del tag sin ejecutarlo y corrió las pruebas de compatibilidad; OpenCode con gentle-ai todavía no produjo artefactos en esta jornada.</w:t>
      </w:r>
    </w:p>
    <w:p w14:paraId="17BDAC4C">
      <w:pPr>
        <w:pStyle w:val="Heading3"/>
        <w:jc w:val="left"/>
      </w:pPr>
      <w:r>
        <w:rPr>
          <w:rFonts w:ascii="Times New Roman" w:hAnsi="Times New Roman" w:eastAsia="Times New Roman" w:cs="Times New Roman"/>
          <w:b/>
          <w:bCs/>
          <w:color w:val="000000"/>
          <w:sz w:val="24"/>
          <w:szCs w:val="24"/>
        </w:rPr>
        <w:t>Entrada · Lunes 28 de septiembre de 2026 — Validación con la referente, planificación y Capítulo X</w:t>
      </w:r>
    </w:p>
    <w:p w14:paraId="7413378D">
      <w:pPr>
        <w:numPr>
          <w:ilvl w:val="0"/>
          <w:numId w:val="1016"/>
        </w:numPr>
        <w:ind w:left="720" w:hanging="360"/>
        <w:jc w:val="both"/>
      </w:pPr>
      <w:r>
        <w:rPr>
          <w:rFonts w:ascii="Times New Roman" w:hAnsi="Times New Roman" w:eastAsia="Times New Roman" w:cs="Times New Roman"/>
          <w:b/>
          <w:bCs/>
          <w:color w:val="000000"/>
          <w:sz w:val="24"/>
          <w:szCs w:val="24"/>
        </w:rPr>
        <w:t>Decisión adoptada.</w:t>
      </w:r>
    </w:p>
    <w:p w14:paraId="0E95980A">
      <w:pPr>
        <w:numPr>
          <w:ilvl w:val="1"/>
          <w:numId w:val="1017"/>
        </w:numPr>
        <w:ind w:left="1440" w:hanging="360"/>
        <w:jc w:val="both"/>
      </w:pPr>
      <w:r>
        <w:rPr>
          <w:rFonts w:ascii="Times New Roman" w:hAnsi="Times New Roman" w:eastAsia="Times New Roman" w:cs="Times New Roman"/>
          <w:b/>
          <w:bCs/>
          <w:color w:val="000000"/>
          <w:sz w:val="24"/>
          <w:szCs w:val="24"/>
        </w:rPr>
        <w:t>Validación (acta del 26/09).</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Registré la sesión presencial de las 17:00, de 35 minutos, con 82 puntos confirmados; la constancia queda pendiente (U-04). Propagué sus consecuencias al libro y al informe.</w:t>
      </w:r>
    </w:p>
    <w:p w14:paraId="7398649A">
      <w:pPr>
        <w:numPr>
          <w:ilvl w:val="1"/>
          <w:numId w:val="1017"/>
        </w:numPr>
        <w:ind w:left="1440" w:hanging="360"/>
        <w:jc w:val="both"/>
      </w:pPr>
      <w:r>
        <w:rPr>
          <w:rFonts w:ascii="Times New Roman" w:hAnsi="Times New Roman" w:eastAsia="Times New Roman" w:cs="Times New Roman"/>
          <w:b/>
          <w:bCs/>
          <w:color w:val="000000"/>
          <w:sz w:val="24"/>
          <w:szCs w:val="24"/>
        </w:rPr>
        <w:t>Rendimiento (ADR-045, hoy ADR-055).</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Adopté el doble del mayor entre un proyecto público y el de la referente, con un umbral en Ubuntu y una medición informativa en Windows.</w:t>
      </w:r>
    </w:p>
    <w:p w14:paraId="6A6507BD">
      <w:pPr>
        <w:numPr>
          <w:ilvl w:val="1"/>
          <w:numId w:val="1017"/>
        </w:numPr>
        <w:ind w:left="1440" w:hanging="360"/>
        <w:jc w:val="both"/>
      </w:pPr>
      <w:r>
        <w:rPr>
          <w:rFonts w:ascii="Times New Roman" w:hAnsi="Times New Roman" w:eastAsia="Times New Roman" w:cs="Times New Roman"/>
          <w:b/>
          <w:bCs/>
          <w:color w:val="000000"/>
          <w:sz w:val="24"/>
          <w:szCs w:val="24"/>
        </w:rPr>
        <w:t>Planificación (ADR-046 y ADR-047, hoy ADR-052).</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Cerré 136 h técnicas, 54 h de reserva y 45 h de contingencia. Fijé la capacidad por días en 28/59/33/16, declaré un exceso de 6 h en la iteración 1 y situé los permisos web en la iteración 2; dejé aparte las 48 h de cierre.</w:t>
      </w:r>
    </w:p>
    <w:p w14:paraId="44AD387C">
      <w:pPr>
        <w:numPr>
          <w:ilvl w:val="1"/>
          <w:numId w:val="1017"/>
        </w:numPr>
        <w:ind w:left="1440" w:hanging="360"/>
        <w:jc w:val="both"/>
      </w:pPr>
      <w:r>
        <w:rPr>
          <w:rFonts w:ascii="Times New Roman" w:hAnsi="Times New Roman" w:eastAsia="Times New Roman" w:cs="Times New Roman"/>
          <w:b/>
          <w:bCs/>
          <w:color w:val="000000"/>
          <w:sz w:val="24"/>
          <w:szCs w:val="24"/>
        </w:rPr>
        <w:t>Recursos (ADR-048, hoy ADR-057).</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Adopté el costo de hora de $21.565 del OPSSI y el tope de USD 50, reemplazados el 01/10 por ADR-076. Fijé un piloto de USD 20, una estimación de USD 75 y la versión Pro sin costo atribuible.</w:t>
      </w:r>
    </w:p>
    <w:p w14:paraId="798A605A">
      <w:pPr>
        <w:numPr>
          <w:ilvl w:val="1"/>
          <w:numId w:val="1017"/>
        </w:numPr>
        <w:ind w:left="1440" w:hanging="360"/>
        <w:jc w:val="both"/>
      </w:pPr>
      <w:r>
        <w:rPr>
          <w:rFonts w:ascii="Times New Roman" w:hAnsi="Times New Roman" w:eastAsia="Times New Roman" w:cs="Times New Roman"/>
          <w:b/>
          <w:bCs/>
          <w:color w:val="000000"/>
          <w:sz w:val="24"/>
          <w:szCs w:val="24"/>
        </w:rPr>
        <w:t>Entorno (ADR-049 y ADR-050, hoy ADR-054).</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Elegí un contenedor común con Docker Desktop sobre WSL 2 y el CI en Ubuntu y Windows (ADR-037, hoy ADR-054).</w:t>
      </w:r>
    </w:p>
    <w:p w14:paraId="7372CB70">
      <w:pPr>
        <w:numPr>
          <w:ilvl w:val="1"/>
          <w:numId w:val="1017"/>
        </w:numPr>
        <w:ind w:left="1440" w:hanging="360"/>
        <w:jc w:val="both"/>
      </w:pPr>
      <w:r>
        <w:rPr>
          <w:rFonts w:ascii="Times New Roman" w:hAnsi="Times New Roman" w:eastAsia="Times New Roman" w:cs="Times New Roman"/>
          <w:b/>
          <w:bCs/>
          <w:color w:val="000000"/>
          <w:sz w:val="24"/>
          <w:szCs w:val="24"/>
        </w:rPr>
        <w:t>Documentación (ADR-057; D-19 a D-49).</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Revisé el Cap. X, completé el Instrumento 34 y el Anexo III, y declaré que el lienzo no cambió decisiones. Mantuve el repositorio privado, la publicación bajo MIT tras la aprobación y la prueba de clonado por un compañero.</w:t>
      </w:r>
    </w:p>
    <w:p w14:paraId="67DFA59B">
      <w:pPr>
        <w:numPr>
          <w:ilvl w:val="0"/>
          <w:numId w:val="1016"/>
        </w:numPr>
        <w:ind w:left="720" w:hanging="360"/>
        <w:jc w:val="both"/>
      </w:pPr>
      <w:r>
        <w:rPr>
          <w:rFonts w:ascii="Times New Roman" w:hAnsi="Times New Roman" w:eastAsia="Times New Roman" w:cs="Times New Roman"/>
          <w:b/>
          <w:bCs/>
          <w:color w:val="000000"/>
          <w:sz w:val="24"/>
          <w:szCs w:val="24"/>
        </w:rPr>
        <w:t>Alternativas y criterio de descarte (recortes).</w:t>
      </w:r>
    </w:p>
    <w:p w14:paraId="2D6470EC">
      <w:pPr>
        <w:numPr>
          <w:ilvl w:val="1"/>
          <w:numId w:val="1018"/>
        </w:numPr>
        <w:ind w:left="1440" w:hanging="360"/>
        <w:jc w:val="both"/>
      </w:pPr>
      <w:r>
        <w:rPr>
          <w:rFonts w:ascii="Times New Roman" w:hAnsi="Times New Roman" w:eastAsia="Times New Roman" w:cs="Times New Roman"/>
          <w:b/>
          <w:bCs/>
          <w:color w:val="000000"/>
          <w:sz w:val="24"/>
          <w:szCs w:val="24"/>
        </w:rPr>
        <w:t>Costo grupal.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las cifras de $2.290.000 y $3.790.000 porque no figuran en el OPSSI y se ponderaron universos distintos.</w:t>
      </w:r>
    </w:p>
    <w:p w14:paraId="1F840CA5">
      <w:pPr>
        <w:numPr>
          <w:ilvl w:val="1"/>
          <w:numId w:val="1018"/>
        </w:numPr>
        <w:ind w:left="1440" w:hanging="360"/>
        <w:jc w:val="both"/>
      </w:pPr>
      <w:r>
        <w:rPr>
          <w:rFonts w:ascii="Times New Roman" w:hAnsi="Times New Roman" w:eastAsia="Times New Roman" w:cs="Times New Roman"/>
          <w:b/>
          <w:bCs/>
          <w:color w:val="000000"/>
          <w:sz w:val="24"/>
          <w:szCs w:val="24"/>
        </w:rPr>
        <w:t>Costo de entrevista.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excluí porque el Cap. I exige una fuente sectorial externa.</w:t>
      </w:r>
    </w:p>
    <w:p w14:paraId="7CC5DDAB">
      <w:pPr>
        <w:numPr>
          <w:ilvl w:val="1"/>
          <w:numId w:val="1018"/>
        </w:numPr>
        <w:ind w:left="1440" w:hanging="360"/>
        <w:jc w:val="both"/>
      </w:pPr>
      <w:r>
        <w:rPr>
          <w:rFonts w:ascii="Times New Roman" w:hAnsi="Times New Roman" w:eastAsia="Times New Roman" w:cs="Times New Roman"/>
          <w:b/>
          <w:bCs/>
          <w:color w:val="000000"/>
          <w:sz w:val="24"/>
          <w:szCs w:val="24"/>
        </w:rPr>
        <w:t>Valoración del problema.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excluí del capítulo de recursos.</w:t>
      </w:r>
    </w:p>
    <w:p w14:paraId="0EFF984B">
      <w:pPr>
        <w:numPr>
          <w:ilvl w:val="1"/>
          <w:numId w:val="1018"/>
        </w:numPr>
        <w:ind w:left="1440" w:hanging="360"/>
        <w:jc w:val="both"/>
      </w:pPr>
      <w:r>
        <w:rPr>
          <w:rFonts w:ascii="Times New Roman" w:hAnsi="Times New Roman" w:eastAsia="Times New Roman" w:cs="Times New Roman"/>
          <w:b/>
          <w:bCs/>
          <w:color w:val="000000"/>
          <w:sz w:val="24"/>
          <w:szCs w:val="24"/>
        </w:rPr>
        <w:t>Retorno de inversión.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excluí del capítulo de recursos.</w:t>
      </w:r>
    </w:p>
    <w:p w14:paraId="3BEAEECE">
      <w:pPr>
        <w:numPr>
          <w:ilvl w:val="1"/>
          <w:numId w:val="1018"/>
        </w:numPr>
        <w:ind w:left="1440" w:hanging="360"/>
        <w:jc w:val="both"/>
      </w:pPr>
      <w:r>
        <w:rPr>
          <w:rFonts w:ascii="Times New Roman" w:hAnsi="Times New Roman" w:eastAsia="Times New Roman" w:cs="Times New Roman"/>
          <w:b/>
          <w:bCs/>
          <w:color w:val="000000"/>
          <w:sz w:val="24"/>
          <w:szCs w:val="24"/>
        </w:rPr>
        <w:t>Referente.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No sumé sus horas porque es un recurso externo sin costo.</w:t>
      </w:r>
    </w:p>
    <w:p w14:paraId="4F61B0AA">
      <w:pPr>
        <w:numPr>
          <w:ilvl w:val="1"/>
          <w:numId w:val="1018"/>
        </w:numPr>
        <w:ind w:left="1440" w:hanging="360"/>
        <w:jc w:val="both"/>
      </w:pPr>
      <w:r>
        <w:rPr>
          <w:rFonts w:ascii="Times New Roman" w:hAnsi="Times New Roman" w:eastAsia="Times New Roman" w:cs="Times New Roman"/>
          <w:b/>
          <w:bCs/>
          <w:color w:val="000000"/>
          <w:sz w:val="24"/>
          <w:szCs w:val="24"/>
        </w:rPr>
        <w:t>Equilibrio.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el punto de equilibrio porque no hay explotación comercial.</w:t>
      </w:r>
    </w:p>
    <w:p w14:paraId="4B06D9CD">
      <w:pPr>
        <w:numPr>
          <w:ilvl w:val="1"/>
          <w:numId w:val="1018"/>
        </w:numPr>
        <w:ind w:left="1440" w:hanging="360"/>
        <w:jc w:val="both"/>
      </w:pPr>
      <w:r>
        <w:rPr>
          <w:rFonts w:ascii="Times New Roman" w:hAnsi="Times New Roman" w:eastAsia="Times New Roman" w:cs="Times New Roman"/>
          <w:b/>
          <w:bCs/>
          <w:color w:val="000000"/>
          <w:sz w:val="24"/>
          <w:szCs w:val="24"/>
        </w:rPr>
        <w:t>Migración.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excluí porque RIGE es de solo lectura.</w:t>
      </w:r>
    </w:p>
    <w:p w14:paraId="21F38BC3">
      <w:pPr>
        <w:numPr>
          <w:ilvl w:val="1"/>
          <w:numId w:val="1018"/>
        </w:numPr>
        <w:ind w:left="1440" w:hanging="360"/>
        <w:jc w:val="both"/>
      </w:pPr>
      <w:r>
        <w:rPr>
          <w:rFonts w:ascii="Times New Roman" w:hAnsi="Times New Roman" w:eastAsia="Times New Roman" w:cs="Times New Roman"/>
          <w:b/>
          <w:bCs/>
          <w:color w:val="000000"/>
          <w:sz w:val="24"/>
          <w:szCs w:val="24"/>
        </w:rPr>
        <w:t>Suscripción.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No atribuí su costo porque es un gasto preexistente y adopté el criterio incremental.</w:t>
      </w:r>
    </w:p>
    <w:p w14:paraId="5FDB613F">
      <w:pPr>
        <w:numPr>
          <w:ilvl w:val="1"/>
          <w:numId w:val="1018"/>
        </w:numPr>
        <w:ind w:left="1440" w:hanging="360"/>
        <w:jc w:val="both"/>
      </w:pPr>
      <w:r>
        <w:rPr>
          <w:rFonts w:ascii="Times New Roman" w:hAnsi="Times New Roman" w:eastAsia="Times New Roman" w:cs="Times New Roman"/>
          <w:b/>
          <w:bCs/>
          <w:color w:val="000000"/>
          <w:sz w:val="24"/>
          <w:szCs w:val="24"/>
        </w:rPr>
        <w:t>Distribución de desarrollo.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descarté porque el disco de Windows montado deja accesible la hoja de respuestas.</w:t>
      </w:r>
    </w:p>
    <w:p w14:paraId="1C8A8FB5">
      <w:pPr>
        <w:numPr>
          <w:ilvl w:val="1"/>
          <w:numId w:val="1018"/>
        </w:numPr>
        <w:ind w:left="1440" w:hanging="360"/>
        <w:jc w:val="both"/>
      </w:pPr>
      <w:r>
        <w:rPr>
          <w:rFonts w:ascii="Times New Roman" w:hAnsi="Times New Roman" w:eastAsia="Times New Roman" w:cs="Times New Roman"/>
          <w:b/>
          <w:bCs/>
          <w:color w:val="000000"/>
          <w:sz w:val="24"/>
          <w:szCs w:val="24"/>
        </w:rPr>
        <w:t>WSL dedicada.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reemplacé porque aísla por configuración y solo se reproduce en Windows.</w:t>
      </w:r>
    </w:p>
    <w:p w14:paraId="5C9260E9">
      <w:pPr>
        <w:numPr>
          <w:ilvl w:val="1"/>
          <w:numId w:val="1018"/>
        </w:numPr>
        <w:ind w:left="1440" w:hanging="360"/>
        <w:jc w:val="both"/>
      </w:pPr>
      <w:r>
        <w:rPr>
          <w:rFonts w:ascii="Times New Roman" w:hAnsi="Times New Roman" w:eastAsia="Times New Roman" w:cs="Times New Roman"/>
          <w:b/>
          <w:bCs/>
          <w:color w:val="000000"/>
          <w:sz w:val="24"/>
          <w:szCs w:val="24"/>
        </w:rPr>
        <w:t>Máquina virtual.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descarté porque la capa adicional del hipervisor sesga RNF-07.</w:t>
      </w:r>
    </w:p>
    <w:p w14:paraId="1E7A98C3">
      <w:pPr>
        <w:numPr>
          <w:ilvl w:val="1"/>
          <w:numId w:val="1018"/>
        </w:numPr>
        <w:ind w:left="1440" w:hanging="360"/>
        <w:jc w:val="both"/>
      </w:pPr>
      <w:r>
        <w:rPr>
          <w:rFonts w:ascii="Times New Roman" w:hAnsi="Times New Roman" w:eastAsia="Times New Roman" w:cs="Times New Roman"/>
          <w:b/>
          <w:bCs/>
          <w:color w:val="000000"/>
          <w:sz w:val="24"/>
          <w:szCs w:val="24"/>
        </w:rPr>
        <w:t>Arranque dual.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descarté porque Ubuntu nativo se acredita en el CI.</w:t>
      </w:r>
    </w:p>
    <w:p w14:paraId="16ECAF0E">
      <w:pPr>
        <w:numPr>
          <w:ilvl w:val="1"/>
          <w:numId w:val="1018"/>
        </w:numPr>
        <w:ind w:left="1440" w:hanging="360"/>
        <w:jc w:val="both"/>
      </w:pPr>
      <w:r>
        <w:rPr>
          <w:rFonts w:ascii="Times New Roman" w:hAnsi="Times New Roman" w:eastAsia="Times New Roman" w:cs="Times New Roman"/>
          <w:b/>
          <w:bCs/>
          <w:color w:val="000000"/>
          <w:sz w:val="24"/>
          <w:szCs w:val="24"/>
        </w:rPr>
        <w:t>Sin límite.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 presupuesto sin límite porque no dimensiona el recurso.</w:t>
      </w:r>
    </w:p>
    <w:p w14:paraId="5A65DEE4">
      <w:pPr>
        <w:numPr>
          <w:ilvl w:val="1"/>
          <w:numId w:val="1018"/>
        </w:numPr>
        <w:ind w:left="1440" w:hanging="360"/>
        <w:jc w:val="both"/>
      </w:pPr>
      <w:r>
        <w:rPr>
          <w:rFonts w:ascii="Times New Roman" w:hAnsi="Times New Roman" w:eastAsia="Times New Roman" w:cs="Times New Roman"/>
          <w:b/>
          <w:bCs/>
          <w:color w:val="000000"/>
          <w:sz w:val="24"/>
          <w:szCs w:val="24"/>
        </w:rPr>
        <w:t>Libro en</w:t>
      </w:r>
      <w:r>
        <w:rPr>
          <w:rFonts w:ascii="Times New Roman" w:hAnsi="Times New Roman" w:eastAsia="Times New Roman" w:cs="Times New Roman"/>
          <w:b/>
          <w:bCs/>
          <w:color w:val="000000"/>
          <w:sz w:val="24"/>
          <w:szCs w:val="24"/>
        </w:rPr>
        <w:t xml:space="preserve"> </w:t>
      </w:r>
      <w:r>
        <w:rPr>
          <w:rStyle w:val="VerbatimChar"/>
          <w:rFonts w:ascii="Consolas" w:hAnsi="Consolas" w:eastAsia="Times New Roman" w:cs="Times New Roman"/>
          <w:b/>
          <w:bCs/>
          <w:color w:val="000000"/>
          <w:sz w:val="22"/>
          <w:szCs w:val="24"/>
        </w:rPr>
        <w:t>instrumentos/</w:t>
      </w:r>
      <w:r>
        <w:rPr>
          <w:rFonts w:ascii="Times New Roman" w:hAnsi="Times New Roman" w:eastAsia="Times New Roman" w:cs="Times New Roman"/>
          <w:b/>
          <w:bCs/>
          <w:color w:val="000000"/>
          <w:sz w:val="24"/>
          <w:szCs w:val="24"/>
        </w:rPr>
        <w: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esa ubicación porque la consigna fija</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03-requisitos/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 una única generación completa.</w:t>
      </w:r>
    </w:p>
    <w:p w14:paraId="4AE105BD">
      <w:pPr>
        <w:numPr>
          <w:ilvl w:val="1"/>
          <w:numId w:val="1018"/>
        </w:numPr>
        <w:ind w:left="1440" w:hanging="360"/>
        <w:jc w:val="both"/>
      </w:pPr>
      <w:r>
        <w:rPr>
          <w:rFonts w:ascii="Times New Roman" w:hAnsi="Times New Roman" w:eastAsia="Times New Roman" w:cs="Times New Roman"/>
          <w:b/>
          <w:bCs/>
          <w:color w:val="000000"/>
          <w:sz w:val="24"/>
          <w:szCs w:val="24"/>
        </w:rPr>
        <w:t>Referencia RNF-07.</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esperar el dato de la referente porque deja el requisito sin condición hasta la iteración 1; elegí un proyecto público y el conteo PV-03.</w:t>
      </w:r>
    </w:p>
    <w:p w14:paraId="68265BA1">
      <w:pPr>
        <w:numPr>
          <w:ilvl w:val="1"/>
          <w:numId w:val="1018"/>
        </w:numPr>
        <w:ind w:left="1440" w:hanging="360"/>
        <w:jc w:val="both"/>
      </w:pPr>
      <w:r>
        <w:rPr>
          <w:rFonts w:ascii="Times New Roman" w:hAnsi="Times New Roman" w:eastAsia="Times New Roman" w:cs="Times New Roman"/>
          <w:b/>
          <w:bCs/>
          <w:color w:val="000000"/>
          <w:sz w:val="24"/>
          <w:szCs w:val="24"/>
        </w:rPr>
        <w:t>Permisos web.</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cerrar RF-02 y RF-03 en la iteración 3 o separar la paridad porque cambia criterios e iteraciones confirmados.</w:t>
      </w:r>
    </w:p>
    <w:p w14:paraId="3E66D1E1">
      <w:pPr>
        <w:numPr>
          <w:ilvl w:val="1"/>
          <w:numId w:val="1018"/>
        </w:numPr>
        <w:ind w:left="1440" w:hanging="360"/>
        <w:jc w:val="both"/>
      </w:pPr>
      <w:r>
        <w:rPr>
          <w:rFonts w:ascii="Times New Roman" w:hAnsi="Times New Roman" w:eastAsia="Times New Roman" w:cs="Times New Roman"/>
          <w:b/>
          <w:bCs/>
          <w:color w:val="000000"/>
          <w:sz w:val="24"/>
          <w:szCs w:val="24"/>
        </w:rPr>
        <w:t>Semanas nominales.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ese reparto porque no coincide con las fechas de las iteraciones.</w:t>
      </w:r>
    </w:p>
    <w:p w14:paraId="05578AEE">
      <w:pPr>
        <w:numPr>
          <w:ilvl w:val="0"/>
          <w:numId w:val="1016"/>
        </w:numPr>
        <w:ind w:left="720" w:hanging="360"/>
        <w:jc w:val="both"/>
      </w:pPr>
      <w:r>
        <w:rPr>
          <w:rFonts w:ascii="Times New Roman" w:hAnsi="Times New Roman" w:eastAsia="Times New Roman" w:cs="Times New Roman"/>
          <w:b/>
          <w:bCs/>
          <w:color w:val="000000"/>
          <w:sz w:val="24"/>
          <w:szCs w:val="24"/>
        </w:rPr>
        <w:t>Evidencia.</w:t>
      </w:r>
    </w:p>
    <w:p w14:paraId="58E1C9C3">
      <w:pPr>
        <w:numPr>
          <w:ilvl w:val="1"/>
          <w:numId w:val="1019"/>
        </w:numPr>
        <w:ind w:left="1440" w:hanging="360"/>
        <w:jc w:val="both"/>
      </w:pPr>
      <w:r>
        <w:rPr>
          <w:rFonts w:ascii="Times New Roman" w:hAnsi="Times New Roman" w:eastAsia="Times New Roman" w:cs="Times New Roman"/>
          <w:color w:val="000000"/>
          <w:sz w:val="24"/>
          <w:szCs w:val="24"/>
        </w:rPr>
        <w:t>Me basé en el acta</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01-relevamiento/validacion/20260925_GuiaValidacion_Sanchez_v2.md</w:t>
      </w:r>
      <w:r>
        <w:rPr>
          <w:rFonts w:ascii="Times New Roman" w:hAnsi="Times New Roman" w:eastAsia="Times New Roman" w:cs="Times New Roman"/>
          <w:color w:val="000000"/>
          <w:sz w:val="24"/>
          <w:szCs w:val="24"/>
        </w:rPr>
        <w:t>, el Anexo I del AE1, el Anexo VI y las revisiones del 28/09 conservadas en el historial.</w:t>
      </w:r>
    </w:p>
    <w:p w14:paraId="4CCEFAD1">
      <w:pPr>
        <w:numPr>
          <w:ilvl w:val="1"/>
          <w:numId w:val="1019"/>
        </w:numPr>
        <w:ind w:left="1440" w:hanging="360"/>
        <w:jc w:val="both"/>
      </w:pPr>
      <w:r>
        <w:rPr>
          <w:rFonts w:ascii="Times New Roman" w:hAnsi="Times New Roman" w:eastAsia="Times New Roman" w:cs="Times New Roman"/>
          <w:color w:val="000000"/>
          <w:sz w:val="24"/>
          <w:szCs w:val="24"/>
        </w:rPr>
        <w:t>Me basé en el OPSSI a marzo de 2026, pp. 17 y 25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01-relevamiento/documentos/opssi2026-reporte-industria-software-1T2026.pdf</w:t>
      </w:r>
      <w:r>
        <w:rPr>
          <w:rFonts w:ascii="Times New Roman" w:hAnsi="Times New Roman" w:eastAsia="Times New Roman" w:cs="Times New Roman"/>
          <w:color w:val="000000"/>
          <w:sz w:val="24"/>
          <w:szCs w:val="24"/>
        </w:rPr>
        <w:t>, y en mi cálculo con el divisor de 173,33 h. Utilicé la medición del equipo del 28/09 (PV-01).</w:t>
      </w:r>
    </w:p>
    <w:p w14:paraId="5A8781DD">
      <w:pPr>
        <w:numPr>
          <w:ilvl w:val="1"/>
          <w:numId w:val="1019"/>
        </w:numPr>
        <w:ind w:left="1440" w:hanging="360"/>
        <w:jc w:val="both"/>
      </w:pPr>
      <w:r>
        <w:rPr>
          <w:rFonts w:ascii="Times New Roman" w:hAnsi="Times New Roman" w:eastAsia="Times New Roman" w:cs="Times New Roman"/>
          <w:color w:val="000000"/>
          <w:sz w:val="24"/>
          <w:szCs w:val="24"/>
        </w:rPr>
        <w:t>Me basé en la guía AE2, §2.3 y §7, y las fuentes registradas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01-relevamiento/fuentes.md</w:t>
      </w:r>
      <w:r>
        <w:rPr>
          <w:rFonts w:ascii="Times New Roman" w:hAnsi="Times New Roman" w:eastAsia="Times New Roman" w:cs="Times New Roman"/>
          <w:color w:val="000000"/>
          <w:sz w:val="24"/>
          <w:szCs w:val="24"/>
        </w:rPr>
        <w:t>.</w:t>
      </w:r>
    </w:p>
    <w:p w14:paraId="71A0D4FC">
      <w:pPr>
        <w:numPr>
          <w:ilvl w:val="0"/>
          <w:numId w:val="1016"/>
        </w:numPr>
        <w:ind w:left="720" w:hanging="360"/>
        <w:jc w:val="both"/>
      </w:pPr>
      <w:r>
        <w:rPr>
          <w:rFonts w:ascii="Times New Roman" w:hAnsi="Times New Roman" w:eastAsia="Times New Roman" w:cs="Times New Roman"/>
          <w:b/>
          <w:bCs/>
          <w:color w:val="000000"/>
          <w:sz w:val="24"/>
          <w:szCs w:val="24"/>
        </w:rPr>
        <w:t>Aporte personal.</w:t>
      </w:r>
    </w:p>
    <w:p w14:paraId="068F36B3">
      <w:pPr>
        <w:numPr>
          <w:ilvl w:val="1"/>
          <w:numId w:val="1020"/>
        </w:numPr>
        <w:ind w:left="1440" w:hanging="360"/>
        <w:jc w:val="both"/>
      </w:pPr>
      <w:r>
        <w:rPr>
          <w:rFonts w:ascii="Times New Roman" w:hAnsi="Times New Roman" w:eastAsia="Times New Roman" w:cs="Times New Roman"/>
          <w:color w:val="000000"/>
          <w:sz w:val="24"/>
          <w:szCs w:val="24"/>
        </w:rPr>
        <w:t>Conduje la sesión y elegí las alternativas P-01, P-15, P-16 y P-21. Aporté el reporte del OPSSI y los recursos, y aprobé el esquema y las correcciones.</w:t>
      </w:r>
    </w:p>
    <w:p w14:paraId="1B21CC01">
      <w:pPr>
        <w:numPr>
          <w:ilvl w:val="1"/>
          <w:numId w:val="1020"/>
        </w:numPr>
        <w:ind w:left="1440" w:hanging="360"/>
        <w:jc w:val="both"/>
      </w:pPr>
      <w:r>
        <w:rPr>
          <w:rFonts w:ascii="Times New Roman" w:hAnsi="Times New Roman" w:eastAsia="Times New Roman" w:cs="Times New Roman"/>
          <w:color w:val="000000"/>
          <w:sz w:val="24"/>
          <w:szCs w:val="24"/>
        </w:rPr>
        <w:t>Registré el aporte en el libro, los Caps. III, IV, V y X, I.6.6, los Anexos I y V, el Instrumento 34, el Anexo III, IV.1, V.2,</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tools/exportar_libro.py</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03-requisitos/modelo-dominio.mmd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tools/figura_cronograma.py</w:t>
      </w:r>
      <w:r>
        <w:rPr>
          <w:rFonts w:ascii="Times New Roman" w:hAnsi="Times New Roman" w:eastAsia="Times New Roman" w:cs="Times New Roman"/>
          <w:color w:val="000000"/>
          <w:sz w:val="24"/>
          <w:szCs w:val="24"/>
        </w:rPr>
        <w:t>.</w:t>
      </w:r>
    </w:p>
    <w:p w14:paraId="6E673B0C">
      <w:pPr>
        <w:numPr>
          <w:ilvl w:val="0"/>
          <w:numId w:val="1016"/>
        </w:numPr>
        <w:ind w:left="720" w:hanging="360"/>
        <w:jc w:val="both"/>
      </w:pPr>
      <w:r>
        <w:rPr>
          <w:rFonts w:ascii="Times New Roman" w:hAnsi="Times New Roman" w:eastAsia="Times New Roman" w:cs="Times New Roman"/>
          <w:b/>
          <w:bCs/>
          <w:color w:val="000000"/>
          <w:sz w:val="24"/>
          <w:szCs w:val="24"/>
        </w:rPr>
        <w:t>Desacuerdo y resolución.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Proyecto individual; sin desacuerdos dentro del equipo. Llevo al Informe Grupal de Encuadre Común la corrección de la descripción de RIGE y de las cifras del costo de hora (AD-27). La revisión crítica objetó la brevedad de la validación (82 puntos en 35 minutos, sin observaciones); la registro como pregunta probable de la defensa.</w:t>
      </w:r>
    </w:p>
    <w:p w14:paraId="536BEBB0">
      <w:pPr>
        <w:numPr>
          <w:ilvl w:val="0"/>
          <w:numId w:val="1016"/>
        </w:numPr>
        <w:ind w:left="720" w:hanging="360"/>
        <w:jc w:val="both"/>
      </w:pPr>
      <w:r>
        <w:rPr>
          <w:rFonts w:ascii="Times New Roman" w:hAnsi="Times New Roman" w:eastAsia="Times New Roman" w:cs="Times New Roman"/>
          <w:b/>
          <w:bCs/>
          <w:color w:val="000000"/>
          <w:sz w:val="24"/>
          <w:szCs w:val="24"/>
        </w:rPr>
        <w:t>Herramienta auxiliar.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Conforme a la declaración por período. Particularidad: la Figura 1 se exporta con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@mermaid-js/mermaid-cli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 la Figura 3 con matplotlib, mediante scripts del repositorio. La maqueta del v0 se elaboró con Claude Design.</w:t>
      </w:r>
    </w:p>
    <w:p w14:paraId="437A07FB">
      <w:pPr>
        <w:pStyle w:val="Heading3"/>
        <w:jc w:val="left"/>
      </w:pPr>
      <w:r>
        <w:rPr>
          <w:rFonts w:ascii="Times New Roman" w:hAnsi="Times New Roman" w:eastAsia="Times New Roman" w:cs="Times New Roman"/>
          <w:b/>
          <w:bCs/>
          <w:color w:val="000000"/>
          <w:sz w:val="24"/>
          <w:szCs w:val="24"/>
        </w:rPr>
        <w:t>Entrada · Viernes 25 de septiembre de 2026 — Línea de base, papel de cada interfaz y guía de validación</w:t>
      </w:r>
    </w:p>
    <w:p w14:paraId="18A3BB1C">
      <w:pPr>
        <w:numPr>
          <w:ilvl w:val="0"/>
          <w:numId w:val="1021"/>
        </w:numPr>
        <w:ind w:left="720" w:hanging="360"/>
        <w:jc w:val="both"/>
      </w:pPr>
      <w:r>
        <w:rPr>
          <w:rFonts w:ascii="Times New Roman" w:hAnsi="Times New Roman" w:eastAsia="Times New Roman" w:cs="Times New Roman"/>
          <w:b/>
          <w:bCs/>
          <w:color w:val="000000"/>
          <w:sz w:val="24"/>
          <w:szCs w:val="24"/>
        </w:rPr>
        <w:t>Decisión adoptada.</w:t>
      </w:r>
    </w:p>
    <w:p w14:paraId="5872119D">
      <w:pPr>
        <w:numPr>
          <w:ilvl w:val="1"/>
          <w:numId w:val="1022"/>
        </w:numPr>
        <w:ind w:left="1440" w:hanging="360"/>
        <w:jc w:val="both"/>
      </w:pPr>
      <w:r>
        <w:rPr>
          <w:rFonts w:ascii="Times New Roman" w:hAnsi="Times New Roman" w:eastAsia="Times New Roman" w:cs="Times New Roman"/>
          <w:b/>
          <w:bCs/>
          <w:color w:val="000000"/>
          <w:sz w:val="24"/>
          <w:szCs w:val="24"/>
        </w:rPr>
        <w:t>Línea de base (ADR-040, hoy ADR-053; D-41).</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Adopté las herramientas como ejecutores, dieciséis casos, cuatro por condición y el caso como unidad de análisis. Fijé el éxito en ocho de los doce casos de C-2 a C-4; las herramientas empleadas inicialmente quedaron reemplazadas el 01/10 por ADR-076.</w:t>
      </w:r>
    </w:p>
    <w:p w14:paraId="52200E5F">
      <w:pPr>
        <w:numPr>
          <w:ilvl w:val="1"/>
          <w:numId w:val="1022"/>
        </w:numPr>
        <w:ind w:left="1440" w:hanging="360"/>
        <w:jc w:val="both"/>
      </w:pPr>
      <w:r>
        <w:rPr>
          <w:rFonts w:ascii="Times New Roman" w:hAnsi="Times New Roman" w:eastAsia="Times New Roman" w:cs="Times New Roman"/>
          <w:b/>
          <w:bCs/>
          <w:color w:val="000000"/>
          <w:sz w:val="24"/>
          <w:szCs w:val="24"/>
        </w:rPr>
        <w:t>Interfaces (ADR-036, ADR-041 y ADR-042, hoy ADR-051).</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Elegí la CLI completa en la iteración 2, la salida versionada 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--explicar</w:t>
      </w:r>
      <w:r>
        <w:rPr>
          <w:rFonts w:ascii="Times New Roman" w:hAnsi="Times New Roman" w:eastAsia="Times New Roman" w:cs="Times New Roman"/>
          <w:color w:val="000000"/>
          <w:sz w:val="24"/>
          <w:szCs w:val="24"/>
        </w:rPr>
        <w:t>, con una web mínima para el v1.</w:t>
      </w:r>
    </w:p>
    <w:p w14:paraId="46C9B8F4">
      <w:pPr>
        <w:numPr>
          <w:ilvl w:val="1"/>
          <w:numId w:val="1022"/>
        </w:numPr>
        <w:ind w:left="1440" w:hanging="360"/>
        <w:jc w:val="both"/>
      </w:pPr>
      <w:r>
        <w:rPr>
          <w:rFonts w:ascii="Times New Roman" w:hAnsi="Times New Roman" w:eastAsia="Times New Roman" w:cs="Times New Roman"/>
          <w:b/>
          <w:bCs/>
          <w:color w:val="000000"/>
          <w:sz w:val="24"/>
          <w:szCs w:val="24"/>
        </w:rPr>
        <w:t>Plataformas (ADR-037, hoy ADR-054; ADR-044, hoy ADR-055).</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Acepté Ubuntu 26.04 y Windows 11 sin privilegios y la consulta por CLI en menos de 2 s.</w:t>
      </w:r>
    </w:p>
    <w:p w14:paraId="24B98AC4">
      <w:pPr>
        <w:numPr>
          <w:ilvl w:val="1"/>
          <w:numId w:val="1022"/>
        </w:numPr>
        <w:ind w:left="1440" w:hanging="360"/>
        <w:jc w:val="both"/>
      </w:pPr>
      <w:r>
        <w:rPr>
          <w:rFonts w:ascii="Times New Roman" w:hAnsi="Times New Roman" w:eastAsia="Times New Roman" w:cs="Times New Roman"/>
          <w:b/>
          <w:bCs/>
          <w:color w:val="000000"/>
          <w:sz w:val="24"/>
          <w:szCs w:val="24"/>
        </w:rPr>
        <w:t>Registros (ADR-043, hoy</w:t>
      </w:r>
      <w:r>
        <w:rPr>
          <w:rFonts w:ascii="Times New Roman" w:hAnsi="Times New Roman" w:eastAsia="Times New Roman" w:cs="Times New Roman"/>
          <w:b/>
          <w:bCs/>
          <w:color w:val="000000"/>
          <w:sz w:val="24"/>
          <w:szCs w:val="24"/>
        </w:rPr>
        <w:t xml:space="preserve"> </w:t>
      </w:r>
      <w:r>
        <w:rPr>
          <w:rStyle w:val="VerbatimChar"/>
          <w:rFonts w:ascii="Consolas" w:hAnsi="Consolas" w:eastAsia="Times New Roman" w:cs="Times New Roman"/>
          <w:b/>
          <w:bCs/>
          <w:color w:val="000000"/>
          <w:sz w:val="22"/>
          <w:szCs w:val="24"/>
        </w:rPr>
        <w:t>diseno-sistema-agentes.md</w:t>
      </w:r>
      <w:r>
        <w:rPr>
          <w:rFonts w:ascii="Times New Roman" w:hAnsi="Times New Roman" w:eastAsia="Times New Roman" w:cs="Times New Roman"/>
          <w:b/>
          <w:bCs/>
          <w:color w:val="000000"/>
          <w:sz w:val="24"/>
          <w:szCs w:val="24"/>
        </w:rPr>
        <w:t>, D-23).</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Conservé la fuente única y la remisión desde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04-diseno/</w:t>
      </w:r>
      <w:r>
        <w:rPr>
          <w:rFonts w:ascii="Times New Roman" w:hAnsi="Times New Roman" w:eastAsia="Times New Roman" w:cs="Times New Roman"/>
          <w:color w:val="000000"/>
          <w:sz w:val="24"/>
          <w:szCs w:val="24"/>
        </w:rPr>
        <w:t>.</w:t>
      </w:r>
    </w:p>
    <w:p w14:paraId="50836985">
      <w:pPr>
        <w:numPr>
          <w:ilvl w:val="1"/>
          <w:numId w:val="1022"/>
        </w:numPr>
        <w:ind w:left="1440" w:hanging="360"/>
        <w:jc w:val="both"/>
      </w:pPr>
      <w:r>
        <w:rPr>
          <w:rFonts w:ascii="Times New Roman" w:hAnsi="Times New Roman" w:eastAsia="Times New Roman" w:cs="Times New Roman"/>
          <w:b/>
          <w:bCs/>
          <w:color w:val="000000"/>
          <w:sz w:val="24"/>
          <w:szCs w:val="24"/>
        </w:rPr>
        <w:t>Validación (Instrumento 31).</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Cerré las decisiones antes de corregir y programar; preparé la guía v2 de entorno, límites, catálogo, dominio, reglas, vocabulario y v0.</w:t>
      </w:r>
    </w:p>
    <w:p w14:paraId="0E479143">
      <w:pPr>
        <w:numPr>
          <w:ilvl w:val="0"/>
          <w:numId w:val="1021"/>
        </w:numPr>
        <w:ind w:left="720" w:hanging="360"/>
        <w:jc w:val="both"/>
      </w:pPr>
      <w:r>
        <w:rPr>
          <w:rFonts w:ascii="Times New Roman" w:hAnsi="Times New Roman" w:eastAsia="Times New Roman" w:cs="Times New Roman"/>
          <w:b/>
          <w:bCs/>
          <w:color w:val="000000"/>
          <w:sz w:val="24"/>
          <w:szCs w:val="24"/>
        </w:rPr>
        <w:t>Alternativas y criterio de descarte (recortes).</w:t>
      </w:r>
    </w:p>
    <w:p w14:paraId="78C1DAE5">
      <w:pPr>
        <w:numPr>
          <w:ilvl w:val="1"/>
          <w:numId w:val="1023"/>
        </w:numPr>
        <w:ind w:left="1440" w:hanging="360"/>
        <w:jc w:val="both"/>
      </w:pPr>
      <w:r>
        <w:rPr>
          <w:rFonts w:ascii="Times New Roman" w:hAnsi="Times New Roman" w:eastAsia="Times New Roman" w:cs="Times New Roman"/>
          <w:b/>
          <w:bCs/>
          <w:color w:val="000000"/>
          <w:sz w:val="24"/>
          <w:szCs w:val="24"/>
        </w:rPr>
        <w:t>Línea de base.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 medición con personas: mide solo el procedimiento manual, y la entrevista mostró que la consulta se delega frecuentemente (D-41).</w:t>
      </w:r>
    </w:p>
    <w:p w14:paraId="0481E19D">
      <w:pPr>
        <w:numPr>
          <w:ilvl w:val="1"/>
          <w:numId w:val="1023"/>
        </w:numPr>
        <w:ind w:left="1440" w:hanging="360"/>
        <w:jc w:val="both"/>
      </w:pPr>
      <w:r>
        <w:rPr>
          <w:rFonts w:ascii="Times New Roman" w:hAnsi="Times New Roman" w:eastAsia="Times New Roman" w:cs="Times New Roman"/>
          <w:b/>
          <w:bCs/>
          <w:color w:val="000000"/>
          <w:sz w:val="24"/>
          <w:szCs w:val="24"/>
        </w:rPr>
        <w:t>Encuesta.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descarté como línea de base porque no mide errores silenciosos; la conservé como complemento de la práctica delegada.</w:t>
      </w:r>
    </w:p>
    <w:p w14:paraId="2076FCCB">
      <w:pPr>
        <w:numPr>
          <w:ilvl w:val="1"/>
          <w:numId w:val="1023"/>
        </w:numPr>
        <w:ind w:left="1440" w:hanging="360"/>
        <w:jc w:val="both"/>
      </w:pPr>
      <w:r>
        <w:rPr>
          <w:rFonts w:ascii="Times New Roman" w:hAnsi="Times New Roman" w:eastAsia="Times New Roman" w:cs="Times New Roman"/>
          <w:b/>
          <w:bCs/>
          <w:color w:val="000000"/>
          <w:sz w:val="24"/>
          <w:szCs w:val="24"/>
        </w:rPr>
        <w:t>Casos automáticos.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Los excluí porque aportan cantidad sin variedad de mecanismos.</w:t>
      </w:r>
    </w:p>
    <w:p w14:paraId="0CF688D8">
      <w:pPr>
        <w:numPr>
          <w:ilvl w:val="1"/>
          <w:numId w:val="1023"/>
        </w:numPr>
        <w:ind w:left="1440" w:hanging="360"/>
        <w:jc w:val="both"/>
      </w:pPr>
      <w:r>
        <w:rPr>
          <w:rFonts w:ascii="Times New Roman" w:hAnsi="Times New Roman" w:eastAsia="Times New Roman" w:cs="Times New Roman"/>
          <w:b/>
          <w:bCs/>
          <w:color w:val="000000"/>
          <w:sz w:val="24"/>
          <w:szCs w:val="24"/>
        </w:rPr>
        <w:t>Diseño humano.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 equivalencia a/b y la no repetición porque controlan el aprendizaje humano, ausente en los entornos de prueba.</w:t>
      </w:r>
    </w:p>
    <w:p w14:paraId="125C4D90">
      <w:pPr>
        <w:numPr>
          <w:ilvl w:val="1"/>
          <w:numId w:val="1023"/>
        </w:numPr>
        <w:ind w:left="1440" w:hanging="360"/>
        <w:jc w:val="both"/>
      </w:pPr>
      <w:r>
        <w:rPr>
          <w:rFonts w:ascii="Times New Roman" w:hAnsi="Times New Roman" w:eastAsia="Times New Roman" w:cs="Times New Roman"/>
          <w:b/>
          <w:bCs/>
          <w:color w:val="000000"/>
          <w:sz w:val="24"/>
          <w:szCs w:val="24"/>
        </w:rPr>
        <w:t>v1 solo CLI.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descarté porque la guía exige responder en una dirección y mostrar el dato.</w:t>
      </w:r>
    </w:p>
    <w:p w14:paraId="2174AAE1">
      <w:pPr>
        <w:numPr>
          <w:ilvl w:val="1"/>
          <w:numId w:val="1023"/>
        </w:numPr>
        <w:ind w:left="1440" w:hanging="360"/>
        <w:jc w:val="both"/>
      </w:pPr>
      <w:r>
        <w:rPr>
          <w:rFonts w:ascii="Times New Roman" w:hAnsi="Times New Roman" w:eastAsia="Times New Roman" w:cs="Times New Roman"/>
          <w:b/>
          <w:bCs/>
          <w:color w:val="000000"/>
          <w:sz w:val="24"/>
          <w:szCs w:val="24"/>
        </w:rPr>
        <w:t>Calendario CLI.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mantener RF-03 en la iteración 3 por su cercanía a la congelación y la medición.</w:t>
      </w:r>
    </w:p>
    <w:p w14:paraId="458FFB7B">
      <w:pPr>
        <w:numPr>
          <w:ilvl w:val="1"/>
          <w:numId w:val="1023"/>
        </w:numPr>
        <w:ind w:left="1440" w:hanging="360"/>
        <w:jc w:val="both"/>
      </w:pPr>
      <w:r>
        <w:rPr>
          <w:rFonts w:ascii="Times New Roman" w:hAnsi="Times New Roman" w:eastAsia="Times New Roman" w:cs="Times New Roman"/>
          <w:b/>
          <w:bCs/>
          <w:color w:val="000000"/>
          <w:sz w:val="24"/>
          <w:szCs w:val="24"/>
        </w:rPr>
        <w:t>Proyecto solo CLI.</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Lo excluí porque reescribe los objetivos del AE1 y deja al desarrollador sin la interfaz del v0.</w:t>
      </w:r>
    </w:p>
    <w:p w14:paraId="12499A25">
      <w:pPr>
        <w:numPr>
          <w:ilvl w:val="1"/>
          <w:numId w:val="1023"/>
        </w:numPr>
        <w:ind w:left="1440" w:hanging="360"/>
        <w:jc w:val="both"/>
      </w:pPr>
      <w:r>
        <w:rPr>
          <w:rFonts w:ascii="Times New Roman" w:hAnsi="Times New Roman" w:eastAsia="Times New Roman" w:cs="Times New Roman"/>
          <w:b/>
          <w:bCs/>
          <w:color w:val="000000"/>
          <w:sz w:val="24"/>
          <w:szCs w:val="24"/>
        </w:rPr>
        <w:t>Web.</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Excluí la exploración libre, los filtros y la navegación para no sumar funciones ausentes en la CLI.</w:t>
      </w:r>
    </w:p>
    <w:p w14:paraId="06A9BB6C">
      <w:pPr>
        <w:numPr>
          <w:ilvl w:val="1"/>
          <w:numId w:val="1023"/>
        </w:numPr>
        <w:ind w:left="1440" w:hanging="360"/>
        <w:jc w:val="both"/>
      </w:pPr>
      <w:r>
        <w:rPr>
          <w:rFonts w:ascii="Times New Roman" w:hAnsi="Times New Roman" w:eastAsia="Times New Roman" w:cs="Times New Roman"/>
          <w:b/>
          <w:bCs/>
          <w:color w:val="000000"/>
          <w:sz w:val="24"/>
          <w:szCs w:val="24"/>
        </w:rPr>
        <w:t>Capacidad.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Pasé los permisos web a la iteración 3 y saqué RF-10, Should, de las horas para no exceder la iteración 2; revisé los permisos el 28/09.</w:t>
      </w:r>
    </w:p>
    <w:p w14:paraId="3EB28D79">
      <w:pPr>
        <w:numPr>
          <w:ilvl w:val="1"/>
          <w:numId w:val="1023"/>
        </w:numPr>
        <w:ind w:left="1440" w:hanging="360"/>
        <w:jc w:val="both"/>
      </w:pPr>
      <w:r>
        <w:rPr>
          <w:rFonts w:ascii="Times New Roman" w:hAnsi="Times New Roman" w:eastAsia="Times New Roman" w:cs="Times New Roman"/>
          <w:b/>
          <w:bCs/>
          <w:color w:val="000000"/>
          <w:sz w:val="24"/>
          <w:szCs w:val="24"/>
        </w:rPr>
        <w:t>Explicación.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entregar prosa siempre porque aumenta los tiempos y descarté no entregarla nunca por CLI porque deja sin explicación al desarrollador.</w:t>
      </w:r>
    </w:p>
    <w:p w14:paraId="014127B3">
      <w:pPr>
        <w:numPr>
          <w:ilvl w:val="1"/>
          <w:numId w:val="1023"/>
        </w:numPr>
        <w:ind w:left="1440" w:hanging="360"/>
        <w:jc w:val="both"/>
      </w:pPr>
      <w:r>
        <w:rPr>
          <w:rFonts w:ascii="Times New Roman" w:hAnsi="Times New Roman" w:eastAsia="Times New Roman" w:cs="Times New Roman"/>
          <w:b/>
          <w:bCs/>
          <w:color w:val="000000"/>
          <w:sz w:val="24"/>
          <w:szCs w:val="24"/>
        </w:rPr>
        <w:t>Plataformas.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Dejé macOS sin acreditar y concentré Windows en una corrida de la iteración 4 para no ocultar horas de un requisito Should. Descarté los contenedores Windows y macOS porque son inviables en Windows 11 Home.</w:t>
      </w:r>
    </w:p>
    <w:p w14:paraId="0560E108">
      <w:pPr>
        <w:numPr>
          <w:ilvl w:val="1"/>
          <w:numId w:val="1023"/>
        </w:numPr>
        <w:ind w:left="1440" w:hanging="360"/>
        <w:jc w:val="both"/>
      </w:pPr>
      <w:r>
        <w:rPr>
          <w:rFonts w:ascii="Times New Roman" w:hAnsi="Times New Roman" w:eastAsia="Times New Roman" w:cs="Times New Roman"/>
          <w:b/>
          <w:bCs/>
          <w:color w:val="000000"/>
          <w:sz w:val="24"/>
          <w:szCs w:val="24"/>
        </w:rPr>
        <w:t>ADR.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mover los registros a</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04-diseno/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porque mezcla método y arquitectura y rompe la fuente única.</w:t>
      </w:r>
    </w:p>
    <w:p w14:paraId="2D9C8E2A">
      <w:pPr>
        <w:numPr>
          <w:ilvl w:val="1"/>
          <w:numId w:val="1023"/>
        </w:numPr>
        <w:ind w:left="1440" w:hanging="360"/>
        <w:jc w:val="both"/>
      </w:pPr>
      <w:r>
        <w:rPr>
          <w:rFonts w:ascii="Times New Roman" w:hAnsi="Times New Roman" w:eastAsia="Times New Roman" w:cs="Times New Roman"/>
          <w:b/>
          <w:bCs/>
          <w:color w:val="000000"/>
          <w:sz w:val="24"/>
          <w:szCs w:val="24"/>
        </w:rPr>
        <w:t>RNF-07.</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el umbral relativo al comando nativo.</w:t>
      </w:r>
    </w:p>
    <w:p w14:paraId="2E62A05E">
      <w:pPr>
        <w:numPr>
          <w:ilvl w:val="1"/>
          <w:numId w:val="1023"/>
        </w:numPr>
        <w:ind w:left="1440" w:hanging="360"/>
        <w:jc w:val="both"/>
      </w:pPr>
      <w:r>
        <w:rPr>
          <w:rFonts w:ascii="Times New Roman" w:hAnsi="Times New Roman" w:eastAsia="Times New Roman" w:cs="Times New Roman"/>
          <w:b/>
          <w:bCs/>
          <w:color w:val="000000"/>
          <w:sz w:val="24"/>
          <w:szCs w:val="24"/>
        </w:rPr>
        <w:t>Medición.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Descarté medir en el CI por su rendimiento variable, ajeno a RIGE.</w:t>
      </w:r>
    </w:p>
    <w:p w14:paraId="761EDBFE">
      <w:pPr>
        <w:numPr>
          <w:ilvl w:val="1"/>
          <w:numId w:val="1023"/>
        </w:numPr>
        <w:ind w:left="1440" w:hanging="360"/>
        <w:jc w:val="both"/>
      </w:pPr>
      <w:r>
        <w:rPr>
          <w:rFonts w:ascii="Times New Roman" w:hAnsi="Times New Roman" w:eastAsia="Times New Roman" w:cs="Times New Roman"/>
          <w:b/>
          <w:bCs/>
          <w:color w:val="000000"/>
          <w:sz w:val="24"/>
          <w:szCs w:val="24"/>
        </w:rPr>
        <w:t>Validación.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Dejé las ocho exclusiones de III.4 solo para conocimiento porque responden a una imposibilidad técnica o a la frontera individual.</w:t>
      </w:r>
    </w:p>
    <w:p w14:paraId="3748FEA0">
      <w:pPr>
        <w:numPr>
          <w:ilvl w:val="0"/>
          <w:numId w:val="1021"/>
        </w:numPr>
        <w:ind w:left="720" w:hanging="360"/>
        <w:jc w:val="both"/>
      </w:pPr>
      <w:r>
        <w:rPr>
          <w:rFonts w:ascii="Times New Roman" w:hAnsi="Times New Roman" w:eastAsia="Times New Roman" w:cs="Times New Roman"/>
          <w:b/>
          <w:bCs/>
          <w:color w:val="000000"/>
          <w:sz w:val="24"/>
          <w:szCs w:val="24"/>
        </w:rPr>
        <w:t>Evidencia.</w:t>
      </w:r>
    </w:p>
    <w:p w14:paraId="4099D656">
      <w:pPr>
        <w:numPr>
          <w:ilvl w:val="1"/>
          <w:numId w:val="1024"/>
        </w:numPr>
        <w:ind w:left="1440" w:hanging="360"/>
        <w:jc w:val="both"/>
      </w:pPr>
      <w:r>
        <w:rPr>
          <w:rFonts w:ascii="Times New Roman" w:hAnsi="Times New Roman" w:eastAsia="Times New Roman" w:cs="Times New Roman"/>
          <w:color w:val="000000"/>
          <w:sz w:val="24"/>
          <w:szCs w:val="24"/>
        </w:rPr>
        <w:t>Me basé en la entrevista de la referente, RF-03, la guía AE1 §3.3, la comprobación del v1, pasos 7 y 8, la guía AE2 §10.2 y §14, V.4, Tablas 18 y 19 y AD-22.</w:t>
      </w:r>
    </w:p>
    <w:p w14:paraId="199DF433">
      <w:pPr>
        <w:numPr>
          <w:ilvl w:val="1"/>
          <w:numId w:val="1024"/>
        </w:numPr>
        <w:ind w:left="1440" w:hanging="360"/>
        <w:jc w:val="both"/>
      </w:pPr>
      <w:r>
        <w:rPr>
          <w:rFonts w:ascii="Times New Roman" w:hAnsi="Times New Roman" w:eastAsia="Times New Roman" w:cs="Times New Roman"/>
          <w:color w:val="000000"/>
          <w:sz w:val="24"/>
          <w:szCs w:val="24"/>
        </w:rPr>
        <w:t>Me basé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01-relevamiento/opencode-como-funciona.md</w:t>
      </w:r>
      <w:r>
        <w:rPr>
          <w:rFonts w:ascii="Times New Roman" w:hAnsi="Times New Roman" w:eastAsia="Times New Roman" w:cs="Times New Roman"/>
          <w:color w:val="000000"/>
          <w:sz w:val="24"/>
          <w:szCs w:val="24"/>
        </w:rPr>
        <w:t>, el laboratorio del 19/09 (E-00, E-03, E-14 y E-18), A.I.3, resultados 12, 13 y 15, las incidencias #36663, #36416 y #39715 y la revisión «material-linea-base» conservada en el historial.</w:t>
      </w:r>
    </w:p>
    <w:p w14:paraId="24C33EBF">
      <w:pPr>
        <w:numPr>
          <w:ilvl w:val="0"/>
          <w:numId w:val="1021"/>
        </w:numPr>
        <w:ind w:left="720" w:hanging="360"/>
        <w:jc w:val="both"/>
      </w:pPr>
      <w:r>
        <w:rPr>
          <w:rFonts w:ascii="Times New Roman" w:hAnsi="Times New Roman" w:eastAsia="Times New Roman" w:cs="Times New Roman"/>
          <w:b/>
          <w:bCs/>
          <w:color w:val="000000"/>
          <w:sz w:val="24"/>
          <w:szCs w:val="24"/>
        </w:rPr>
        <w:t>Aporte personal.</w:t>
      </w:r>
    </w:p>
    <w:p w14:paraId="20835FB3">
      <w:pPr>
        <w:numPr>
          <w:ilvl w:val="1"/>
          <w:numId w:val="1025"/>
        </w:numPr>
        <w:ind w:left="1440" w:hanging="360"/>
        <w:jc w:val="both"/>
      </w:pPr>
      <w:r>
        <w:rPr>
          <w:rFonts w:ascii="Times New Roman" w:hAnsi="Times New Roman" w:eastAsia="Times New Roman" w:cs="Times New Roman"/>
          <w:color w:val="000000"/>
          <w:sz w:val="24"/>
          <w:szCs w:val="24"/>
        </w:rPr>
        <w:t>Planteé el cambio de método a partir de la entrevista con la referente y de la reorientación del proyecto. Elegí las herramientas y el presupuesto, cuestioné los casos y prioricé la CLI; aporté el diseño v0.3, los escenarios y el laboratorio.</w:t>
      </w:r>
    </w:p>
    <w:p w14:paraId="5BD315B5">
      <w:pPr>
        <w:numPr>
          <w:ilvl w:val="1"/>
          <w:numId w:val="1025"/>
        </w:numPr>
        <w:ind w:left="1440" w:hanging="360"/>
        <w:jc w:val="both"/>
      </w:pPr>
      <w:r>
        <w:rPr>
          <w:rFonts w:ascii="Times New Roman" w:hAnsi="Times New Roman" w:eastAsia="Times New Roman" w:cs="Times New Roman"/>
          <w:color w:val="000000"/>
          <w:sz w:val="24"/>
          <w:szCs w:val="24"/>
        </w:rPr>
        <w:t>Elegí las interfaces y el orden de trabajo; aporté el borrador del 22/09 y la modalidad de confirmación, e informé que el v0 estaba sin validar.</w:t>
      </w:r>
    </w:p>
    <w:p w14:paraId="19C8B228">
      <w:pPr>
        <w:numPr>
          <w:ilvl w:val="1"/>
          <w:numId w:val="1025"/>
        </w:numPr>
        <w:ind w:left="1440" w:hanging="360"/>
        <w:jc w:val="both"/>
      </w:pPr>
      <w:r>
        <w:rPr>
          <w:rFonts w:ascii="Times New Roman" w:hAnsi="Times New Roman" w:eastAsia="Times New Roman" w:cs="Times New Roman"/>
          <w:color w:val="000000"/>
          <w:sz w:val="24"/>
          <w:szCs w:val="24"/>
        </w:rPr>
        <w:t>Registré el aporte en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01-relevamiento/linea-base/</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borrador-encuesta-practica.md</w:t>
      </w:r>
      <w:r>
        <w:rPr>
          <w:rFonts w:ascii="Times New Roman" w:hAnsi="Times New Roman" w:eastAsia="Times New Roman" w:cs="Times New Roman"/>
          <w:color w:val="000000"/>
          <w:sz w:val="24"/>
          <w:szCs w:val="24"/>
        </w:rPr>
        <w:t>, ADR-036, ADR-037 y ADR-040 a ADR-044,</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04-diseno/README.md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01-relevamiento/validacion/</w:t>
      </w:r>
      <w:r>
        <w:rPr>
          <w:rFonts w:ascii="Times New Roman" w:hAnsi="Times New Roman" w:eastAsia="Times New Roman" w:cs="Times New Roman"/>
          <w:color w:val="000000"/>
          <w:sz w:val="24"/>
          <w:szCs w:val="24"/>
        </w:rPr>
        <w:t>.</w:t>
      </w:r>
    </w:p>
    <w:p w14:paraId="20E95406">
      <w:pPr>
        <w:numPr>
          <w:ilvl w:val="0"/>
          <w:numId w:val="1021"/>
        </w:numPr>
        <w:ind w:left="720" w:hanging="360"/>
        <w:jc w:val="both"/>
      </w:pPr>
      <w:r>
        <w:rPr>
          <w:rFonts w:ascii="Times New Roman" w:hAnsi="Times New Roman" w:eastAsia="Times New Roman" w:cs="Times New Roman"/>
          <w:b/>
          <w:bCs/>
          <w:color w:val="000000"/>
          <w:sz w:val="24"/>
          <w:szCs w:val="24"/>
        </w:rPr>
        <w:t>Desacuerdo y resolución.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Proyecto individual; sin desacuerdos dentro del equipo.</w:t>
      </w:r>
    </w:p>
    <w:p w14:paraId="3377B9DA">
      <w:pPr>
        <w:numPr>
          <w:ilvl w:val="0"/>
          <w:numId w:val="1021"/>
        </w:numPr>
        <w:ind w:left="720" w:hanging="360"/>
        <w:jc w:val="both"/>
      </w:pPr>
      <w:r>
        <w:rPr>
          <w:rFonts w:ascii="Times New Roman" w:hAnsi="Times New Roman" w:eastAsia="Times New Roman" w:cs="Times New Roman"/>
          <w:b/>
          <w:bCs/>
          <w:color w:val="000000"/>
          <w:sz w:val="24"/>
          <w:szCs w:val="24"/>
        </w:rPr>
        <w:t>Herramienta auxiliar.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Conforme a la declaración por período. Particularidad: apoyo en el diseño de la medición, de los ocho escenarios nuevos y de la hoja de respuestas; corrección de</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caso.sh</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verificar.sh</w:t>
      </w:r>
      <w:r>
        <w:rPr>
          <w:rFonts w:ascii="Times New Roman" w:hAnsi="Times New Roman" w:eastAsia="Times New Roman" w:cs="Times New Roman"/>
          <w:color w:val="000000"/>
          <w:sz w:val="24"/>
          <w:szCs w:val="24"/>
        </w:rPr>
        <w:t>; y apoyo en la preparación de la guía v2 del Instrumento 31 sobre mi borrador y el contenido del Libro de trabajo.</w:t>
      </w:r>
    </w:p>
    <w:p w14:paraId="06297993">
      <w:pPr>
        <w:pStyle w:val="Heading2"/>
        <w:jc w:val="left"/>
      </w:pPr>
      <w:r>
        <w:rPr>
          <w:rFonts w:ascii="Times New Roman" w:hAnsi="Times New Roman" w:eastAsia="Times New Roman" w:cs="Times New Roman"/>
          <w:b/>
          <w:bCs/>
          <w:color w:val="000000"/>
          <w:sz w:val="26"/>
          <w:szCs w:val="26"/>
        </w:rPr>
        <w:t>Entradas de la AE1</w:t>
      </w:r>
    </w:p>
    <w:p w14:paraId="01F4529A">
      <w:pPr>
        <w:pStyle w:val="Heading3"/>
        <w:jc w:val="left"/>
      </w:pPr>
      <w:r>
        <w:rPr>
          <w:rFonts w:ascii="Times New Roman" w:hAnsi="Times New Roman" w:eastAsia="Times New Roman" w:cs="Times New Roman"/>
          <w:b/>
          <w:bCs/>
          <w:color w:val="000000"/>
          <w:sz w:val="24"/>
          <w:szCs w:val="24"/>
        </w:rPr>
        <w:t>Entrada 1 · Jueves 20 de agosto de 2026 — Delimitación del problema y del alcance</w:t>
      </w:r>
    </w:p>
    <w:p w14:paraId="463920BB">
      <w:pPr>
        <w:numPr>
          <w:ilvl w:val="0"/>
          <w:numId w:val="1026"/>
        </w:numPr>
        <w:ind w:left="720" w:hanging="360"/>
        <w:jc w:val="both"/>
      </w:pPr>
      <w:r>
        <w:rPr>
          <w:rFonts w:ascii="Times New Roman" w:hAnsi="Times New Roman" w:eastAsia="Times New Roman" w:cs="Times New Roman"/>
          <w:b/>
          <w:bCs/>
          <w:color w:val="000000"/>
          <w:sz w:val="24"/>
          <w:szCs w:val="24"/>
        </w:rPr>
        <w:t>Decisión adoptada.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Definí el problema en torno a la configuración efectiva y su procedencia. Decidí que el alcance comprendiera el ecosistema completo.</w:t>
      </w:r>
    </w:p>
    <w:p w14:paraId="12C36B90">
      <w:pPr>
        <w:numPr>
          <w:ilvl w:val="0"/>
          <w:numId w:val="1026"/>
        </w:numPr>
        <w:ind w:left="720" w:hanging="360"/>
        <w:jc w:val="both"/>
      </w:pPr>
      <w:r>
        <w:rPr>
          <w:rFonts w:ascii="Times New Roman" w:hAnsi="Times New Roman" w:eastAsia="Times New Roman" w:cs="Times New Roman"/>
          <w:b/>
          <w:bCs/>
          <w:color w:val="000000"/>
          <w:sz w:val="24"/>
          <w:szCs w:val="24"/>
        </w:rPr>
        <w:t>Alternativas evaluadas y criterio de descarte.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Consideré limitar el alcance a un solo componente, por ser el de uso más frecuente. Lo descarté porque la cadena de precedencia se aplica a las cinco clases y esa reducción habría excluido casos que posteriormente confirmó el relevamiento, como una skill que queda desplazada por otra del mismo nombre. También consideré incorporar el historial de ejecuciones, pero lo postergué porque depende de un almacén interno sin interfaz publicada.</w:t>
      </w:r>
    </w:p>
    <w:p w14:paraId="6A924892">
      <w:pPr>
        <w:numPr>
          <w:ilvl w:val="0"/>
          <w:numId w:val="1026"/>
        </w:numPr>
        <w:ind w:left="720" w:hanging="360"/>
        <w:jc w:val="both"/>
      </w:pPr>
      <w:r>
        <w:rPr>
          <w:rFonts w:ascii="Times New Roman" w:hAnsi="Times New Roman" w:eastAsia="Times New Roman" w:cs="Times New Roman"/>
          <w:b/>
          <w:bCs/>
          <w:color w:val="000000"/>
          <w:sz w:val="24"/>
          <w:szCs w:val="24"/>
        </w:rPr>
        <w:t>Evidencia que sostiene la 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documentación oficial del producto y el propio entorno de trabajo, en el que el problema se presenta de manera recurrente.</w:t>
      </w:r>
    </w:p>
    <w:p w14:paraId="40718FA9">
      <w:pPr>
        <w:numPr>
          <w:ilvl w:val="0"/>
          <w:numId w:val="1026"/>
        </w:numPr>
        <w:ind w:left="720" w:hanging="360"/>
        <w:jc w:val="both"/>
      </w:pPr>
      <w:r>
        <w:rPr>
          <w:rFonts w:ascii="Times New Roman" w:hAnsi="Times New Roman" w:eastAsia="Times New Roman" w:cs="Times New Roman"/>
          <w:b/>
          <w:bCs/>
          <w:color w:val="000000"/>
          <w:sz w:val="24"/>
          <w:szCs w:val="24"/>
        </w:rPr>
        <w:t>Aporte personal.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Redacté el enunciado del problema y la primera versión de la tabla de inclusiones y exclusiones del apartado I.6.4. Artefacto:</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03-requisitos/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00-gestion/anexo-III.md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del repositorio.</w:t>
      </w:r>
    </w:p>
    <w:p w14:paraId="0D7F07D9">
      <w:pPr>
        <w:numPr>
          <w:ilvl w:val="0"/>
          <w:numId w:val="1026"/>
        </w:numPr>
        <w:ind w:left="720" w:hanging="360"/>
        <w:jc w:val="both"/>
      </w:pPr>
      <w:r>
        <w:rPr>
          <w:rFonts w:ascii="Times New Roman" w:hAnsi="Times New Roman" w:eastAsia="Times New Roman" w:cs="Times New Roman"/>
          <w:b/>
          <w:bCs/>
          <w:color w:val="000000"/>
          <w:sz w:val="24"/>
          <w:szCs w:val="24"/>
        </w:rPr>
        <w:t>Desacuerdos y resolución.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Sin desacuerdos que registrar, conforme al criterio declarado en el preámbulo.</w:t>
      </w:r>
    </w:p>
    <w:p w14:paraId="5DCDAFDC">
      <w:pPr>
        <w:numPr>
          <w:ilvl w:val="0"/>
          <w:numId w:val="1026"/>
        </w:numPr>
        <w:ind w:left="720" w:hanging="360"/>
        <w:jc w:val="both"/>
      </w:pPr>
      <w:r>
        <w:rPr>
          <w:rFonts w:ascii="Times New Roman" w:hAnsi="Times New Roman" w:eastAsia="Times New Roman" w:cs="Times New Roman"/>
          <w:b/>
          <w:bCs/>
          <w:color w:val="000000"/>
          <w:sz w:val="24"/>
          <w:szCs w:val="24"/>
        </w:rPr>
        <w:t>Herramienta auxiliar y alcance.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Asistencia conforme al criterio general declarado, para contrastar la formulación del alcance.</w:t>
      </w:r>
    </w:p>
    <w:sectPr>
      <w:footerReference w:type="default" r:id="rIdPie"/>
      <w:footerReference w:type="first" r:id="rIdPieVacio"/>
      <w:pgSz w:w="11906" w:h="16838"/>
      <w:pgMar w:top="1417" w:right="1701"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0" w:line="240" w:lineRule="auto"/>
      <w:jc w:val="center"/>
    </w:pPr>
    <w:r>
      <w:rPr>
        <w:sz w:val="20"/>
      </w:rPr>
      <w:fldChar w:fldCharType="begin"/>
    </w:r>
    <w:r>
      <w:rPr>
        <w:sz w:val="20"/>
      </w:rPr>
      <w:instrText xml:space="preserve"> PAGE </w:instrText>
    </w:r>
    <w:r>
      <w:rPr>
        <w:sz w:val="20"/>
      </w:rPr>
      <w:fldChar w:fldCharType="end"/>
    </w:r>
    <w:r>
      <w:rPr>
        <w:sz w:val="20"/>
      </w:rPr>
      <w:fldChar w:fldCharType="separate"/>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 Type="http://schemas.openxmlformats.org/officeDocument/2006/relationships/hyperlink" Id="rId9" Target="https://github.com/Joassanchez/RIGE-TIF-Sanchez-IngSistemas-UCP" TargetMode="External" /><Relationship Type="http://schemas.openxmlformats.org/officeDocument/2006/relationships/hyperlink" Id="rId13" Target="https://trello.com/b/BhNydwGK"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Joassanchez/RIGE-TIF-Sanchez-IngSistemas-UCP" TargetMode="External" /><Relationship Type="http://schemas.openxmlformats.org/officeDocument/2006/relationships/hyperlink" Id="rId13" Target="https://trello.com/b/BhNydwG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2026-10-02T22:07:53Z</dcterms:created>
  <dcterms:modified xsi:type="dcterms:W3CDTF">2026-10-02T22:09:29.235Z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