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8ca0264fc2be476bef503a6e9468103c2e6f19"/>
    <w:p>
      <w:pPr>
        <w:pStyle w:val="Heading1"/>
      </w:pPr>
      <w:r>
        <w:rPr>
          <w:lang w:val="es-AR"/>
        </w:rPr>
        <w:t xml:space="preserve">Instrumento 24 · Presupuesto de horas-persona</w:t>
      </w:r>
    </w:p>
    <w:p>
      <w:pPr>
        <w:pStyle w:val="FirstParagraph"/>
      </w:pPr>
      <w:r>
        <w:rPr>
          <w:i/>
          <w:iCs/>
          <w:lang w:val="es-AR"/>
        </w:rPr>
        <w:t xml:space="preserve">Proyecto: RIGE. Autor: Sánchez, Joaquín Sebastián. Destino: Capítulo V, apartados V.3 y V.4, y hoja «Iteraciones» del Libro de trabajo. Período técnico: 21/09 al 14/11/2026, ocho semanas.</w:t>
      </w:r>
    </w:p>
    <w:p>
      <w:pPr>
        <w:pStyle w:val="BodyText"/>
      </w:pPr>
      <w:r>
        <w:rPr>
          <w:lang w:val="es-AR"/>
        </w:rPr>
        <w:t xml:space="preserve">La planificación se construye sobre las horas semanales reales declaradas y no sobre la duración nominal del cuatrimestre. Descontada la reducción prevista, el presupuesto efectivo determina cuántos requisitos Must caben en el período.</w:t>
      </w:r>
    </w:p>
    <w:p>
      <w:pPr>
        <w:pStyle w:val="BodyText"/>
      </w:pPr>
      <w:r>
        <w:rPr>
          <w:b/>
          <w:bCs/>
          <w:lang w:val="es-AR"/>
        </w:rPr>
        <w:t xml:space="preserve">24.1 · Horas semanales reales por integrante</w:t>
      </w:r>
    </w:p>
    <w:tbl>
      <w:tblPr>
        <w:tblStyle w:val="Table"/>
        <w:tblW w:w="8504" w:type="dxa"/>
        <w:jc w:val="left"/>
        <w:tblInd w:w="0" w:type="dxa"/>
        <w:tblLayout w:type="fixed"/>
        <w:tblLook w:firstRow="1" w:lastRow="0" w:firstColumn="0" w:lastColumn="0" w:noHBand="0" w:noVBand="0" w:val="0020"/>
      </w:tblPr>
      <w:tblGrid>
        <w:gridCol w:w="1559"/>
        <w:gridCol w:w="3183"/>
        <w:gridCol w:w="1266"/>
        <w:gridCol w:w="1134"/>
        <w:gridCol w:w="13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Horas semanales reales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Técnicas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Reserva documental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Joaquín Sebastián Sánchez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Autoría individual: técnico, documental y de gestión, e investigación (apartado V.3, Tabla 13)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20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8 h</w:t>
            </w:r>
          </w:p>
        </w:tc>
      </w:tr>
    </w:tbl>
    <w:p>
      <w:pPr>
        <w:pStyle w:val="BodyText"/>
      </w:pPr>
      <w:r>
        <w:rPr>
          <w:b/>
          <w:bCs/>
          <w:lang w:val="es-AR"/>
        </w:rPr>
        <w:t xml:space="preserve">24.2 · Presupuesto efectivo</w:t>
      </w:r>
    </w:p>
    <w:tbl>
      <w:tblPr>
        <w:tblStyle w:val="Table"/>
        <w:tblW w:w="8504" w:type="dxa"/>
        <w:jc w:val="left"/>
        <w:tblInd w:w="0" w:type="dxa"/>
        <w:tblLayout w:type="fixed"/>
        <w:tblLook w:firstRow="1" w:lastRow="0" w:firstColumn="0" w:lastColumn="0" w:noHBand="0" w:noVBand="0" w:val="0020"/>
      </w:tblPr>
      <w:tblGrid>
        <w:gridCol w:w="4702"/>
        <w:gridCol w:w="1355"/>
        <w:gridCol w:w="1223"/>
        <w:gridCol w:w="12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Concepto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Técnicas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Reserva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Presupuesto total del período (28 h × 8 semanas)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160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64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224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Reducción prevista de disponibilidad (15 %)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10 h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34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Presupuesto efectivo resultante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136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54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190 h</w:t>
            </w:r>
          </w:p>
        </w:tc>
      </w:tr>
    </w:tbl>
    <w:p>
      <w:pPr>
        <w:pStyle w:val="BodyText"/>
      </w:pPr>
      <w:r>
        <w:rPr>
          <w:i/>
          <w:iCs/>
          <w:lang w:val="es-AR"/>
        </w:rPr>
        <w:t xml:space="preserve">Fase de cierre posterior al período (estimación): 48 h efectivas en las semanas 15 y 16, sujetas a la confirmación de las fechas de la AE4. No integra las 190 h.</w:t>
      </w:r>
    </w:p>
    <w:p>
      <w:pPr>
        <w:pStyle w:val="BodyText"/>
      </w:pPr>
      <w:r>
        <w:rPr>
          <w:b/>
          <w:bCs/>
          <w:lang w:val="es-AR"/>
        </w:rPr>
        <w:t xml:space="preserve">24.3 · Asignación del presupuesto efectivo</w:t>
      </w:r>
    </w:p>
    <w:tbl>
      <w:tblPr>
        <w:tblStyle w:val="Table"/>
        <w:tblW w:w="8504" w:type="dxa"/>
        <w:jc w:val="left"/>
        <w:tblInd w:w="0" w:type="dxa"/>
        <w:tblLayout w:type="fixed"/>
        <w:tblLook w:firstRow="1" w:lastRow="0" w:firstColumn="0" w:lastColumn="0" w:noHBand="0" w:noVBand="0" w:val="0020"/>
      </w:tblPr>
      <w:tblGrid>
        <w:gridCol w:w="6378"/>
        <w:gridCol w:w="21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Destino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Iteración 1 (21/09 al 01/10), etiqueta v1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35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Iteración 2 (02/10 al 24/10), etiqueta v2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60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Iteración 3 (26/10 al 07/11), etiqueta v3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30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Iteración 4 (09/11 al 14/11), versión congelada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11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Subtotal técnico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136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Reserva: cierre del informe de la AE2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14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Reserva: Ventana de Mejora y Cumplimiento y correcciones del informe de la AE1, incluida la línea de base con agentes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20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Reserva: Capítulos VI y IX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13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Reserva: preparación de la medición final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7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Subtotal de reserva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54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Total asignado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190 h</w:t>
            </w:r>
          </w:p>
        </w:tc>
      </w:tr>
    </w:tbl>
    <w:p>
      <w:pPr>
        <w:pStyle w:val="BodyText"/>
      </w:pPr>
      <w:r>
        <w:rPr>
          <w:i/>
          <w:iCs/>
          <w:lang w:val="es-AR"/>
        </w:rPr>
        <w:t xml:space="preserve">Las horas técnicas se asignan a las tareas de los dieciocho requisitos Must (apartado V.4, Tabla 15); los requisitos Should no reciben horas. Margen sin asignar: 0 h.</w:t>
      </w:r>
    </w:p>
    <w:p>
      <w:pPr>
        <w:pStyle w:val="BodyText"/>
      </w:pPr>
      <w:r>
        <w:rPr>
          <w:b/>
          <w:bCs/>
          <w:lang w:val="es-AR"/>
        </w:rPr>
        <w:t xml:space="preserve">24.4 · Lo que no se sacrifica en ningún caso</w:t>
      </w:r>
    </w:p>
    <w:p>
      <w:pPr>
        <w:pStyle w:val="BodyText"/>
      </w:pPr>
      <w:r>
        <w:rPr>
          <w:lang w:val="es-AR"/>
        </w:rPr>
        <w:t xml:space="preserve">Ante una caída de un tercio de la capacidad técnica rige la cláusula de contingencia del apartado V.4 (Tabla 16). En ningún caso se sacrifican la trazabilidad del catálogo y la ejecutabilidad de cada etiqueta, condiciones de cómputo que fija la cátedra; la fidelidad respecto de OpenCode 1.18.25 (RNF-02); las restricciones de seguridad RNF-01, RNF-04 y RNF-05; CU-01 en su forma mínima con la advertencia de versión, CU-02, CU-03 con la decisión de RF-02, RF-06, RF-08 y RF-09, y RF-03.</w:t>
      </w:r>
    </w:p>
    <w:bookmarkEnd w:id="9"/>
    <w:sectPr>
      <w:footerReference r:id="rIdPie" w:type="default"/>
      <w:footerReference r:id="rIdPieVacio" w:type="first"/>
      <w:pgSz w:h="16838" w:w="11906"/>
      <w:pgMar w:bottom="1417" w:footer="720" w:gutter="0" w:header="720" w:left="1701" w:right="1701" w:top="1417"/>
      <w:pgNumType w:start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 w:line="240" w:lineRule="auto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s-AR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pPr>
      <w:spacing w:after="0" w:before="0" w:line="480" w:lineRule="auto"/>
      <w:jc w:val="both"/>
    </w:pPr>
    <w:rPr>
      <w:rFonts w:ascii="Times New Roman" w:cs="Times New Roman" w:eastAsia="Times New Roman" w:hAnsi="Times New Roman"/>
      <w:color w:val="000000"/>
      <w:sz w:val="24"/>
      <w:szCs w:val="24"/>
      <w:lang w:val="es-AR"/>
    </w:rPr>
  </w:style>
  <w:style w:styleId="BodyText" w:type="paragraph">
    <w:name w:val="Body Text"/>
    <w:basedOn w:val="Normal"/>
    <w:qFormat/>
    <w:pPr>
      <w:spacing w:after="200" w:before="200" w:line="480" w:lineRule="auto"/>
      <w:ind w:firstLine="720"/>
      <w:jc w:val="both"/>
    </w:pPr>
    <w:rPr>
      <w:rFonts w:ascii="Times New Roman" w:cs="Times New Roman" w:eastAsia="Times New Roman" w:hAnsi="Times New Roman"/>
      <w:color w:val="000000"/>
    </w:rPr>
  </w:style>
  <w:style w:styleId="FirstParagraph" w:type="paragraph">
    <w:name w:val="First Paragraph"/>
    <w:basedOn w:val="BodyText"/>
    <w:qFormat/>
    <w:pPr>
      <w:spacing w:after="200" w:before="200" w:line="480" w:lineRule="auto"/>
      <w:ind w:firstLine="720"/>
      <w:jc w:val="both"/>
    </w:pPr>
    <w:rPr>
      <w:rFonts w:ascii="Times New Roman" w:cs="Times New Roman" w:eastAsia="Times New Roman" w:hAnsi="Times New Roman"/>
      <w:color w:val="000000"/>
    </w:rPr>
  </w:style>
  <w:style w:styleId="Compact" w:type="paragraph">
    <w:name w:val="Compact"/>
    <w:basedOn w:val="BodyText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Title" w:type="paragraph">
    <w:name w:val="Title"/>
    <w:basedOn w:val="Normal"/>
    <w:qFormat/>
    <w:pPr>
      <w:spacing w:after="240" w:before="0" w:line="360" w:lineRule="auto"/>
      <w:jc w:val="center"/>
    </w:pPr>
    <w:rPr>
      <w:rFonts w:ascii="Times New Roman" w:cs="Times New Roman" w:eastAsia="Times New Roman" w:hAnsi="Times New Roman"/>
      <w:color w:val="000000"/>
      <w:b/>
      <w:sz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0" w:before="0" w:line="480" w:lineRule="auto"/>
      <w:jc w:val="both"/>
      <w:ind w:hanging="720" w:left="720"/>
    </w:pPr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qFormat/>
    <w:next w:val="BodyText"/>
    <w:pPr>
      <w:keepNext/>
      <w:spacing w:after="240" w:before="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styleId="Heading2" w:type="paragraph">
    <w:name w:val="heading 2"/>
    <w:basedOn w:val="Normal"/>
    <w:qFormat/>
    <w:next w:val="BodyText"/>
    <w:pPr>
      <w:keepNext/>
      <w:spacing w:after="200" w:before="240" w:line="480" w:lineRule="auto"/>
      <w:ind w:firstLine="0"/>
      <w:jc w:val="left"/>
      <w:outlineLvl w:val="1"/>
    </w:pPr>
    <w:rPr>
      <w:rFonts w:ascii="Times New Roman" w:cs="Times New Roman" w:eastAsia="Times New Roman" w:hAnsi="Times New Roman"/>
      <w:color w:val="000000"/>
      <w:b/>
      <w:sz w:val="26"/>
      <w:szCs w:val="26"/>
    </w:rPr>
  </w:style>
  <w:style w:styleId="Heading3" w:type="paragraph">
    <w:name w:val="heading 3"/>
    <w:basedOn w:val="Normal"/>
    <w:qFormat/>
    <w:next w:val="BodyText"/>
    <w:pPr>
      <w:keepNext/>
      <w:spacing w:after="0" w:before="240" w:line="480" w:lineRule="auto"/>
      <w:ind w:firstLine="0"/>
      <w:jc w:val="left"/>
      <w:outlineLvl w:val="2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4" w:type="paragraph">
    <w:name w:val="heading 4"/>
    <w:basedOn w:val="Normal"/>
    <w:qFormat/>
    <w:next w:val="BodyText"/>
    <w:pPr>
      <w:keepNext/>
      <w:spacing w:after="0" w:before="120" w:line="480" w:lineRule="auto"/>
      <w:ind w:firstLine="0"/>
      <w:jc w:val="left"/>
      <w:outlineLvl w:val="3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qFormat/>
    <w:pPr>
      <w:spacing w:after="0" w:before="0" w:line="480" w:lineRule="auto"/>
      <w:jc w:val="both"/>
      <w:ind w:left="720" w:right="72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qFormat/>
    <w:pPr>
      <w:spacing w:after="0" w:before="0" w:line="240" w:lineRule="auto"/>
      <w:jc w:val="both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000000"/>
      </w:rPr>
      <w:tcPr>
        <w:shd w:color="auto" w:fill="D9D9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spacing w:after="240" w:before="120" w:line="240" w:lineRule="auto"/>
      <w:jc w:val="left"/>
    </w:pPr>
    <w:rPr>
      <w:rFonts w:ascii="Times New Roman" w:cs="Times New Roman" w:eastAsia="Times New Roman" w:hAnsi="Times New Roman"/>
      <w:color w:val="000000"/>
      <w:i/>
      <w:sz w:val="20"/>
      <w:szCs w:val="20"/>
    </w:rPr>
  </w:style>
  <w:style w:styleId="TableCaption" w:type="paragraph">
    <w:name w:val="Table Caption"/>
    <w:basedOn w:val="Caption"/>
    <w:qFormat/>
    <w:pPr>
      <w:spacing w:after="240" w:before="120" w:line="240" w:lineRule="auto"/>
    </w:pPr>
    <w:rPr>
      <w:rFonts w:ascii="Times New Roman" w:cs="Times New Roman" w:eastAsia="Times New Roman" w:hAnsi="Times New Roman"/>
      <w:color w:val="000000"/>
      <w:i/>
      <w:sz w:val="20"/>
    </w:rPr>
  </w:style>
  <w:style w:styleId="ImageCaption" w:type="paragraph">
    <w:name w:val="Image Caption"/>
    <w:basedOn w:val="Caption"/>
    <w:qFormat/>
    <w:pPr>
      <w:spacing w:after="240" w:before="120" w:line="240" w:lineRule="auto"/>
    </w:pPr>
    <w:rPr>
      <w:rFonts w:ascii="Times New Roman" w:cs="Times New Roman" w:eastAsia="Times New Roman" w:hAnsi="Times New Roman"/>
      <w:color w:val="000000"/>
      <w:i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ratulaNumeral" w:type="paragraph">
    <w:name w:val="Carátula Numeral"/>
    <w:basedOn w:val="Normal"/>
    <w:qFormat/>
    <w:pPr>
      <w:spacing w:after="240" w:before="0" w:line="240" w:lineRule="auto"/>
      <w:jc w:val="center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customStyle="1" w:styleId="CaratulaTitulo" w:type="paragraph">
    <w:name w:val="Carátula Título"/>
    <w:basedOn w:val="Normal"/>
    <w:qFormat/>
    <w:pPr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color w:val="000000"/>
      <w:b/>
      <w:caps/>
      <w:sz w:val="28"/>
      <w:szCs w:val="28"/>
    </w:rPr>
  </w:style>
  <w:style w:customStyle="1" w:styleId="Portada" w:type="paragraph">
    <w:name w:val="Portada"/>
    <w:basedOn w:val="Normal"/>
    <w:qFormat/>
    <w:pPr>
      <w:spacing w:after="200" w:before="200" w:line="480" w:lineRule="auto"/>
      <w:ind w:firstLine="0"/>
      <w:jc w:val="center"/>
    </w:pPr>
    <w:rPr>
      <w:rFonts w:ascii="Times New Roman" w:cs="Times New Roman" w:eastAsia="Times New Roman" w:hAnsi="Times New Roman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" Target="footer1.xml" Type="http://schemas.openxmlformats.org/officeDocument/2006/relationships/footer" /><Relationship Id="rIdPieVacio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es-AR</dc:language>
  <cp:keywords/>
  <dcterms:created xsi:type="dcterms:W3CDTF">2026-10-02T21:58:41Z</dcterms:created>
  <dcterms:modified xsi:type="dcterms:W3CDTF">2026-10-02T21:58:41Z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C:\Users\Joa\Documents\RIGE-TIF-Sanchez-IngSistemas-UCP\tools\apa.csl</vt:lpwstr>
  </property>
  <property fmtid="{D5CDD505-2E9C-101B-9397-08002B2CF9AE}" pid="4" name="reference-section-title">
    <vt:lpwstr>BIBLIOGRAFÍA</vt:lpwstr>
  </property>
</Properties>
</file>