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00" w:lineRule="auto"/>
        <w:jc w:val="center"/>
        <w:rPr>
          <w:color w:val="000000"/>
          <w:sz w:val="20"/>
          <w:szCs w:val="20"/>
        </w:rPr>
      </w:pPr>
      <w:r w:rsidDel="00000000" w:rsidR="00000000" w:rsidRPr="00000000">
        <w:rPr>
          <w:b w:val="1"/>
          <w:bCs w:val="1"/>
          <w:color w:val="000000"/>
          <w:sz w:val="32"/>
          <w:szCs w:val="32"/>
          <w:rtl w:val="0"/>
        </w:rPr>
        <w:t xml:space="preserve">UNIVERSIDAD DE LA CUENCA DEL PLATA</w:t>
      </w:r>
      <w:r w:rsidDel="00000000" w:rsidR="00000000" w:rsidRPr="00000000">
        <w:rPr>
          <w:rtl w:val="0"/>
        </w:rPr>
      </w:r>
    </w:p>
    <w:p w:rsidR="00000000" w:rsidDel="00000000" w:rsidP="00000000" w:rsidRDefault="00000000" w:rsidRPr="00000000" w14:paraId="00000002">
      <w:pPr>
        <w:spacing w:after="80" w:line="300" w:lineRule="auto"/>
        <w:jc w:val="center"/>
        <w:rPr>
          <w:color w:val="000000"/>
          <w:sz w:val="20"/>
          <w:szCs w:val="20"/>
        </w:rPr>
      </w:pPr>
      <w:r w:rsidDel="00000000" w:rsidR="00000000" w:rsidRPr="00000000">
        <w:rPr>
          <w:color w:val="000000"/>
          <w:sz w:val="26"/>
          <w:szCs w:val="26"/>
          <w:rtl w:val="0"/>
        </w:rPr>
        <w:t xml:space="preserve">Facultad de Ingeniería, Tecnología y Arquitectura</w:t>
      </w:r>
      <w:r w:rsidDel="00000000" w:rsidR="00000000" w:rsidRPr="00000000">
        <w:rPr>
          <w:rtl w:val="0"/>
        </w:rPr>
      </w:r>
    </w:p>
    <w:p w:rsidR="00000000" w:rsidDel="00000000" w:rsidP="00000000" w:rsidRDefault="00000000" w:rsidRPr="00000000" w14:paraId="00000003">
      <w:pPr>
        <w:spacing w:after="1400" w:line="300" w:lineRule="auto"/>
        <w:jc w:val="center"/>
        <w:rPr>
          <w:color w:val="000000"/>
          <w:sz w:val="20"/>
          <w:szCs w:val="20"/>
        </w:rPr>
      </w:pPr>
      <w:r w:rsidDel="00000000" w:rsidR="00000000" w:rsidRPr="00000000">
        <w:rPr>
          <w:color w:val="000000"/>
          <w:sz w:val="26"/>
          <w:szCs w:val="26"/>
          <w:rtl w:val="0"/>
        </w:rPr>
        <w:t xml:space="preserve">Ingeniería en Sistemas de Información</w:t>
      </w:r>
      <w:r w:rsidDel="00000000" w:rsidR="00000000" w:rsidRPr="00000000">
        <w:rPr>
          <w:rtl w:val="0"/>
        </w:rPr>
      </w:r>
    </w:p>
    <w:p w:rsidR="00000000" w:rsidDel="00000000" w:rsidP="00000000" w:rsidRDefault="00000000" w:rsidRPr="00000000" w14:paraId="00000004">
      <w:pPr>
        <w:spacing w:after="1000" w:line="300" w:lineRule="auto"/>
        <w:jc w:val="center"/>
        <w:rPr>
          <w:color w:val="000000"/>
          <w:sz w:val="20"/>
          <w:szCs w:val="20"/>
        </w:rPr>
      </w:pPr>
      <w:r w:rsidDel="00000000" w:rsidR="00000000" w:rsidRPr="00000000">
        <w:rPr>
          <w:b w:val="1"/>
          <w:bCs w:val="1"/>
          <w:color w:val="000000"/>
          <w:sz w:val="36"/>
          <w:szCs w:val="36"/>
          <w:rtl w:val="0"/>
        </w:rPr>
        <w:t xml:space="preserve">PROYECTO INTEGRADOR FINAL</w:t>
      </w:r>
      <w:r w:rsidDel="00000000" w:rsidR="00000000" w:rsidRPr="00000000">
        <w:rPr>
          <w:rtl w:val="0"/>
        </w:rPr>
      </w:r>
    </w:p>
    <w:p w:rsidR="00000000" w:rsidDel="00000000" w:rsidP="00000000" w:rsidRDefault="00000000" w:rsidRPr="00000000" w14:paraId="00000005">
      <w:pPr>
        <w:spacing w:after="1600" w:line="300" w:lineRule="auto"/>
        <w:jc w:val="center"/>
        <w:rPr>
          <w:color w:val="000000"/>
          <w:sz w:val="20"/>
          <w:szCs w:val="20"/>
        </w:rPr>
      </w:pPr>
      <w:r w:rsidDel="00000000" w:rsidR="00000000" w:rsidRPr="00000000">
        <w:rPr>
          <w:b w:val="1"/>
          <w:bCs w:val="1"/>
          <w:color w:val="000000"/>
          <w:sz w:val="32"/>
          <w:szCs w:val="32"/>
          <w:rtl w:val="0"/>
        </w:rPr>
        <w:t xml:space="preserve">CODI</w:t>
      </w:r>
      <w:r w:rsidDel="00000000" w:rsidR="00000000" w:rsidRPr="00000000">
        <w:rPr>
          <w:rtl w:val="0"/>
        </w:rPr>
      </w:r>
    </w:p>
    <w:p w:rsidR="00000000" w:rsidDel="00000000" w:rsidP="00000000" w:rsidRDefault="00000000" w:rsidRPr="00000000" w14:paraId="00000006">
      <w:pPr>
        <w:spacing w:after="120" w:line="300" w:lineRule="auto"/>
        <w:jc w:val="center"/>
        <w:rPr>
          <w:color w:val="000000"/>
          <w:sz w:val="20"/>
          <w:szCs w:val="20"/>
        </w:rPr>
      </w:pPr>
      <w:r w:rsidDel="00000000" w:rsidR="00000000" w:rsidRPr="00000000">
        <w:rPr>
          <w:b w:val="1"/>
          <w:bCs w:val="1"/>
          <w:color w:val="000000"/>
          <w:rtl w:val="0"/>
        </w:rPr>
        <w:t xml:space="preserve">Autores:</w:t>
      </w:r>
      <w:r w:rsidDel="00000000" w:rsidR="00000000" w:rsidRPr="00000000">
        <w:rPr>
          <w:rtl w:val="0"/>
        </w:rPr>
      </w:r>
    </w:p>
    <w:p w:rsidR="00000000" w:rsidDel="00000000" w:rsidP="00000000" w:rsidRDefault="00000000" w:rsidRPr="00000000" w14:paraId="00000007">
      <w:pPr>
        <w:spacing w:after="1400" w:line="300" w:lineRule="auto"/>
        <w:jc w:val="center"/>
        <w:rPr>
          <w:color w:val="000000"/>
          <w:sz w:val="20"/>
          <w:szCs w:val="20"/>
        </w:rPr>
      </w:pPr>
      <w:r w:rsidDel="00000000" w:rsidR="00000000" w:rsidRPr="00000000">
        <w:rPr>
          <w:color w:val="000000"/>
          <w:rtl w:val="0"/>
        </w:rPr>
        <w:t xml:space="preserve">Nuñez, Santiago Agustin - 44.952.958</w:t>
      </w:r>
      <w:r w:rsidDel="00000000" w:rsidR="00000000" w:rsidRPr="00000000">
        <w:rPr>
          <w:rtl w:val="0"/>
        </w:rPr>
      </w:r>
    </w:p>
    <w:p w:rsidR="00000000" w:rsidDel="00000000" w:rsidP="00000000" w:rsidRDefault="00000000" w:rsidRPr="00000000" w14:paraId="00000008">
      <w:pPr>
        <w:spacing w:after="1000" w:line="480" w:lineRule="auto"/>
        <w:jc w:val="center"/>
        <w:rPr>
          <w:color w:val="000000"/>
          <w:sz w:val="20"/>
          <w:szCs w:val="20"/>
        </w:rPr>
      </w:pPr>
      <w:r w:rsidDel="00000000" w:rsidR="00000000" w:rsidRPr="00000000">
        <w:rPr>
          <w:color w:val="000000"/>
          <w:rtl w:val="0"/>
        </w:rPr>
        <w:t xml:space="preserve">Docente Titular: PosDr. Darío Ezequiel Díaz</w:t>
      </w:r>
      <w:r w:rsidDel="00000000" w:rsidR="00000000" w:rsidRPr="00000000">
        <w:rPr>
          <w:rtl w:val="0"/>
        </w:rPr>
      </w:r>
    </w:p>
    <w:p w:rsidR="00000000" w:rsidDel="00000000" w:rsidP="00000000" w:rsidRDefault="00000000" w:rsidRPr="00000000" w14:paraId="00000009">
      <w:pPr>
        <w:spacing w:after="0" w:line="300" w:lineRule="auto"/>
        <w:jc w:val="center"/>
        <w:rPr>
          <w:color w:val="000000"/>
          <w:sz w:val="20"/>
          <w:szCs w:val="20"/>
        </w:rPr>
      </w:pPr>
      <w:r w:rsidDel="00000000" w:rsidR="00000000" w:rsidRPr="00000000">
        <w:rPr>
          <w:color w:val="000000"/>
          <w:rtl w:val="0"/>
        </w:rPr>
        <w:t xml:space="preserve">Posadas, Misiones — Octubre de 2026</w:t>
      </w:r>
      <w:r w:rsidDel="00000000" w:rsidR="00000000" w:rsidRPr="00000000">
        <w:rPr>
          <w:rtl w:val="0"/>
        </w:rPr>
      </w:r>
    </w:p>
    <w:p w:rsidR="00000000" w:rsidDel="00000000" w:rsidP="00000000" w:rsidRDefault="00000000" w:rsidRPr="00000000" w14:paraId="0000000A">
      <w:pPr>
        <w:spacing w:after="80" w:before="0" w:line="288" w:lineRule="auto"/>
        <w:ind w:firstLine="0"/>
        <w:jc w:val="center"/>
        <w:rPr>
          <w:b w:val="1"/>
          <w:bCs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sidDel="00000000" w:rsidR="00000000" w:rsidRPr="00000000">
        <w:br w:type="page"/>
      </w:r>
      <w:r w:rsidDel="00000000" w:rsidR="00000000" w:rsidRPr="00000000">
        <w:rPr>
          <w:rFonts w:ascii="Times New Roman" w:cs="Times New Roman" w:eastAsia="Times New Roman" w:hAnsi="Times New Roman"/>
          <w:b w:val="1"/>
          <w:bCs w:val="1"/>
          <w:i w:val="0"/>
          <w:iCs w:val="0"/>
          <w:color w:val="0f172a"/>
          <w:sz w:val="28"/>
          <w:szCs w:val="28"/>
          <w:rtl w:val="0"/>
        </w:rPr>
        <w:t xml:space="preserve">RESUMEN</w:t>
      </w:r>
      <w:r w:rsidDel="00000000" w:rsidR="00000000" w:rsidRPr="00000000">
        <w:rPr>
          <w:rtl w:val="0"/>
        </w:rPr>
      </w:r>
    </w:p>
    <w:p w:rsidR="00000000" w:rsidDel="00000000" w:rsidP="00000000" w:rsidRDefault="00000000" w:rsidRPr="00000000" w14:paraId="0000000C">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presente informe constituye la formulación técnica, estratégica, operativa y presupuestaria del Proyecto Integrador Final </w:t>
      </w:r>
      <w:r w:rsidDel="00000000" w:rsidR="00000000" w:rsidRPr="00000000">
        <w:rPr>
          <w:rFonts w:ascii="Times New Roman" w:cs="Times New Roman" w:eastAsia="Times New Roman" w:hAnsi="Times New Roman"/>
          <w:b w:val="1"/>
          <w:bCs w:val="1"/>
          <w:i w:val="0"/>
          <w:iCs w:val="0"/>
          <w:color w:val="0f172a"/>
          <w:sz w:val="24"/>
          <w:szCs w:val="24"/>
          <w:rtl w:val="0"/>
        </w:rPr>
        <w:t xml:space="preserve">CODI</w:t>
      </w:r>
      <w:r w:rsidDel="00000000" w:rsidR="00000000" w:rsidRPr="00000000">
        <w:rPr>
          <w:rFonts w:ascii="Times New Roman" w:cs="Times New Roman" w:eastAsia="Times New Roman" w:hAnsi="Times New Roman"/>
          <w:b w:val="0"/>
          <w:bCs w:val="0"/>
          <w:i w:val="0"/>
          <w:iCs w:val="0"/>
          <w:color w:val="0f172a"/>
          <w:sz w:val="24"/>
          <w:szCs w:val="24"/>
          <w:rtl w:val="0"/>
        </w:rPr>
        <w:t xml:space="preserve"> (</w:t>
      </w:r>
      <w:r w:rsidDel="00000000" w:rsidR="00000000" w:rsidRPr="00000000">
        <w:rPr>
          <w:rFonts w:ascii="Times New Roman" w:cs="Times New Roman" w:eastAsia="Times New Roman" w:hAnsi="Times New Roman"/>
          <w:b w:val="0"/>
          <w:bCs w:val="0"/>
          <w:i w:val="1"/>
          <w:iCs w:val="1"/>
          <w:color w:val="0f172a"/>
          <w:sz w:val="24"/>
          <w:szCs w:val="24"/>
          <w:rtl w:val="0"/>
        </w:rPr>
        <w:t xml:space="preserve">Cognitive Operations &amp; Decision Intelligence</w:t>
      </w:r>
      <w:r w:rsidDel="00000000" w:rsidR="00000000" w:rsidRPr="00000000">
        <w:rPr>
          <w:rFonts w:ascii="Times New Roman" w:cs="Times New Roman" w:eastAsia="Times New Roman" w:hAnsi="Times New Roman"/>
          <w:b w:val="0"/>
          <w:bCs w:val="0"/>
          <w:i w:val="0"/>
          <w:iCs w:val="0"/>
          <w:color w:val="0f172a"/>
          <w:sz w:val="24"/>
          <w:szCs w:val="24"/>
          <w:rtl w:val="0"/>
        </w:rPr>
        <w:t xml:space="preserve">), correspondiente a la carrera de Ingeniería en Sistemas de Información de la Universidad de la Cuenca del Plata, en estricto cumplimiento de la Resolución Rectoral N.º 97/23 (Arts. 20.º y 21.º) y las pautas reglamentarias de la cátedra.</w:t>
      </w:r>
      <w:r w:rsidDel="00000000" w:rsidR="00000000" w:rsidRPr="00000000">
        <w:rPr>
          <w:rtl w:val="0"/>
        </w:rPr>
      </w:r>
    </w:p>
    <w:p w:rsidR="00000000" w:rsidDel="00000000" w:rsidP="00000000" w:rsidRDefault="00000000" w:rsidRPr="00000000" w14:paraId="0000000D">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Tomando como base empírica el diagnóstico establecido en los Capítulos I y II sobre la fragmentación crítica de información en el Centro Tecnológico Aeroespacial de la Universidad Nacional de La Plata (CTA-UNLP) —evidenciada en documentos de control de interfaz (ICD) de 50 a 90 páginas, rotación periódica de 10 a 60 integrantes, pérdida recurrente de memoria técnica y períodos de superposición presencial de 30 a 45 días para la transferencia informal de criterios de diseño ("números tácitos")—, se formaliza la ingeniería de un arnés cognitivo (</w:t>
      </w:r>
      <w:r w:rsidDel="00000000" w:rsidR="00000000" w:rsidRPr="00000000">
        <w:rPr>
          <w:rFonts w:ascii="Times New Roman" w:cs="Times New Roman" w:eastAsia="Times New Roman" w:hAnsi="Times New Roman"/>
          <w:b w:val="0"/>
          <w:bCs w:val="0"/>
          <w:i w:val="1"/>
          <w:iCs w:val="1"/>
          <w:color w:val="0f172a"/>
          <w:sz w:val="24"/>
          <w:szCs w:val="24"/>
          <w:rtl w:val="0"/>
        </w:rPr>
        <w:t xml:space="preserve">cognitive engineering harness</w:t>
      </w:r>
      <w:r w:rsidDel="00000000" w:rsidR="00000000" w:rsidRPr="00000000">
        <w:rPr>
          <w:rFonts w:ascii="Times New Roman" w:cs="Times New Roman" w:eastAsia="Times New Roman" w:hAnsi="Times New Roman"/>
          <w:b w:val="0"/>
          <w:bCs w:val="0"/>
          <w:i w:val="0"/>
          <w:iCs w:val="0"/>
          <w:color w:val="0f172a"/>
          <w:sz w:val="24"/>
          <w:szCs w:val="24"/>
          <w:rtl w:val="0"/>
        </w:rPr>
        <w:t xml:space="preserve">) para CubeSats centrado en el subsistema de potencia eléctrica (EPS).</w:t>
      </w:r>
      <w:r w:rsidDel="00000000" w:rsidR="00000000" w:rsidRPr="00000000">
        <w:rPr>
          <w:rtl w:val="0"/>
        </w:rPr>
      </w:r>
    </w:p>
    <w:p w:rsidR="00000000" w:rsidDel="00000000" w:rsidP="00000000" w:rsidRDefault="00000000" w:rsidRPr="00000000" w14:paraId="0000000E">
      <w:pPr>
        <w:spacing w:after="80" w:before="0" w:line="480" w:lineRule="auto"/>
        <w:ind w:firstLine="720"/>
        <w:rPr>
          <w:rFonts w:ascii="Times New Roman" w:cs="Times New Roman" w:eastAsia="Times New Roman" w:hAnsi="Times New Roman"/>
          <w:b w:val="0"/>
          <w:bCs w:val="0"/>
          <w:i w:val="0"/>
          <w:iCs w:val="0"/>
          <w:color w:val="0f172a"/>
          <w:sz w:val="24"/>
          <w:szCs w:val="24"/>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documento se estructura en cuatro ejes progresivos: (1) </w:t>
      </w:r>
      <w:r w:rsidDel="00000000" w:rsidR="00000000" w:rsidRPr="00000000">
        <w:rPr>
          <w:rFonts w:ascii="Times New Roman" w:cs="Times New Roman" w:eastAsia="Times New Roman" w:hAnsi="Times New Roman"/>
          <w:b w:val="1"/>
          <w:bCs w:val="1"/>
          <w:i w:val="0"/>
          <w:iCs w:val="0"/>
          <w:color w:val="0f172a"/>
          <w:sz w:val="24"/>
          <w:szCs w:val="24"/>
          <w:rtl w:val="0"/>
        </w:rPr>
        <w:t xml:space="preserve">Entorno y Dominio del Sistema (Cap. III)</w:t>
      </w:r>
      <w:r w:rsidDel="00000000" w:rsidR="00000000" w:rsidRPr="00000000">
        <w:rPr>
          <w:rFonts w:ascii="Times New Roman" w:cs="Times New Roman" w:eastAsia="Times New Roman" w:hAnsi="Times New Roman"/>
          <w:b w:val="0"/>
          <w:bCs w:val="0"/>
          <w:i w:val="0"/>
          <w:iCs w:val="0"/>
          <w:color w:val="0f172a"/>
          <w:sz w:val="24"/>
          <w:szCs w:val="24"/>
          <w:rtl w:val="0"/>
        </w:rPr>
        <w:t xml:space="preserve">, delimitando componentes sistémicos, modelo relacional formal, reglas de negocio matemáticas basadas en estándares internacionales (ECSS-E-ST-20C Rev. 1, NASA SP-20230000806 Rev. 3), límites validados con la referente técnica y un catálogo de 22 requisitos rigurosos (16 RF y 6 RNF) con criterios de aceptación comprobables </w:t>
      </w:r>
      <w:r w:rsidDel="00000000" w:rsidR="00000000" w:rsidRPr="00000000">
        <w:rPr>
          <w:rFonts w:ascii="Consolas" w:cs="Consolas" w:eastAsia="Consolas" w:hAnsi="Consolas"/>
          <w:b w:val="0"/>
          <w:bCs w:val="0"/>
          <w:i w:val="0"/>
          <w:iCs w:val="0"/>
          <w:color w:val="334155"/>
          <w:sz w:val="21"/>
          <w:szCs w:val="21"/>
          <w:rtl w:val="0"/>
        </w:rPr>
        <w:t xml:space="preserve">[Condición Inicial + Acción + Resultado Observable con Valores]</w:t>
      </w:r>
      <w:r w:rsidDel="00000000" w:rsidR="00000000" w:rsidRPr="00000000">
        <w:rPr>
          <w:rFonts w:ascii="Times New Roman" w:cs="Times New Roman" w:eastAsia="Times New Roman" w:hAnsi="Times New Roman"/>
          <w:b w:val="0"/>
          <w:bCs w:val="0"/>
          <w:i w:val="0"/>
          <w:iCs w:val="0"/>
          <w:color w:val="0f172a"/>
          <w:sz w:val="24"/>
          <w:szCs w:val="24"/>
          <w:rtl w:val="0"/>
        </w:rPr>
        <w:t xml:space="preserve">; (2) </w:t>
      </w:r>
      <w:r w:rsidDel="00000000" w:rsidR="00000000" w:rsidRPr="00000000">
        <w:rPr>
          <w:rFonts w:ascii="Times New Roman" w:cs="Times New Roman" w:eastAsia="Times New Roman" w:hAnsi="Times New Roman"/>
          <w:b w:val="1"/>
          <w:bCs w:val="1"/>
          <w:i w:val="0"/>
          <w:iCs w:val="0"/>
          <w:color w:val="0f172a"/>
          <w:sz w:val="24"/>
          <w:szCs w:val="24"/>
          <w:rtl w:val="0"/>
        </w:rPr>
        <w:t xml:space="preserve">Modelo de Negocios (Cap. IV)</w:t>
      </w:r>
      <w:r w:rsidDel="00000000" w:rsidR="00000000" w:rsidRPr="00000000">
        <w:rPr>
          <w:rFonts w:ascii="Times New Roman" w:cs="Times New Roman" w:eastAsia="Times New Roman" w:hAnsi="Times New Roman"/>
          <w:b w:val="0"/>
          <w:bCs w:val="0"/>
          <w:i w:val="0"/>
          <w:iCs w:val="0"/>
          <w:color w:val="0f172a"/>
          <w:sz w:val="24"/>
          <w:szCs w:val="24"/>
          <w:rtl w:val="0"/>
        </w:rPr>
        <w:t xml:space="preserve">, formalizando un lienzo de negocio B2B de licenciamiento SaaS/On-Premise con arquitectura </w:t>
      </w:r>
      <w:r w:rsidDel="00000000" w:rsidR="00000000" w:rsidRPr="00000000">
        <w:rPr>
          <w:rFonts w:ascii="Times New Roman" w:cs="Times New Roman" w:eastAsia="Times New Roman" w:hAnsi="Times New Roman"/>
          <w:b w:val="0"/>
          <w:bCs w:val="0"/>
          <w:i w:val="1"/>
          <w:iCs w:val="1"/>
          <w:color w:val="0f172a"/>
          <w:sz w:val="24"/>
          <w:szCs w:val="24"/>
          <w:rtl w:val="0"/>
        </w:rPr>
        <w:t xml:space="preserve">Bring Your Own Key</w:t>
      </w:r>
      <w:r w:rsidDel="00000000" w:rsidR="00000000" w:rsidRPr="00000000">
        <w:rPr>
          <w:rFonts w:ascii="Times New Roman" w:cs="Times New Roman" w:eastAsia="Times New Roman" w:hAnsi="Times New Roman"/>
          <w:b w:val="0"/>
          <w:bCs w:val="0"/>
          <w:i w:val="0"/>
          <w:iCs w:val="0"/>
          <w:color w:val="0f172a"/>
          <w:sz w:val="24"/>
          <w:szCs w:val="24"/>
          <w:rtl w:val="0"/>
        </w:rPr>
        <w:t xml:space="preserve"> (BYOK), análisis de cinco fuerzas de Porter y mapeo competitivo con posicionamiento estratégico en alta soberanía tecnológica y asistencia cognitiva activa; (3) </w:t>
      </w:r>
      <w:r w:rsidDel="00000000" w:rsidR="00000000" w:rsidRPr="00000000">
        <w:rPr>
          <w:rFonts w:ascii="Times New Roman" w:cs="Times New Roman" w:eastAsia="Times New Roman" w:hAnsi="Times New Roman"/>
          <w:b w:val="1"/>
          <w:bCs w:val="1"/>
          <w:i w:val="0"/>
          <w:iCs w:val="0"/>
          <w:color w:val="0f172a"/>
          <w:sz w:val="24"/>
          <w:szCs w:val="24"/>
          <w:rtl w:val="0"/>
        </w:rPr>
        <w:t xml:space="preserve">Planificación del Proyecto (Cap. V)</w:t>
      </w:r>
      <w:r w:rsidDel="00000000" w:rsidR="00000000" w:rsidRPr="00000000">
        <w:rPr>
          <w:rFonts w:ascii="Times New Roman" w:cs="Times New Roman" w:eastAsia="Times New Roman" w:hAnsi="Times New Roman"/>
          <w:b w:val="0"/>
          <w:bCs w:val="0"/>
          <w:i w:val="0"/>
          <w:iCs w:val="0"/>
          <w:color w:val="0f172a"/>
          <w:sz w:val="24"/>
          <w:szCs w:val="24"/>
          <w:rtl w:val="0"/>
        </w:rPr>
        <w:t xml:space="preserve">, estructurada bajo Scrum/Agile en 4 iteraciones quincenales, asignación de roles unificados sobre el autor con protocolo jerárquico de toma de decisiones, WBS detallada con camino crítico y un Producto Mínimo Viable (MVP) delimitado en 6 casos de uso comprobables (CU-01 a CU-06) con presupuesto cerrado de 190 horas-persona efectivas; y (4) </w:t>
      </w:r>
      <w:r w:rsidDel="00000000" w:rsidR="00000000" w:rsidRPr="00000000">
        <w:rPr>
          <w:rFonts w:ascii="Times New Roman" w:cs="Times New Roman" w:eastAsia="Times New Roman" w:hAnsi="Times New Roman"/>
          <w:b w:val="1"/>
          <w:bCs w:val="1"/>
          <w:i w:val="0"/>
          <w:iCs w:val="0"/>
          <w:color w:val="0f172a"/>
          <w:sz w:val="24"/>
          <w:szCs w:val="24"/>
          <w:rtl w:val="0"/>
        </w:rPr>
        <w:t xml:space="preserve">Estructura Integral de Recursos (Cap. X)</w:t>
      </w:r>
      <w:r w:rsidDel="00000000" w:rsidR="00000000" w:rsidRPr="00000000">
        <w:rPr>
          <w:rFonts w:ascii="Times New Roman" w:cs="Times New Roman" w:eastAsia="Times New Roman" w:hAnsi="Times New Roman"/>
          <w:b w:val="0"/>
          <w:bCs w:val="0"/>
          <w:i w:val="0"/>
          <w:iCs w:val="0"/>
          <w:color w:val="0f172a"/>
          <w:sz w:val="24"/>
          <w:szCs w:val="24"/>
          <w:rtl w:val="0"/>
        </w:rPr>
        <w:t xml:space="preserve">, detallando mano de obra directa (4.500.625 ARS), equipamiento y servicios públicos auditados (227.707 ARS), activos intangibles y propiedad intelectual formalizados ante DNDA e INPI, y una inversión inicial total consolidada de 5.247.429 ARS (USD 3.398,68 al tipo de cambio minorista BCRA vendedor de1.543,96 ARS/USD al 01/10/2026), demostrando viabilidad financiera con punto de equilibrio a partir de una única licencia Enterprise anual.</w:t>
      </w:r>
      <w:r w:rsidDel="00000000" w:rsidR="00000000" w:rsidRPr="00000000">
        <w:br w:type="page"/>
      </w:r>
      <w:r w:rsidDel="00000000" w:rsidR="00000000" w:rsidRPr="00000000">
        <w:rPr>
          <w:rtl w:val="0"/>
        </w:rPr>
      </w:r>
    </w:p>
    <w:p w:rsidR="00000000" w:rsidDel="00000000" w:rsidP="00000000" w:rsidRDefault="00000000" w:rsidRPr="00000000" w14:paraId="0000000F">
      <w:pPr>
        <w:spacing w:after="80" w:before="0" w:line="480" w:lineRule="auto"/>
        <w:ind w:firstLine="720"/>
        <w:rPr>
          <w:b w:val="1"/>
          <w:bCs w:val="1"/>
          <w:sz w:val="32"/>
          <w:szCs w:val="32"/>
        </w:rPr>
      </w:pPr>
      <w:r w:rsidDel="00000000" w:rsidR="00000000" w:rsidRPr="00000000">
        <w:rPr>
          <w:rtl w:val="0"/>
        </w:rPr>
      </w:r>
    </w:p>
    <w:p w:rsidR="00000000" w:rsidDel="00000000" w:rsidP="00000000" w:rsidRDefault="00000000" w:rsidRPr="00000000" w14:paraId="00000010">
      <w:pPr>
        <w:spacing w:after="80" w:before="0" w:line="480" w:lineRule="auto"/>
        <w:ind w:firstLine="720"/>
        <w:rPr>
          <w:b w:val="1"/>
          <w:bCs w:val="1"/>
          <w:sz w:val="32"/>
          <w:szCs w:val="32"/>
        </w:rPr>
      </w:pPr>
      <w:r w:rsidDel="00000000" w:rsidR="00000000" w:rsidRPr="00000000">
        <w:rPr>
          <w:rtl w:val="0"/>
        </w:rPr>
      </w:r>
    </w:p>
    <w:p w:rsidR="00000000" w:rsidDel="00000000" w:rsidP="00000000" w:rsidRDefault="00000000" w:rsidRPr="00000000" w14:paraId="00000011">
      <w:pPr>
        <w:spacing w:after="80" w:before="0" w:line="480" w:lineRule="auto"/>
        <w:ind w:firstLine="720"/>
        <w:rPr>
          <w:b w:val="1"/>
          <w:bCs w:val="1"/>
          <w:sz w:val="32"/>
          <w:szCs w:val="32"/>
        </w:rPr>
      </w:pPr>
      <w:r w:rsidDel="00000000" w:rsidR="00000000" w:rsidRPr="00000000">
        <w:rPr>
          <w:rtl w:val="0"/>
        </w:rPr>
      </w:r>
    </w:p>
    <w:p w:rsidR="00000000" w:rsidDel="00000000" w:rsidP="00000000" w:rsidRDefault="00000000" w:rsidRPr="00000000" w14:paraId="00000012">
      <w:pPr>
        <w:spacing w:after="80" w:before="0" w:line="480" w:lineRule="auto"/>
        <w:ind w:firstLine="720"/>
        <w:rPr>
          <w:b w:val="1"/>
          <w:bCs w:val="1"/>
          <w:sz w:val="32"/>
          <w:szCs w:val="32"/>
        </w:rPr>
      </w:pPr>
      <w:r w:rsidDel="00000000" w:rsidR="00000000" w:rsidRPr="00000000">
        <w:rPr>
          <w:rtl w:val="0"/>
        </w:rPr>
      </w:r>
    </w:p>
    <w:p w:rsidR="00000000" w:rsidDel="00000000" w:rsidP="00000000" w:rsidRDefault="00000000" w:rsidRPr="00000000" w14:paraId="00000013">
      <w:pPr>
        <w:spacing w:after="80" w:before="0" w:line="480" w:lineRule="auto"/>
        <w:ind w:firstLine="720"/>
        <w:rPr>
          <w:b w:val="1"/>
          <w:bCs w:val="1"/>
          <w:sz w:val="32"/>
          <w:szCs w:val="32"/>
        </w:rPr>
      </w:pPr>
      <w:r w:rsidDel="00000000" w:rsidR="00000000" w:rsidRPr="00000000">
        <w:rPr>
          <w:rtl w:val="0"/>
        </w:rPr>
      </w:r>
    </w:p>
    <w:p w:rsidR="00000000" w:rsidDel="00000000" w:rsidP="00000000" w:rsidRDefault="00000000" w:rsidRPr="00000000" w14:paraId="00000014">
      <w:pPr>
        <w:spacing w:after="80" w:before="0" w:line="480" w:lineRule="auto"/>
        <w:ind w:left="0" w:firstLine="0"/>
        <w:jc w:val="center"/>
        <w:rPr>
          <w:b w:val="1"/>
          <w:bCs w:val="1"/>
          <w:sz w:val="32"/>
          <w:szCs w:val="32"/>
        </w:rPr>
      </w:pPr>
      <w:r w:rsidDel="00000000" w:rsidR="00000000" w:rsidRPr="00000000">
        <w:rPr>
          <w:rFonts w:ascii="Times New Roman" w:cs="Times New Roman" w:eastAsia="Times New Roman" w:hAnsi="Times New Roman"/>
          <w:b w:val="1"/>
          <w:bCs w:val="1"/>
          <w:i w:val="0"/>
          <w:iCs w:val="0"/>
          <w:color w:val="0f172a"/>
          <w:sz w:val="32"/>
          <w:szCs w:val="32"/>
          <w:rtl w:val="0"/>
        </w:rPr>
        <w:t xml:space="preserve">CAPÍTULO III</w:t>
      </w:r>
      <w:r w:rsidDel="00000000" w:rsidR="00000000" w:rsidRPr="00000000">
        <w:rPr>
          <w:rtl w:val="0"/>
        </w:rPr>
      </w:r>
    </w:p>
    <w:p w:rsidR="00000000" w:rsidDel="00000000" w:rsidP="00000000" w:rsidRDefault="00000000" w:rsidRPr="00000000" w14:paraId="00000015">
      <w:pPr>
        <w:spacing w:after="80" w:before="0" w:line="480" w:lineRule="auto"/>
        <w:ind w:left="0" w:firstLine="0"/>
        <w:jc w:val="center"/>
        <w:rPr/>
      </w:pPr>
      <w:r w:rsidDel="00000000" w:rsidR="00000000" w:rsidRPr="00000000">
        <w:rPr>
          <w:rFonts w:ascii="Times New Roman" w:cs="Times New Roman" w:eastAsia="Times New Roman" w:hAnsi="Times New Roman"/>
          <w:b w:val="1"/>
          <w:bCs w:val="1"/>
          <w:i w:val="0"/>
          <w:iCs w:val="0"/>
          <w:color w:val="0f172a"/>
          <w:sz w:val="32"/>
          <w:szCs w:val="32"/>
          <w:rtl w:val="0"/>
        </w:rPr>
        <w:t xml:space="preserve">ENTORNO Y DOMINIO DEL SISTEMA DE INFORMACIÓN</w:t>
      </w:r>
      <w:r w:rsidDel="00000000" w:rsidR="00000000" w:rsidRPr="00000000">
        <w:rPr>
          <w:rtl w:val="0"/>
        </w:rPr>
      </w:r>
    </w:p>
    <w:p w:rsidR="00000000" w:rsidDel="00000000" w:rsidP="00000000" w:rsidRDefault="00000000" w:rsidRPr="00000000" w14:paraId="00000016">
      <w:pPr>
        <w:pStyle w:val="Heading2"/>
        <w:keepNext w:val="1"/>
        <w:rPr>
          <w:color w:val="0f172a"/>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bookmarkStart w:colFirst="0" w:colLast="0" w:name="_m6ntzdxbesye" w:id="0"/>
      <w:bookmarkEnd w:id="0"/>
      <w:r w:rsidDel="00000000" w:rsidR="00000000" w:rsidRPr="00000000">
        <w:rPr>
          <w:rtl w:val="0"/>
        </w:rPr>
        <w:t xml:space="preserve">III.1 · Entorno del Sistema de Información</w:t>
      </w:r>
    </w:p>
    <w:p w:rsidR="00000000" w:rsidDel="00000000" w:rsidP="00000000" w:rsidRDefault="00000000" w:rsidRPr="00000000" w14:paraId="00000018">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entorno del sistema de información CODI comprende la totalidad de actores, normativas sectoriales, sistemas vecinos e infraestructura tecnológica que operan fuera de la frontera del software pero condicionan de forma directa sus decisiones de ingeniería, su arquitectura y su alcance funcional. La delimitación de estos componentes obedece a una regla estricta de pertinencia sistémica: un elemento pertenece al entorno de CODI si, y solo si, su modificación o supresión altera de manera inmediata una decisión de diseño, un requisito o el alcance comprometido del sistema. Aquellos factores contextuales que no ejercen un impacto arquitectónico verificable se excluyen formalmente del análisis.</w:t>
      </w:r>
      <w:r w:rsidDel="00000000" w:rsidR="00000000" w:rsidRPr="00000000">
        <w:rPr>
          <w:rtl w:val="0"/>
        </w:rPr>
      </w:r>
    </w:p>
    <w:p w:rsidR="00000000" w:rsidDel="00000000" w:rsidP="00000000" w:rsidRDefault="00000000" w:rsidRPr="00000000" w14:paraId="00000019">
      <w:pPr>
        <w:pStyle w:val="Heading2"/>
        <w:rPr/>
      </w:pPr>
      <w:bookmarkStart w:colFirst="0" w:colLast="0" w:name="_tkqdc7nahnlx" w:id="1"/>
      <w:bookmarkEnd w:id="1"/>
      <w:r w:rsidDel="00000000" w:rsidR="00000000" w:rsidRPr="00000000">
        <w:rPr>
          <w:rtl w:val="0"/>
        </w:rPr>
        <w:t xml:space="preserve">Caracterización de Componentes por Categoría</w:t>
      </w:r>
    </w:p>
    <w:p w:rsidR="00000000" w:rsidDel="00000000" w:rsidP="00000000" w:rsidRDefault="00000000" w:rsidRPr="00000000" w14:paraId="0000001A">
      <w:pPr>
        <w:pStyle w:val="Heading3"/>
        <w:rPr/>
      </w:pPr>
      <w:bookmarkStart w:colFirst="0" w:colLast="0" w:name="_x6rj66bgwuy4" w:id="2"/>
      <w:bookmarkEnd w:id="2"/>
      <w:r w:rsidDel="00000000" w:rsidR="00000000" w:rsidRPr="00000000">
        <w:rPr>
          <w:rtl w:val="0"/>
        </w:rPr>
        <w:t xml:space="preserve">1. Actores Externos</w:t>
      </w:r>
    </w:p>
    <w:p w:rsidR="00000000" w:rsidDel="00000000" w:rsidP="00000000" w:rsidRDefault="00000000" w:rsidRPr="00000000" w14:paraId="0000001B">
      <w:pPr>
        <w:spacing w:after="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La gobernanza, diseño y operación de misiones satelitales en el ámbito universitario involucran roles humanos y organizaciones que definen la autoridad de diseño, el flujo de interacción y las restricciones operativas del sistema.</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48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Coordinador/a de Proyecto e Ingeniero/a de Sistemas Espaciales (*Lead Systems Engineer*)</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Ejerce como usuario principal y máxima autoridad técnica responsable del diseño del satélite (rol documentado en la entrevista a la Ing. Sonia Botta, CTA-UNLP, 14/09/2026). Se adopta una arquitectura de interacción centrada en el profesional humano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Human-in-the-Loop</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donde el sistema actúa como asistente técnico, proveyendo síntesis contextual y trazabilidad sin ejecutar decisiones autónomas ni sustituir la firma de ingeniería responsable. Se descarta un enfoque de automatización de decisiones de diseño sin supervisión humana por incompatibilidad regulatoria con los estándares de aseguramiento de misión y riesgo de pérdida de control sobre los supuestos críticos (Cap. I · Definición del Proyecto, Sec. I.6 · Descripción detallada del SI; Bitácora, 22/09/2026).</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Especialistas de Subsistemas Satelitales (Electrónica, Control Térmico, ADCS, TTC, Carga Útil)</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Proveen y demandan los parámetros de diseño que alimentan el balance energético, representando el 80% del personal técnico en proyectos como USAT-1 y Atenea (Entrevista Sonia Botta, 14/09/2026, Min 00:21:39). El sistema incorpora puntos de ingestión de parámetros desacoplados para perfiles de consumo eléctrico en modos seguro, nominal y de carga útil activa. Se descarta implementar el modelado multifísico interno de los restantes subsistemas (ej. mecánica estructural o dinámica térmica detallada) para evitar una dispersión de alcance que comprometa el foco de asistencia cognitiva en el subsistema de potencia EPS (Cap. I · Definición del Proyecto, Sec. I.6 · Módulo EPS).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Estudiantes y Becarios en Rotación Continua (10 a 60 integrantes en el ciclo de vida)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Conforman el núcleo operativo en proyectos académicos espaciales, generando una rotación periódica que origina pérdida recurrente de memoria técnica y la prevalencia de "números tácitos" no documentados formalmente (Cap. I · Definición del Proyecto, Sec. I.3.1 · Definición formal de la problemática en el CTA-UNLP). CODI incorpora un módulo de registro explícito del razonamiento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decision log</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y trazabilidad de fuentes para acelerar la curva de aprendizaje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onboarding</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y reducir el intervalo obligatorio de superposición presencial de 30 a 45 días relevado en la línea de base. Se descarta asumir estabilidad de personal a lo largo del ciclo de vida del proyecto, condicionando el diseño a una estricta preservación del contexto histórico (Cap. I · Definición del Proyecto, Sec. I.3.3 · Línea de Base Operativa y Empírica).</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Proveedores de Componentes COTS y Operadores de Lanzamiento (SpaceX / CONAE)</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Suministran componentes comerciales abiertos (baterías, celdas solares, actuadores) y fijan las condiciones de inserción orbital (altitud h, inclinación i) y ventanas de lanzamiento (Entrevista Sonia Botta, 14/09/2026, Min 00:19:12 / 00:40:18). El sistema trata las variables orbitales como restricciones de contorno inmutables e implementa mecanismos de control de versiones sobre documentos de interfaz (ICD) para alertar incompatibilidades físicas tardías (como la modificación de montaje detectada con tan solo 72 horas de antelación en la misión Atenea). Se descarta integrar herramientas de cálculo dinámico de trayectorias de lanzamiento por constituir una competencia exclusiva del operador del lanzador (Fase E) (Cap. I · Definición del Proyecto, Sec. I.6 · Frontera del Sistema; Matriz de Fuentes, Fila 159).</w:t>
      </w:r>
      <w:r w:rsidDel="00000000" w:rsidR="00000000" w:rsidRPr="00000000">
        <w:rPr>
          <w:rtl w:val="0"/>
        </w:rPr>
      </w:r>
    </w:p>
    <w:p w:rsidR="00000000" w:rsidDel="00000000" w:rsidP="00000000" w:rsidRDefault="00000000" w:rsidRPr="00000000" w14:paraId="00000020">
      <w:pPr>
        <w:pStyle w:val="Heading3"/>
        <w:spacing w:after="0" w:line="480" w:lineRule="auto"/>
        <w:rPr/>
      </w:pPr>
      <w:bookmarkStart w:colFirst="0" w:colLast="0" w:name="_uvwrhwxaagui" w:id="3"/>
      <w:bookmarkEnd w:id="3"/>
      <w:r w:rsidDel="00000000" w:rsidR="00000000" w:rsidRPr="00000000">
        <w:rPr>
          <w:rtl w:val="0"/>
        </w:rPr>
        <w:t xml:space="preserve">2. Normas y Estándares Sectoriales</w:t>
      </w:r>
    </w:p>
    <w:p w:rsidR="00000000" w:rsidDel="00000000" w:rsidP="00000000" w:rsidRDefault="00000000" w:rsidRPr="00000000" w14:paraId="00000021">
      <w:pPr>
        <w:spacing w:after="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desarrollo aeroespacial está regido por marcos normativos rigurosos que operan como oráculos de verificación y reglas de negocio externas obligatorias.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48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CubeSat Design Specification REV 14.1 (Cal Poly, 2024)</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Estándar normativo obligatorio que fija las especificaciones de interfaz, límites de masa, volumen y envolventes operativas para nanosatélites desde 1U hasta 12U (Matriz de Fuentes, Fila 20). El sistema codifica estas especificaciones como restricciones duras de contorno en la base de conocimiento para validar la admisibilidad de las propuestas de diseño del EPS. Se descarta el empleo de estándares de satélites pesados convencionales por introducir sobrecostos de ingeniería incompatibles con la arquitectura New Space (Cap. II · Relevamiento de Mercado, Sec. II.1.2 · Fuentes Secundarias).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ECSS-E-ST-20C Rev. 1 y ECSS-E-ST-10-04C (European Cooperation for Space Standardization)</w:t>
      </w:r>
      <w:r w:rsidDel="00000000" w:rsidR="00000000" w:rsidRPr="00000000">
        <w:rPr>
          <w:rFonts w:ascii="Gungsuh" w:cs="Gungsuh" w:eastAsia="Gungsuh" w:hAnsi="Gungsuh"/>
          <w:b w:val="0"/>
          <w:bCs w:val="0"/>
          <w:i w:val="0"/>
          <w:iCs w:val="0"/>
          <w:smallCaps w:val="0"/>
          <w:strike w:val="0"/>
          <w:color w:val="0f172a"/>
          <w:sz w:val="23"/>
          <w:szCs w:val="23"/>
          <w:u w:val="none"/>
          <w:shd w:fill="auto" w:val="clear"/>
          <w:vertAlign w:val="baseline"/>
          <w:rtl w:val="0"/>
        </w:rPr>
        <w:t xml:space="preserve">: Normas rectoras en ingeniería eléctrica y del entorno espacial (Matriz de Fuentes, Fila 28). Establecen los umbrales rígidos de diseño para el subsistema EPS: profundidad de descarga máxima de baterías (DoD ≤ 20--30% en órbita baja LEO), margen de potencia de fin de vida (EOL ≥ 20%) y la constante solar de referencia (S = 1361  W/m²). Se descarta el uso de umbrales heurísticos no certificados para prevenir fallas catastróficas en órbita, considerando que los colapsos energéticos explican el 38,8% de las pérdidas tempranas en CubeSats (NASA S3VI / Swartwout; Matriz de Fuentes, Filas 31 y 32).</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NASA Systems Engineering Handbook (NASA/SP-20230000806 Rev. 3) y New SMAD (Wertz et al., 2011)</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Manuales canónicos de ingeniería de sistemas y dimensionamiento analítico de misiones espaciales (Matriz de Fuentes, Filas 29 y 30). Proveen el marco metodológico del ciclo de vida conceptual (Pre-Fase A a Fase B), los modelos analíticos de balance de potencia en regímenes de sol y eclipse (P_sa), y matrices de trazabilidad bidireccional entre requisitos y alternativas. Se descartan modelos analíticos empíricos ad-hoc no documentados para asegurar comparabilidad y rigor técnico internacional (Cap. I · Definición del Proyecto, Sec. I.6 · Descripción detallada del SI).</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Protocolo NASA Task Load Index (NASA-TLX, Hart &amp; Staveland, 1988), NTP 544 (INSST) y Modelo SRK (Rasmussen, 1983)</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Marcos metodológicos para la evaluación de factores humanos y demanda cognitiva en tareas complejas (Matriz de Fuentes, Filas 23, 33, 34 y 35). El sistema instrumenta la recolección de puntajes NASA-TLX, tiempos de resolución e indicadores de interacción para validar la hipótesis de reducción de carga mental respecto a la línea de base de trabajo tradicional. Se descarta evaluar el desempeño del software exclusivamente a través del tiempo de procesamiento algorítmico, priorizando la reducción de la sobrecarga cognitiva del usuario (Cap. I · Definición del Proyecto, Sec. I.3.3 · Línea de Base Operativa y Empírica).</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Marco de IA Generativa para Sistemas Complejos (García Alarcia &amp; Golkar, 2025) y Benchmark EPS 3U (El Hachimi et al., 2025)</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Literatura científica fundamental que sustenta la integración de modelos de lenguaje con motores numéricos y datos de ensayo analítico-experimentales de CubeSats (Matriz de Fuentes, Filas 20 y 27). CODI adopta una arquitectura de recuperación aumentada con verificación de evidencia para prevenir alucinaciones técnicas. Se descarta utilizar modelos de lenguaje aislados sin acoplamiento a fuentes documentales verificables (Cap. II · Relevamiento de Mercado, Anexo II · Fichas de Fuentes Secundarias).</w:t>
      </w:r>
      <w:r w:rsidDel="00000000" w:rsidR="00000000" w:rsidRPr="00000000">
        <w:rPr>
          <w:rtl w:val="0"/>
        </w:rPr>
      </w:r>
    </w:p>
    <w:p w:rsidR="00000000" w:rsidDel="00000000" w:rsidP="00000000" w:rsidRDefault="00000000" w:rsidRPr="00000000" w14:paraId="00000027">
      <w:pPr>
        <w:pStyle w:val="Heading3"/>
        <w:spacing w:after="0" w:line="480" w:lineRule="auto"/>
        <w:rPr/>
      </w:pPr>
      <w:bookmarkStart w:colFirst="0" w:colLast="0" w:name="_qa1je86ydu1v" w:id="4"/>
      <w:bookmarkEnd w:id="4"/>
      <w:r w:rsidDel="00000000" w:rsidR="00000000" w:rsidRPr="00000000">
        <w:rPr>
          <w:rtl w:val="0"/>
        </w:rPr>
        <w:t xml:space="preserve">3. Sistemas Vecinos</w:t>
      </w:r>
    </w:p>
    <w:p w:rsidR="00000000" w:rsidDel="00000000" w:rsidP="00000000" w:rsidRDefault="00000000" w:rsidRPr="00000000" w14:paraId="00000028">
      <w:pPr>
        <w:spacing w:after="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Abarca el conjunto de plataformas, herramientas y repositorios informáticos que coexisten con CODI en el flujo de trabajo del CTA-UNLP.</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48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Planillas de Cálculo (Microsoft Excel / LibreOffice Calc)</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Constituyen el sistema sustituto dominante donde residen actualmente los "números tácitos", parámetros fotovoltaicos y balances de potencia del equipo (Cap. I · Definición del Proyecto, Sec. I.3.1 · Problemática en el CTA-UNLP; Entrevista Sonia Botta, 14/09/2026). El sistema provee mecanismos de importación y exportación de datos en esquemas tabulares abiertos (CSV y JSON) para facilitar la transición sin fricciones. Se descarta el acoplamiento a macros propietarias en Visual Basic para Aplicaciones (VBA) por fragilidad ante cambios de versión y dificultades de control de versiones en Git (Cap. II · Relevamiento de Mercado, Sec. II.5.1 · Análisis PESTEL).</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Documentos de Control de Interfaz (ICD en formatos Word / PDF de 50 a 90 páginas)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Expedientes técnicos extensos utilizados para coordinar tolerancias y consumos entre subsistemas y proveedores externos (Cap. I · Definición del Proyecto, Sec. I.3.1 · Problemática en el CTA-UNLP). CODI implementa una capa de ingesta, preprocesamiento e indexación semántica para extraer parámetros y detectar inconsistencias cruzadas entre versiones. Se descarta exigir a los proveedores externos que migren a plataformas unificadas, respetando el formato documental estándar del sector (Cap. I · Definición del Proyecto, Sec. I.3.4 · Criterio de Éxito y Requisitos).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Repositorios Institucionales y Gestores de Tareas (Redmine / Google Drive)</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Infraestructura documental del CTA-UNLP utilizada para el seguimiento de tareas y archivo de proyectos satelitales (e.g. Alfa Crux; Entrevista Sonia Botta, 14/09/2026, Min 00:35:50). CODI exporta árboles de decisión, dictámenes técnicos y registros de razonamiento en formatos abiertos (Markdown y JSON estructurado) para su almacenamiento institucional. Se descarta desarrollar complementos monolíticos dependientes del esquema de base de datos de Redmine para no condicionar la portabilidad de la solución (Cap. II · Relevamiento de Mercado, Sec. II.5.1 · Análisis PESTEL).</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Herramientas de Simulación Externa y Librerías Abiertas (MATLAB, STK, Scripts Python)</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Software especializado de análisis numérico utilizado por los especialistas para corridas de alta fidelidad (Cap. I · Definición del Proyecto, Sec. I.6 · Módulo EPS).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CODI no implementa un simulador físico de precisión industrial propio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sino que opera mediante la ingesta desacoplada de resultados de simulación externos provistos por el usuario como evidencia técnica, incorporando de manera opcional el enlace a librerías abiertas estándar de Python (e.g. para cálculos orbitales y solares básicos). Se descarta programar un simulador multifísico desde cero para evitar el retrabajo y la duplicación de capacidades ya provistas por herramientas analíticas especializadas (Cap. I · Definición del Proyecto, Sec. I.6 · Módulo EPS; Bitácora, 22/09/2026).</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Software CAD/EDA (SolidWorks / Catia) y Enfoque MBSE (Valispace)</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CODI adopta los principios de gestión de parámetros e interfaces de las plataformas de ingeniería de sistemas basada en modelos y datos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data-driven MBSE</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como Valispace), alineándose con los estándares de la familia ECSS y con el concepto de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Digital Thread</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(hilo digital). Bajo este enfoque, no resulta necesario que una sola herramienta controle o reemplace a todos los programas especializados, sino que preserve el hilo continuo de información que conecta requisitos, modelos, documentos, decisiones y versiones a lo largo del ciclo de vida del sistema, incorporando en su base de conocimiento la trazabilidad de modificaciones y metadatos de archivos de diseño CAD (formatos de intercambio neutros como STEP y repositorios de artefactos) para alertar desincronizaciones de parámetros críticos (ej. áreas de paneles solares o envolventes de montaje). Se descarta el pago de suscripciones a plataformas comerciales privativas como Valispace (USD 1.500 anuales por usuario) y el desarrollo de plugins propietarios acoplados vía API cerrada a licencias corporativas de SolidWorks/Catia (USD 15.000/año), resolviendo la interoperabilidad mediante esquemas abiertos de metadatos y control de versiones institucional (Cap. I, Sec. I.3.1 y Cap. II, Sec. II.5.1 · Análisis PESTEL; Entrevista Sonia Botta, 14/09/2026).</w:t>
      </w:r>
      <w:r w:rsidDel="00000000" w:rsidR="00000000" w:rsidRPr="00000000">
        <w:rPr>
          <w:rtl w:val="0"/>
        </w:rPr>
      </w:r>
    </w:p>
    <w:p w:rsidR="00000000" w:rsidDel="00000000" w:rsidP="00000000" w:rsidRDefault="00000000" w:rsidRPr="00000000" w14:paraId="0000002E">
      <w:pPr>
        <w:pStyle w:val="Heading3"/>
        <w:spacing w:after="0" w:line="480" w:lineRule="auto"/>
        <w:rPr/>
      </w:pPr>
      <w:bookmarkStart w:colFirst="0" w:colLast="0" w:name="_2sdnbuf03tu6" w:id="5"/>
      <w:bookmarkEnd w:id="5"/>
      <w:r w:rsidDel="00000000" w:rsidR="00000000" w:rsidRPr="00000000">
        <w:rPr>
          <w:rtl w:val="0"/>
        </w:rPr>
        <w:t xml:space="preserve">4. Infraestructura</w:t>
      </w:r>
    </w:p>
    <w:p w:rsidR="00000000" w:rsidDel="00000000" w:rsidP="00000000" w:rsidRDefault="00000000" w:rsidRPr="00000000" w14:paraId="0000002F">
      <w:pPr>
        <w:spacing w:after="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Comprende los recursos de hardware, plataformas de despliegue y servicios computacionales necesarios para la ejecución del sistema.</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48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Plataforma de Despliegue Híbrida (Contenedores Docker)</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Entorno de ejecución que permite desplegar la plataforma tanto en servidores departamentales y estaciones de trabajo locales del laboratorio universitario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on-premise</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como en instancias cloud livianas de bajo costo para colaboración remota (Cap. II · Relevamiento de Mercado, Sec. II.5.1 · Análisis PESTEL). Se adopta el empaquetamiento en contenedores Docker con persistencia local de estado para garantizar portabilidad e independencia de infraestructura estatal de alto costo. Se descarta una arquitectura puramente ligada a proveedores cloud propietarios que imponga costos recurrentes de mantenimiento o dependa exclusivamente de conectividad externa (Cap. II · Relevamiento de Mercado, Sec. II.5.1 · Análisis PESTEL).</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Capa Cognitiva de Inferencia Híbrida (APIs Externas con Respaldo Local)</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Proveedores de cómputo para modelos de lenguaje e inferencia semántica. Se adopta una arquitectura desacoplada que integra APIs comerciales avanzadas (Gemini / Claude) para la síntesis ágil de paquetes documentales de 50 a 90 páginas (formalizando la práctica informal relevada en el CTA-UNLP), complementada con la capacidad de operar mediante modelos abiertos locales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on-premise</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vía Ollama / vLLM) en modalidad sin conexión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offline</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descarta una arquitectura exclusivamente en la nube (por restricciones de confidencialidad institucional sobre datos satelitales) o exclusivamente local (por requerimientos excesivos de hardware GPU en estaciones universitarias) (Entrevista Sonia Botta, 14/09/2026, Min 00:27:32; Bitácora, 22/09/2026).</w:t>
      </w:r>
      <w:r w:rsidDel="00000000" w:rsidR="00000000" w:rsidRPr="00000000">
        <w:rPr>
          <w:rtl w:val="0"/>
        </w:rPr>
      </w:r>
    </w:p>
    <w:p w:rsidR="00000000" w:rsidDel="00000000" w:rsidP="00000000" w:rsidRDefault="00000000" w:rsidRPr="00000000" w14:paraId="00000032">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Tabla III.1: Entorno del Sistema de Información</w:t>
      </w:r>
      <w:r w:rsidDel="00000000" w:rsidR="00000000" w:rsidRPr="00000000">
        <w:rPr>
          <w:rtl w:val="0"/>
        </w:rPr>
      </w:r>
    </w:p>
    <w:tbl>
      <w:tblPr>
        <w:tblStyle w:val="Table1"/>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2126"/>
        <w:gridCol w:w="2126"/>
        <w:gridCol w:w="2126"/>
        <w:gridCol w:w="2126"/>
        <w:tblGridChange w:id="0">
          <w:tblGrid>
            <w:gridCol w:w="2126"/>
            <w:gridCol w:w="2126"/>
            <w:gridCol w:w="2126"/>
            <w:gridCol w:w="2126"/>
          </w:tblGrid>
        </w:tblGridChange>
      </w:tblGrid>
      <w:tr>
        <w:trPr>
          <w:cantSplit w:val="1"/>
          <w:tblHeader w:val="1"/>
        </w:trPr>
        <w:tc>
          <w:tcPr>
            <w:shd w:fill="f1f5f9" w:val="clear"/>
          </w:tcPr>
          <w:p w:rsidR="00000000" w:rsidDel="00000000" w:rsidP="00000000" w:rsidRDefault="00000000" w:rsidRPr="00000000" w14:paraId="0000003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Categoría</w:t>
            </w:r>
            <w:r w:rsidDel="00000000" w:rsidR="00000000" w:rsidRPr="00000000">
              <w:rPr>
                <w:rtl w:val="0"/>
              </w:rPr>
            </w:r>
          </w:p>
        </w:tc>
        <w:tc>
          <w:tcPr>
            <w:shd w:fill="f1f5f9" w:val="clear"/>
          </w:tcPr>
          <w:p w:rsidR="00000000" w:rsidDel="00000000" w:rsidP="00000000" w:rsidRDefault="00000000" w:rsidRPr="00000000" w14:paraId="0000003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Elemento</w:t>
            </w:r>
            <w:r w:rsidDel="00000000" w:rsidR="00000000" w:rsidRPr="00000000">
              <w:rPr>
                <w:rtl w:val="0"/>
              </w:rPr>
            </w:r>
          </w:p>
        </w:tc>
        <w:tc>
          <w:tcPr>
            <w:shd w:fill="f1f5f9" w:val="clear"/>
          </w:tcPr>
          <w:p w:rsidR="00000000" w:rsidDel="00000000" w:rsidP="00000000" w:rsidRDefault="00000000" w:rsidRPr="00000000" w14:paraId="0000003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Fuente (Capítulo y Sección / Matriz)</w:t>
            </w:r>
            <w:r w:rsidDel="00000000" w:rsidR="00000000" w:rsidRPr="00000000">
              <w:rPr>
                <w:rtl w:val="0"/>
              </w:rPr>
            </w:r>
          </w:p>
        </w:tc>
        <w:tc>
          <w:tcPr>
            <w:shd w:fill="f1f5f9" w:val="clear"/>
          </w:tcPr>
          <w:p w:rsidR="00000000" w:rsidDel="00000000" w:rsidP="00000000" w:rsidRDefault="00000000" w:rsidRPr="00000000" w14:paraId="0000003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Implicancia de diseño declarada</w:t>
            </w:r>
            <w:r w:rsidDel="00000000" w:rsidR="00000000" w:rsidRPr="00000000">
              <w:rPr>
                <w:rtl w:val="0"/>
              </w:rPr>
            </w:r>
          </w:p>
        </w:tc>
      </w:tr>
      <w:tr>
        <w:trPr>
          <w:cantSplit w:val="1"/>
          <w:tblHeader w:val="0"/>
        </w:trPr>
        <w:tc>
          <w:tcPr/>
          <w:p w:rsidR="00000000" w:rsidDel="00000000" w:rsidP="00000000" w:rsidRDefault="00000000" w:rsidRPr="00000000" w14:paraId="0000003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Actores externos</w:t>
            </w:r>
            <w:r w:rsidDel="00000000" w:rsidR="00000000" w:rsidRPr="00000000">
              <w:rPr>
                <w:rtl w:val="0"/>
              </w:rPr>
            </w:r>
          </w:p>
        </w:tc>
        <w:tc>
          <w:tcPr/>
          <w:p w:rsidR="00000000" w:rsidDel="00000000" w:rsidP="00000000" w:rsidRDefault="00000000" w:rsidRPr="00000000" w14:paraId="0000003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Coordinador/a de Proyecto e Ingeniero/a de Sistemas Espaciales (</w:t>
            </w:r>
            <w:r w:rsidDel="00000000" w:rsidR="00000000" w:rsidRPr="00000000">
              <w:rPr>
                <w:rFonts w:ascii="Times New Roman" w:cs="Times New Roman" w:eastAsia="Times New Roman" w:hAnsi="Times New Roman"/>
                <w:b w:val="0"/>
                <w:bCs w:val="0"/>
                <w:i w:val="1"/>
                <w:iCs w:val="1"/>
                <w:color w:val="0f172a"/>
                <w:sz w:val="18"/>
                <w:szCs w:val="18"/>
                <w:rtl w:val="0"/>
              </w:rPr>
              <w:t xml:space="preserve">Lead Systems Engineer</w:t>
            </w:r>
            <w:r w:rsidDel="00000000" w:rsidR="00000000" w:rsidRPr="00000000">
              <w:rPr>
                <w:rFonts w:ascii="Times New Roman" w:cs="Times New Roman" w:eastAsia="Times New Roman" w:hAnsi="Times New Roman"/>
                <w:b w:val="0"/>
                <w:bCs w:val="0"/>
                <w:i w:val="0"/>
                <w:iCs w:val="0"/>
                <w:color w:val="0f172a"/>
                <w:sz w:val="18"/>
                <w:szCs w:val="18"/>
                <w:rtl w:val="0"/>
              </w:rPr>
              <w:t xml:space="preserve">)</w:t>
            </w:r>
            <w:r w:rsidDel="00000000" w:rsidR="00000000" w:rsidRPr="00000000">
              <w:rPr>
                <w:rtl w:val="0"/>
              </w:rPr>
            </w:r>
          </w:p>
        </w:tc>
        <w:tc>
          <w:tcPr/>
          <w:p w:rsidR="00000000" w:rsidDel="00000000" w:rsidP="00000000" w:rsidRDefault="00000000" w:rsidRPr="00000000" w14:paraId="0000003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 I, Sec. I.3.1 (Problemática CTA-UNLP); Entrevista Sonia Botta (14/09/2026)</w:t>
            </w:r>
            <w:r w:rsidDel="00000000" w:rsidR="00000000" w:rsidRPr="00000000">
              <w:rPr>
                <w:rtl w:val="0"/>
              </w:rPr>
            </w:r>
          </w:p>
        </w:tc>
        <w:tc>
          <w:tcPr/>
          <w:p w:rsidR="00000000" w:rsidDel="00000000" w:rsidP="00000000" w:rsidRDefault="00000000" w:rsidRPr="00000000" w14:paraId="0000003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Arquitectura </w:t>
            </w:r>
            <w:r w:rsidDel="00000000" w:rsidR="00000000" w:rsidRPr="00000000">
              <w:rPr>
                <w:rFonts w:ascii="Times New Roman" w:cs="Times New Roman" w:eastAsia="Times New Roman" w:hAnsi="Times New Roman"/>
                <w:b w:val="0"/>
                <w:bCs w:val="0"/>
                <w:i w:val="1"/>
                <w:iCs w:val="1"/>
                <w:color w:val="0f172a"/>
                <w:sz w:val="18"/>
                <w:szCs w:val="18"/>
                <w:rtl w:val="0"/>
              </w:rPr>
              <w:t xml:space="preserve">Human-in-the-Loop</w:t>
            </w:r>
            <w:r w:rsidDel="00000000" w:rsidR="00000000" w:rsidRPr="00000000">
              <w:rPr>
                <w:rFonts w:ascii="Times New Roman" w:cs="Times New Roman" w:eastAsia="Times New Roman" w:hAnsi="Times New Roman"/>
                <w:b w:val="0"/>
                <w:bCs w:val="0"/>
                <w:i w:val="0"/>
                <w:iCs w:val="0"/>
                <w:color w:val="0f172a"/>
                <w:sz w:val="18"/>
                <w:szCs w:val="18"/>
                <w:rtl w:val="0"/>
              </w:rPr>
              <w:t xml:space="preserve">; CODI provee recomendaciones explicables y trazabilidad documental sin delegar la firma ni decisiones de diseño.</w:t>
            </w:r>
            <w:r w:rsidDel="00000000" w:rsidR="00000000" w:rsidRPr="00000000">
              <w:rPr>
                <w:rtl w:val="0"/>
              </w:rPr>
            </w:r>
          </w:p>
        </w:tc>
      </w:tr>
      <w:tr>
        <w:trPr>
          <w:cantSplit w:val="1"/>
          <w:tblHeader w:val="0"/>
        </w:trPr>
        <w:tc>
          <w:tcPr/>
          <w:p w:rsidR="00000000" w:rsidDel="00000000" w:rsidP="00000000" w:rsidRDefault="00000000" w:rsidRPr="00000000" w14:paraId="0000003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Actores externos</w:t>
            </w:r>
            <w:r w:rsidDel="00000000" w:rsidR="00000000" w:rsidRPr="00000000">
              <w:rPr>
                <w:rtl w:val="0"/>
              </w:rPr>
            </w:r>
          </w:p>
        </w:tc>
        <w:tc>
          <w:tcPr/>
          <w:p w:rsidR="00000000" w:rsidDel="00000000" w:rsidP="00000000" w:rsidRDefault="00000000" w:rsidRPr="00000000" w14:paraId="0000003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Especialistas de Subsistemas Satelitales (Electrónica 80%, Térmica, Estructura, Carga Útil)</w:t>
            </w:r>
            <w:r w:rsidDel="00000000" w:rsidR="00000000" w:rsidRPr="00000000">
              <w:rPr>
                <w:rtl w:val="0"/>
              </w:rPr>
            </w:r>
          </w:p>
        </w:tc>
        <w:tc>
          <w:tcPr/>
          <w:p w:rsidR="00000000" w:rsidDel="00000000" w:rsidP="00000000" w:rsidRDefault="00000000" w:rsidRPr="00000000" w14:paraId="0000003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 I, Sec. I.3.1 (Problemática CTA-UNLP); Entrevista Sonia Botta (14/09/2026, Min 00:21:39)</w:t>
            </w:r>
            <w:r w:rsidDel="00000000" w:rsidR="00000000" w:rsidRPr="00000000">
              <w:rPr>
                <w:rtl w:val="0"/>
              </w:rPr>
            </w:r>
          </w:p>
        </w:tc>
        <w:tc>
          <w:tcPr/>
          <w:p w:rsidR="00000000" w:rsidDel="00000000" w:rsidP="00000000" w:rsidRDefault="00000000" w:rsidRPr="00000000" w14:paraId="0000003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Puntos de ingesta desacoplados para perfiles de consumo energético por modo operativo, sin modelado multifísico interno de los demás subsistemas.</w:t>
            </w:r>
            <w:r w:rsidDel="00000000" w:rsidR="00000000" w:rsidRPr="00000000">
              <w:rPr>
                <w:rtl w:val="0"/>
              </w:rPr>
            </w:r>
          </w:p>
        </w:tc>
      </w:tr>
      <w:tr>
        <w:trPr>
          <w:cantSplit w:val="1"/>
          <w:tblHeader w:val="0"/>
        </w:trPr>
        <w:tc>
          <w:tcPr/>
          <w:p w:rsidR="00000000" w:rsidDel="00000000" w:rsidP="00000000" w:rsidRDefault="00000000" w:rsidRPr="00000000" w14:paraId="0000003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Actores externos</w:t>
            </w:r>
            <w:r w:rsidDel="00000000" w:rsidR="00000000" w:rsidRPr="00000000">
              <w:rPr>
                <w:rtl w:val="0"/>
              </w:rPr>
            </w:r>
          </w:p>
        </w:tc>
        <w:tc>
          <w:tcPr/>
          <w:p w:rsidR="00000000" w:rsidDel="00000000" w:rsidP="00000000" w:rsidRDefault="00000000" w:rsidRPr="00000000" w14:paraId="0000004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Estudiantes y Becarios en Rotación Continua (10 a 60 integrantes)</w:t>
            </w:r>
            <w:r w:rsidDel="00000000" w:rsidR="00000000" w:rsidRPr="00000000">
              <w:rPr>
                <w:rtl w:val="0"/>
              </w:rPr>
            </w:r>
          </w:p>
        </w:tc>
        <w:tc>
          <w:tcPr/>
          <w:p w:rsidR="00000000" w:rsidDel="00000000" w:rsidP="00000000" w:rsidRDefault="00000000" w:rsidRPr="00000000" w14:paraId="0000004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 I, Sec. I.3.1 y I.3.3 (Línea de Base Operativa)</w:t>
            </w:r>
            <w:r w:rsidDel="00000000" w:rsidR="00000000" w:rsidRPr="00000000">
              <w:rPr>
                <w:rtl w:val="0"/>
              </w:rPr>
            </w:r>
          </w:p>
        </w:tc>
        <w:tc>
          <w:tcPr/>
          <w:p w:rsidR="00000000" w:rsidDel="00000000" w:rsidP="00000000" w:rsidRDefault="00000000" w:rsidRPr="00000000" w14:paraId="0000004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Motor de trazabilidad (</w:t>
            </w:r>
            <w:r w:rsidDel="00000000" w:rsidR="00000000" w:rsidRPr="00000000">
              <w:rPr>
                <w:rFonts w:ascii="Times New Roman" w:cs="Times New Roman" w:eastAsia="Times New Roman" w:hAnsi="Times New Roman"/>
                <w:b w:val="0"/>
                <w:bCs w:val="0"/>
                <w:i w:val="1"/>
                <w:iCs w:val="1"/>
                <w:color w:val="0f172a"/>
                <w:sz w:val="18"/>
                <w:szCs w:val="18"/>
                <w:rtl w:val="0"/>
              </w:rPr>
              <w:t xml:space="preserve">decision log</w:t>
            </w:r>
            <w:r w:rsidDel="00000000" w:rsidR="00000000" w:rsidRPr="00000000">
              <w:rPr>
                <w:rFonts w:ascii="Times New Roman" w:cs="Times New Roman" w:eastAsia="Times New Roman" w:hAnsi="Times New Roman"/>
                <w:b w:val="0"/>
                <w:bCs w:val="0"/>
                <w:i w:val="0"/>
                <w:iCs w:val="0"/>
                <w:color w:val="0f172a"/>
                <w:sz w:val="18"/>
                <w:szCs w:val="18"/>
                <w:rtl w:val="0"/>
              </w:rPr>
              <w:t xml:space="preserve">) y preservación de "números tácitos" para acelerar el </w:t>
            </w:r>
            <w:r w:rsidDel="00000000" w:rsidR="00000000" w:rsidRPr="00000000">
              <w:rPr>
                <w:rFonts w:ascii="Times New Roman" w:cs="Times New Roman" w:eastAsia="Times New Roman" w:hAnsi="Times New Roman"/>
                <w:b w:val="0"/>
                <w:bCs w:val="0"/>
                <w:i w:val="1"/>
                <w:iCs w:val="1"/>
                <w:color w:val="0f172a"/>
                <w:sz w:val="18"/>
                <w:szCs w:val="18"/>
                <w:rtl w:val="0"/>
              </w:rPr>
              <w:t xml:space="preserve">onboarding</w:t>
            </w:r>
            <w:r w:rsidDel="00000000" w:rsidR="00000000" w:rsidRPr="00000000">
              <w:rPr>
                <w:rFonts w:ascii="Times New Roman" w:cs="Times New Roman" w:eastAsia="Times New Roman" w:hAnsi="Times New Roman"/>
                <w:b w:val="0"/>
                <w:bCs w:val="0"/>
                <w:i w:val="0"/>
                <w:iCs w:val="0"/>
                <w:color w:val="0f172a"/>
                <w:sz w:val="18"/>
                <w:szCs w:val="18"/>
                <w:rtl w:val="0"/>
              </w:rPr>
              <w:t xml:space="preserve"> y reducir el solapamiento de 30 a 45 días.</w:t>
            </w:r>
            <w:r w:rsidDel="00000000" w:rsidR="00000000" w:rsidRPr="00000000">
              <w:rPr>
                <w:rtl w:val="0"/>
              </w:rPr>
            </w:r>
          </w:p>
        </w:tc>
      </w:tr>
      <w:tr>
        <w:trPr>
          <w:cantSplit w:val="1"/>
          <w:tblHeader w:val="0"/>
        </w:trPr>
        <w:tc>
          <w:tcPr/>
          <w:p w:rsidR="00000000" w:rsidDel="00000000" w:rsidP="00000000" w:rsidRDefault="00000000" w:rsidRPr="00000000" w14:paraId="0000004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Actores externos</w:t>
            </w:r>
            <w:r w:rsidDel="00000000" w:rsidR="00000000" w:rsidRPr="00000000">
              <w:rPr>
                <w:rtl w:val="0"/>
              </w:rPr>
            </w:r>
          </w:p>
        </w:tc>
        <w:tc>
          <w:tcPr/>
          <w:p w:rsidR="00000000" w:rsidDel="00000000" w:rsidP="00000000" w:rsidRDefault="00000000" w:rsidRPr="00000000" w14:paraId="0000004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Proveedores de Componentes COTS y Operadores de Lanzamiento (SpaceX Falcon 9)</w:t>
            </w:r>
            <w:r w:rsidDel="00000000" w:rsidR="00000000" w:rsidRPr="00000000">
              <w:rPr>
                <w:rtl w:val="0"/>
              </w:rPr>
            </w:r>
          </w:p>
        </w:tc>
        <w:tc>
          <w:tcPr/>
          <w:p w:rsidR="00000000" w:rsidDel="00000000" w:rsidP="00000000" w:rsidRDefault="00000000" w:rsidRPr="00000000" w14:paraId="0000004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 I, Sec. I.3.1 (Problemática CTA-UNLP); Entrevista Sonia Botta (14/09/2026, Min 00:19:12 / 00:40:18)</w:t>
            </w:r>
            <w:r w:rsidDel="00000000" w:rsidR="00000000" w:rsidRPr="00000000">
              <w:rPr>
                <w:rtl w:val="0"/>
              </w:rPr>
            </w:r>
          </w:p>
        </w:tc>
        <w:tc>
          <w:tcPr/>
          <w:p w:rsidR="00000000" w:rsidDel="00000000" w:rsidP="00000000" w:rsidRDefault="00000000" w:rsidRPr="00000000" w14:paraId="0000004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Fijación de parámetros orbitales de inserción (h, i) como restricciones de contorno inmutables y control de versiones sobre cambios tardíos en ICDs.</w:t>
            </w:r>
            <w:r w:rsidDel="00000000" w:rsidR="00000000" w:rsidRPr="00000000">
              <w:rPr>
                <w:rtl w:val="0"/>
              </w:rPr>
            </w:r>
          </w:p>
        </w:tc>
      </w:tr>
      <w:tr>
        <w:trPr>
          <w:cantSplit w:val="1"/>
          <w:tblHeader w:val="0"/>
        </w:trPr>
        <w:tc>
          <w:tcPr/>
          <w:p w:rsidR="00000000" w:rsidDel="00000000" w:rsidP="00000000" w:rsidRDefault="00000000" w:rsidRPr="00000000" w14:paraId="0000004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Normas</w:t>
            </w:r>
            <w:r w:rsidDel="00000000" w:rsidR="00000000" w:rsidRPr="00000000">
              <w:rPr>
                <w:rtl w:val="0"/>
              </w:rPr>
            </w:r>
          </w:p>
        </w:tc>
        <w:tc>
          <w:tcPr/>
          <w:p w:rsidR="00000000" w:rsidDel="00000000" w:rsidP="00000000" w:rsidRDefault="00000000" w:rsidRPr="00000000" w14:paraId="0000004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CubeSat Design Specification REV 14.1 (Cal Poly, 2024)</w:t>
            </w:r>
            <w:r w:rsidDel="00000000" w:rsidR="00000000" w:rsidRPr="00000000">
              <w:rPr>
                <w:rtl w:val="0"/>
              </w:rPr>
            </w:r>
          </w:p>
        </w:tc>
        <w:tc>
          <w:tcPr/>
          <w:p w:rsidR="00000000" w:rsidDel="00000000" w:rsidP="00000000" w:rsidRDefault="00000000" w:rsidRPr="00000000" w14:paraId="0000004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 II, Sec. II.1.2 (Fuentes Secundarias); Matriz Fila 20</w:t>
            </w:r>
            <w:r w:rsidDel="00000000" w:rsidR="00000000" w:rsidRPr="00000000">
              <w:rPr>
                <w:rtl w:val="0"/>
              </w:rPr>
            </w:r>
          </w:p>
        </w:tc>
        <w:tc>
          <w:tcPr/>
          <w:p w:rsidR="00000000" w:rsidDel="00000000" w:rsidP="00000000" w:rsidRDefault="00000000" w:rsidRPr="00000000" w14:paraId="0000004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Restricciones de envolventes mecánicas, térmicas y operativas codificadas en la base de conocimiento para validar la admisibilidad de diseños CubeSat.</w:t>
            </w:r>
            <w:r w:rsidDel="00000000" w:rsidR="00000000" w:rsidRPr="00000000">
              <w:rPr>
                <w:rtl w:val="0"/>
              </w:rPr>
            </w:r>
          </w:p>
        </w:tc>
      </w:tr>
      <w:tr>
        <w:trPr>
          <w:cantSplit w:val="1"/>
          <w:tblHeader w:val="0"/>
        </w:trPr>
        <w:tc>
          <w:tcPr/>
          <w:p w:rsidR="00000000" w:rsidDel="00000000" w:rsidP="00000000" w:rsidRDefault="00000000" w:rsidRPr="00000000" w14:paraId="0000004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Normas</w:t>
            </w:r>
            <w:r w:rsidDel="00000000" w:rsidR="00000000" w:rsidRPr="00000000">
              <w:rPr>
                <w:rtl w:val="0"/>
              </w:rPr>
            </w:r>
          </w:p>
        </w:tc>
        <w:tc>
          <w:tcPr/>
          <w:p w:rsidR="00000000" w:rsidDel="00000000" w:rsidP="00000000" w:rsidRDefault="00000000" w:rsidRPr="00000000" w14:paraId="0000004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ECSS-E-ST-20C Rev. 1 y ECSS-E-ST-10-04C</w:t>
            </w:r>
            <w:r w:rsidDel="00000000" w:rsidR="00000000" w:rsidRPr="00000000">
              <w:rPr>
                <w:rtl w:val="0"/>
              </w:rPr>
            </w:r>
          </w:p>
        </w:tc>
        <w:tc>
          <w:tcPr/>
          <w:p w:rsidR="00000000" w:rsidDel="00000000" w:rsidP="00000000" w:rsidRDefault="00000000" w:rsidRPr="00000000" w14:paraId="0000004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 I, Sec. I.6 (Descripción detallada del SI); Matriz Fila 28</w:t>
            </w:r>
            <w:r w:rsidDel="00000000" w:rsidR="00000000" w:rsidRPr="00000000">
              <w:rPr>
                <w:rtl w:val="0"/>
              </w:rPr>
            </w:r>
          </w:p>
        </w:tc>
        <w:tc>
          <w:tcPr/>
          <w:p w:rsidR="00000000" w:rsidDel="00000000" w:rsidP="00000000" w:rsidRDefault="00000000" w:rsidRPr="00000000" w14:paraId="0000004E">
            <w:pPr>
              <w:spacing w:after="20" w:before="20" w:line="252.00000000000003" w:lineRule="auto"/>
              <w:rPr/>
            </w:pPr>
            <w:r w:rsidDel="00000000" w:rsidR="00000000" w:rsidRPr="00000000">
              <w:rPr>
                <w:rFonts w:ascii="Gungsuh" w:cs="Gungsuh" w:eastAsia="Gungsuh" w:hAnsi="Gungsuh"/>
                <w:b w:val="0"/>
                <w:bCs w:val="0"/>
                <w:i w:val="0"/>
                <w:iCs w:val="0"/>
                <w:color w:val="0f172a"/>
                <w:sz w:val="18"/>
                <w:szCs w:val="18"/>
                <w:rtl w:val="0"/>
              </w:rPr>
              <w:t xml:space="preserve">Reglas de negocio rígidas: profundidad de descarga máxima de batería DoD ≤ 30% en LEO, margen de fin de vida EOL ≥ 20% y constante solar de 1361  W/m².</w:t>
            </w:r>
            <w:r w:rsidDel="00000000" w:rsidR="00000000" w:rsidRPr="00000000">
              <w:rPr>
                <w:rtl w:val="0"/>
              </w:rPr>
            </w:r>
          </w:p>
        </w:tc>
      </w:tr>
      <w:tr>
        <w:trPr>
          <w:cantSplit w:val="1"/>
          <w:tblHeader w:val="0"/>
        </w:trPr>
        <w:tc>
          <w:tcPr/>
          <w:p w:rsidR="00000000" w:rsidDel="00000000" w:rsidP="00000000" w:rsidRDefault="00000000" w:rsidRPr="00000000" w14:paraId="0000004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Normas</w:t>
            </w:r>
            <w:r w:rsidDel="00000000" w:rsidR="00000000" w:rsidRPr="00000000">
              <w:rPr>
                <w:rtl w:val="0"/>
              </w:rPr>
            </w:r>
          </w:p>
        </w:tc>
        <w:tc>
          <w:tcPr/>
          <w:p w:rsidR="00000000" w:rsidDel="00000000" w:rsidP="00000000" w:rsidRDefault="00000000" w:rsidRPr="00000000" w14:paraId="0000005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NASA Systems Engineering Handbook (SP-20230000806 Rev. 3) y New SMAD</w:t>
            </w:r>
            <w:r w:rsidDel="00000000" w:rsidR="00000000" w:rsidRPr="00000000">
              <w:rPr>
                <w:rtl w:val="0"/>
              </w:rPr>
            </w:r>
          </w:p>
        </w:tc>
        <w:tc>
          <w:tcPr/>
          <w:p w:rsidR="00000000" w:rsidDel="00000000" w:rsidP="00000000" w:rsidRDefault="00000000" w:rsidRPr="00000000" w14:paraId="0000005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 I, Sec. I.6 (Descripción detallada del SI); Matriz Filas 29 y 30</w:t>
            </w:r>
            <w:r w:rsidDel="00000000" w:rsidR="00000000" w:rsidRPr="00000000">
              <w:rPr>
                <w:rtl w:val="0"/>
              </w:rPr>
            </w:r>
          </w:p>
        </w:tc>
        <w:tc>
          <w:tcPr/>
          <w:p w:rsidR="00000000" w:rsidDel="00000000" w:rsidP="00000000" w:rsidRDefault="00000000" w:rsidRPr="00000000" w14:paraId="0000005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Modelo analítico canónico de balance de potencia en dos fases (sol/eclipse, P_sa) y matrices de trazabilidad bidireccional entre requisitos y diseño.</w:t>
            </w:r>
            <w:r w:rsidDel="00000000" w:rsidR="00000000" w:rsidRPr="00000000">
              <w:rPr>
                <w:rtl w:val="0"/>
              </w:rPr>
            </w:r>
          </w:p>
        </w:tc>
      </w:tr>
      <w:tr>
        <w:trPr>
          <w:cantSplit w:val="1"/>
          <w:tblHeader w:val="0"/>
        </w:trPr>
        <w:tc>
          <w:tcPr/>
          <w:p w:rsidR="00000000" w:rsidDel="00000000" w:rsidP="00000000" w:rsidRDefault="00000000" w:rsidRPr="00000000" w14:paraId="0000005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Normas</w:t>
            </w:r>
            <w:r w:rsidDel="00000000" w:rsidR="00000000" w:rsidRPr="00000000">
              <w:rPr>
                <w:rtl w:val="0"/>
              </w:rPr>
            </w:r>
          </w:p>
        </w:tc>
        <w:tc>
          <w:tcPr/>
          <w:p w:rsidR="00000000" w:rsidDel="00000000" w:rsidP="00000000" w:rsidRDefault="00000000" w:rsidRPr="00000000" w14:paraId="0000005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Protocolo NASA-TLX, NTP 544 (INSST) y Modelo SRK (Rasmussen, 1983)</w:t>
            </w:r>
            <w:r w:rsidDel="00000000" w:rsidR="00000000" w:rsidRPr="00000000">
              <w:rPr>
                <w:rtl w:val="0"/>
              </w:rPr>
            </w:r>
          </w:p>
        </w:tc>
        <w:tc>
          <w:tcPr/>
          <w:p w:rsidR="00000000" w:rsidDel="00000000" w:rsidP="00000000" w:rsidRDefault="00000000" w:rsidRPr="00000000" w14:paraId="0000005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 I, Sec. I.3.3 (Línea de Base Operativa); Matriz Filas 23, 33, 34 y 35</w:t>
            </w:r>
            <w:r w:rsidDel="00000000" w:rsidR="00000000" w:rsidRPr="00000000">
              <w:rPr>
                <w:rtl w:val="0"/>
              </w:rPr>
            </w:r>
          </w:p>
        </w:tc>
        <w:tc>
          <w:tcPr/>
          <w:p w:rsidR="00000000" w:rsidDel="00000000" w:rsidP="00000000" w:rsidRDefault="00000000" w:rsidRPr="00000000" w14:paraId="0000005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Instrumentación para la medición de sobrecarga mental y tiempos de interacción frente a la línea de base operativa sin asistencia cognitiva.</w:t>
            </w:r>
            <w:r w:rsidDel="00000000" w:rsidR="00000000" w:rsidRPr="00000000">
              <w:rPr>
                <w:rtl w:val="0"/>
              </w:rPr>
            </w:r>
          </w:p>
        </w:tc>
      </w:tr>
      <w:tr>
        <w:trPr>
          <w:cantSplit w:val="1"/>
          <w:tblHeader w:val="0"/>
        </w:trPr>
        <w:tc>
          <w:tcPr/>
          <w:p w:rsidR="00000000" w:rsidDel="00000000" w:rsidP="00000000" w:rsidRDefault="00000000" w:rsidRPr="00000000" w14:paraId="0000005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Normas</w:t>
            </w:r>
            <w:r w:rsidDel="00000000" w:rsidR="00000000" w:rsidRPr="00000000">
              <w:rPr>
                <w:rtl w:val="0"/>
              </w:rPr>
            </w:r>
          </w:p>
        </w:tc>
        <w:tc>
          <w:tcPr/>
          <w:p w:rsidR="00000000" w:rsidDel="00000000" w:rsidP="00000000" w:rsidRDefault="00000000" w:rsidRPr="00000000" w14:paraId="0000005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García Alarcia &amp; Golkar (2025) y El Hachimi et al. (2025)</w:t>
            </w:r>
            <w:r w:rsidDel="00000000" w:rsidR="00000000" w:rsidRPr="00000000">
              <w:rPr>
                <w:rtl w:val="0"/>
              </w:rPr>
            </w:r>
          </w:p>
        </w:tc>
        <w:tc>
          <w:tcPr/>
          <w:p w:rsidR="00000000" w:rsidDel="00000000" w:rsidP="00000000" w:rsidRDefault="00000000" w:rsidRPr="00000000" w14:paraId="0000005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 II, Sec. II.1.2 y Anexo II; Matriz Filas 20 y 27</w:t>
            </w:r>
            <w:r w:rsidDel="00000000" w:rsidR="00000000" w:rsidRPr="00000000">
              <w:rPr>
                <w:rtl w:val="0"/>
              </w:rPr>
            </w:r>
          </w:p>
        </w:tc>
        <w:tc>
          <w:tcPr/>
          <w:p w:rsidR="00000000" w:rsidDel="00000000" w:rsidP="00000000" w:rsidRDefault="00000000" w:rsidRPr="00000000" w14:paraId="0000005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Marco de acoplamiento de LLMs con modelos semánticos y contraste del balance EPS contra datos de referencia analítico-experimentales de un CubeSat 3U.</w:t>
            </w:r>
            <w:r w:rsidDel="00000000" w:rsidR="00000000" w:rsidRPr="00000000">
              <w:rPr>
                <w:rtl w:val="0"/>
              </w:rPr>
            </w:r>
          </w:p>
        </w:tc>
      </w:tr>
      <w:tr>
        <w:trPr>
          <w:cantSplit w:val="1"/>
          <w:tblHeader w:val="0"/>
        </w:trPr>
        <w:tc>
          <w:tcPr/>
          <w:p w:rsidR="00000000" w:rsidDel="00000000" w:rsidP="00000000" w:rsidRDefault="00000000" w:rsidRPr="00000000" w14:paraId="0000005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Sistemas vecinos</w:t>
            </w:r>
            <w:r w:rsidDel="00000000" w:rsidR="00000000" w:rsidRPr="00000000">
              <w:rPr>
                <w:rtl w:val="0"/>
              </w:rPr>
            </w:r>
          </w:p>
        </w:tc>
        <w:tc>
          <w:tcPr/>
          <w:p w:rsidR="00000000" w:rsidDel="00000000" w:rsidP="00000000" w:rsidRDefault="00000000" w:rsidRPr="00000000" w14:paraId="0000005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Planillas de Cálculo (Microsoft Excel / LibreOffice Calc)</w:t>
            </w:r>
            <w:r w:rsidDel="00000000" w:rsidR="00000000" w:rsidRPr="00000000">
              <w:rPr>
                <w:rtl w:val="0"/>
              </w:rPr>
            </w:r>
          </w:p>
        </w:tc>
        <w:tc>
          <w:tcPr/>
          <w:p w:rsidR="00000000" w:rsidDel="00000000" w:rsidP="00000000" w:rsidRDefault="00000000" w:rsidRPr="00000000" w14:paraId="0000005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 I, Sec. I.3.1 y Cap. II, Sec. II.5.1; Entrevista Sonia Botta (14/09/2026)</w:t>
            </w:r>
            <w:r w:rsidDel="00000000" w:rsidR="00000000" w:rsidRPr="00000000">
              <w:rPr>
                <w:rtl w:val="0"/>
              </w:rPr>
            </w:r>
          </w:p>
        </w:tc>
        <w:tc>
          <w:tcPr/>
          <w:p w:rsidR="00000000" w:rsidDel="00000000" w:rsidP="00000000" w:rsidRDefault="00000000" w:rsidRPr="00000000" w14:paraId="0000005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Compatibilidad bidireccional mediante importación y exportación de datos en formatos tabulares abiertos (CSV/JSON).</w:t>
            </w:r>
            <w:r w:rsidDel="00000000" w:rsidR="00000000" w:rsidRPr="00000000">
              <w:rPr>
                <w:rtl w:val="0"/>
              </w:rPr>
            </w:r>
          </w:p>
        </w:tc>
      </w:tr>
      <w:tr>
        <w:trPr>
          <w:cantSplit w:val="1"/>
          <w:tblHeader w:val="0"/>
        </w:trPr>
        <w:tc>
          <w:tcPr/>
          <w:p w:rsidR="00000000" w:rsidDel="00000000" w:rsidP="00000000" w:rsidRDefault="00000000" w:rsidRPr="00000000" w14:paraId="0000005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Sistemas vecinos</w:t>
            </w:r>
            <w:r w:rsidDel="00000000" w:rsidR="00000000" w:rsidRPr="00000000">
              <w:rPr>
                <w:rtl w:val="0"/>
              </w:rPr>
            </w:r>
          </w:p>
        </w:tc>
        <w:tc>
          <w:tcPr/>
          <w:p w:rsidR="00000000" w:rsidDel="00000000" w:rsidP="00000000" w:rsidRDefault="00000000" w:rsidRPr="00000000" w14:paraId="0000006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Documentos de Control de Interfaz (ICD en Word/PDF de 50 a 90 págs.)</w:t>
            </w:r>
            <w:r w:rsidDel="00000000" w:rsidR="00000000" w:rsidRPr="00000000">
              <w:rPr>
                <w:rtl w:val="0"/>
              </w:rPr>
            </w:r>
          </w:p>
        </w:tc>
        <w:tc>
          <w:tcPr/>
          <w:p w:rsidR="00000000" w:rsidDel="00000000" w:rsidP="00000000" w:rsidRDefault="00000000" w:rsidRPr="00000000" w14:paraId="0000006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 I, Sec. I.3.1 (Problemática CTA-UNLP); Entrevista Sonia Botta (14/09/2026, Min 00:27:32)</w:t>
            </w:r>
            <w:r w:rsidDel="00000000" w:rsidR="00000000" w:rsidRPr="00000000">
              <w:rPr>
                <w:rtl w:val="0"/>
              </w:rPr>
            </w:r>
          </w:p>
        </w:tc>
        <w:tc>
          <w:tcPr/>
          <w:p w:rsidR="00000000" w:rsidDel="00000000" w:rsidP="00000000" w:rsidRDefault="00000000" w:rsidRPr="00000000" w14:paraId="0000006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Ingesta y preprocesamiento semántico documental para la extracción de parámetros y detección de desincronizaciones entre subsistemas.</w:t>
            </w:r>
            <w:r w:rsidDel="00000000" w:rsidR="00000000" w:rsidRPr="00000000">
              <w:rPr>
                <w:rtl w:val="0"/>
              </w:rPr>
            </w:r>
          </w:p>
        </w:tc>
      </w:tr>
      <w:tr>
        <w:trPr>
          <w:cantSplit w:val="1"/>
          <w:tblHeader w:val="0"/>
        </w:trPr>
        <w:tc>
          <w:tcPr/>
          <w:p w:rsidR="00000000" w:rsidDel="00000000" w:rsidP="00000000" w:rsidRDefault="00000000" w:rsidRPr="00000000" w14:paraId="0000006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Sistemas vecinos</w:t>
            </w:r>
            <w:r w:rsidDel="00000000" w:rsidR="00000000" w:rsidRPr="00000000">
              <w:rPr>
                <w:rtl w:val="0"/>
              </w:rPr>
            </w:r>
          </w:p>
        </w:tc>
        <w:tc>
          <w:tcPr/>
          <w:p w:rsidR="00000000" w:rsidDel="00000000" w:rsidP="00000000" w:rsidRDefault="00000000" w:rsidRPr="00000000" w14:paraId="0000006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Repositorios Institucionales y Gestores de Tareas (Redmine / Google Drive)</w:t>
            </w:r>
            <w:r w:rsidDel="00000000" w:rsidR="00000000" w:rsidRPr="00000000">
              <w:rPr>
                <w:rtl w:val="0"/>
              </w:rPr>
            </w:r>
          </w:p>
        </w:tc>
        <w:tc>
          <w:tcPr/>
          <w:p w:rsidR="00000000" w:rsidDel="00000000" w:rsidP="00000000" w:rsidRDefault="00000000" w:rsidRPr="00000000" w14:paraId="0000006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 I, Sec. I.3.1 (Problemática CTA-UNLP); Entrevista Sonia Botta (14/09/2026, Min 00:35:50)</w:t>
            </w:r>
            <w:r w:rsidDel="00000000" w:rsidR="00000000" w:rsidRPr="00000000">
              <w:rPr>
                <w:rtl w:val="0"/>
              </w:rPr>
            </w:r>
          </w:p>
        </w:tc>
        <w:tc>
          <w:tcPr/>
          <w:p w:rsidR="00000000" w:rsidDel="00000000" w:rsidP="00000000" w:rsidRDefault="00000000" w:rsidRPr="00000000" w14:paraId="0000006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Exportación de dictámenes técnicos y árboles de decisión en Markdown y JSON estructurado para su archivo institucional sin acoplamiento a base de datos.</w:t>
            </w:r>
            <w:r w:rsidDel="00000000" w:rsidR="00000000" w:rsidRPr="00000000">
              <w:rPr>
                <w:rtl w:val="0"/>
              </w:rPr>
            </w:r>
          </w:p>
        </w:tc>
      </w:tr>
      <w:tr>
        <w:trPr>
          <w:cantSplit w:val="1"/>
          <w:tblHeader w:val="0"/>
        </w:trPr>
        <w:tc>
          <w:tcPr/>
          <w:p w:rsidR="00000000" w:rsidDel="00000000" w:rsidP="00000000" w:rsidRDefault="00000000" w:rsidRPr="00000000" w14:paraId="0000006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Sistemas vecinos</w:t>
            </w:r>
            <w:r w:rsidDel="00000000" w:rsidR="00000000" w:rsidRPr="00000000">
              <w:rPr>
                <w:rtl w:val="0"/>
              </w:rPr>
            </w:r>
          </w:p>
        </w:tc>
        <w:tc>
          <w:tcPr/>
          <w:p w:rsidR="00000000" w:rsidDel="00000000" w:rsidP="00000000" w:rsidRDefault="00000000" w:rsidRPr="00000000" w14:paraId="0000006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Herramientas de Simulación Externa y Librerías Abiertas (MATLAB / Python)</w:t>
            </w:r>
            <w:r w:rsidDel="00000000" w:rsidR="00000000" w:rsidRPr="00000000">
              <w:rPr>
                <w:rtl w:val="0"/>
              </w:rPr>
            </w:r>
          </w:p>
        </w:tc>
        <w:tc>
          <w:tcPr/>
          <w:p w:rsidR="00000000" w:rsidDel="00000000" w:rsidP="00000000" w:rsidRDefault="00000000" w:rsidRPr="00000000" w14:paraId="0000006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 I, Sec. I.6 (Módulo EPS); Bitácora (22/09/2026)</w:t>
            </w:r>
            <w:r w:rsidDel="00000000" w:rsidR="00000000" w:rsidRPr="00000000">
              <w:rPr>
                <w:rtl w:val="0"/>
              </w:rPr>
            </w:r>
          </w:p>
        </w:tc>
        <w:tc>
          <w:tcPr/>
          <w:p w:rsidR="00000000" w:rsidDel="00000000" w:rsidP="00000000" w:rsidRDefault="00000000" w:rsidRPr="00000000" w14:paraId="0000006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Sin desarrollo de simulador propio: ingesta desacoplada de resultados de simulación externos como evidencia + enlace a librerías abiertas estándar de Python.</w:t>
            </w:r>
            <w:r w:rsidDel="00000000" w:rsidR="00000000" w:rsidRPr="00000000">
              <w:rPr>
                <w:rtl w:val="0"/>
              </w:rPr>
            </w:r>
          </w:p>
        </w:tc>
      </w:tr>
      <w:tr>
        <w:trPr>
          <w:cantSplit w:val="1"/>
          <w:tblHeader w:val="0"/>
        </w:trPr>
        <w:tc>
          <w:tcPr/>
          <w:p w:rsidR="00000000" w:rsidDel="00000000" w:rsidP="00000000" w:rsidRDefault="00000000" w:rsidRPr="00000000" w14:paraId="0000006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Sistemas vecinos</w:t>
            </w:r>
            <w:r w:rsidDel="00000000" w:rsidR="00000000" w:rsidRPr="00000000">
              <w:rPr>
                <w:rtl w:val="0"/>
              </w:rPr>
            </w:r>
          </w:p>
        </w:tc>
        <w:tc>
          <w:tcPr/>
          <w:p w:rsidR="00000000" w:rsidDel="00000000" w:rsidP="00000000" w:rsidRDefault="00000000" w:rsidRPr="00000000" w14:paraId="0000006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Software CAD/EDA (SolidWorks / Catia) y Enfoque MBSE (Valispace)</w:t>
            </w:r>
            <w:r w:rsidDel="00000000" w:rsidR="00000000" w:rsidRPr="00000000">
              <w:rPr>
                <w:rtl w:val="0"/>
              </w:rPr>
            </w:r>
          </w:p>
        </w:tc>
        <w:tc>
          <w:tcPr/>
          <w:p w:rsidR="00000000" w:rsidDel="00000000" w:rsidP="00000000" w:rsidRDefault="00000000" w:rsidRPr="00000000" w14:paraId="0000006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 I, Sec. I.3.1 y Cap. II, Sec. II.5.1; Entrevista Sonia Botta (14/09/2026, Min 00:30:26)</w:t>
            </w:r>
            <w:r w:rsidDel="00000000" w:rsidR="00000000" w:rsidRPr="00000000">
              <w:rPr>
                <w:rtl w:val="0"/>
              </w:rPr>
            </w:r>
          </w:p>
        </w:tc>
        <w:tc>
          <w:tcPr/>
          <w:p w:rsidR="00000000" w:rsidDel="00000000" w:rsidP="00000000" w:rsidRDefault="00000000" w:rsidRPr="00000000" w14:paraId="0000006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Enfoque </w:t>
            </w:r>
            <w:r w:rsidDel="00000000" w:rsidR="00000000" w:rsidRPr="00000000">
              <w:rPr>
                <w:rFonts w:ascii="Times New Roman" w:cs="Times New Roman" w:eastAsia="Times New Roman" w:hAnsi="Times New Roman"/>
                <w:b w:val="0"/>
                <w:bCs w:val="0"/>
                <w:i w:val="1"/>
                <w:iCs w:val="1"/>
                <w:color w:val="0f172a"/>
                <w:sz w:val="18"/>
                <w:szCs w:val="18"/>
                <w:rtl w:val="0"/>
              </w:rPr>
              <w:t xml:space="preserve">Digital Thread</w:t>
            </w:r>
            <w:r w:rsidDel="00000000" w:rsidR="00000000" w:rsidRPr="00000000">
              <w:rPr>
                <w:rFonts w:ascii="Times New Roman" w:cs="Times New Roman" w:eastAsia="Times New Roman" w:hAnsi="Times New Roman"/>
                <w:b w:val="0"/>
                <w:bCs w:val="0"/>
                <w:i w:val="0"/>
                <w:iCs w:val="0"/>
                <w:color w:val="0f172a"/>
                <w:sz w:val="18"/>
                <w:szCs w:val="18"/>
                <w:rtl w:val="0"/>
              </w:rPr>
              <w:t xml:space="preserve"> alineado a ECSS: trazabilidad de cambios en metadatos y versiones CAD en la base de conocimiento sin adquirir licencias de Valispace (USD 1.500/año) ni APIs CAD propietarias.</w:t>
            </w:r>
            <w:r w:rsidDel="00000000" w:rsidR="00000000" w:rsidRPr="00000000">
              <w:rPr>
                <w:rtl w:val="0"/>
              </w:rPr>
            </w:r>
          </w:p>
        </w:tc>
      </w:tr>
      <w:tr>
        <w:trPr>
          <w:cantSplit w:val="1"/>
          <w:tblHeader w:val="0"/>
        </w:trPr>
        <w:tc>
          <w:tcPr/>
          <w:p w:rsidR="00000000" w:rsidDel="00000000" w:rsidP="00000000" w:rsidRDefault="00000000" w:rsidRPr="00000000" w14:paraId="0000006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Infraestructura</w:t>
            </w:r>
            <w:r w:rsidDel="00000000" w:rsidR="00000000" w:rsidRPr="00000000">
              <w:rPr>
                <w:rtl w:val="0"/>
              </w:rPr>
            </w:r>
          </w:p>
        </w:tc>
        <w:tc>
          <w:tcPr/>
          <w:p w:rsidR="00000000" w:rsidDel="00000000" w:rsidP="00000000" w:rsidRDefault="00000000" w:rsidRPr="00000000" w14:paraId="0000007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Plataforma de Despliegue Híbrida (Contenedores Docker)</w:t>
            </w:r>
            <w:r w:rsidDel="00000000" w:rsidR="00000000" w:rsidRPr="00000000">
              <w:rPr>
                <w:rtl w:val="0"/>
              </w:rPr>
            </w:r>
          </w:p>
        </w:tc>
        <w:tc>
          <w:tcPr/>
          <w:p w:rsidR="00000000" w:rsidDel="00000000" w:rsidP="00000000" w:rsidRDefault="00000000" w:rsidRPr="00000000" w14:paraId="0000007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 II, Sec. II.5.1 (Análisis PESTEL); Bitácora (22/09/2026)</w:t>
            </w:r>
            <w:r w:rsidDel="00000000" w:rsidR="00000000" w:rsidRPr="00000000">
              <w:rPr>
                <w:rtl w:val="0"/>
              </w:rPr>
            </w:r>
          </w:p>
        </w:tc>
        <w:tc>
          <w:tcPr/>
          <w:p w:rsidR="00000000" w:rsidDel="00000000" w:rsidP="00000000" w:rsidRDefault="00000000" w:rsidRPr="00000000" w14:paraId="0000007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Empaquetamiento ejecutable en servidores locales universitarios (</w:t>
            </w:r>
            <w:r w:rsidDel="00000000" w:rsidR="00000000" w:rsidRPr="00000000">
              <w:rPr>
                <w:rFonts w:ascii="Times New Roman" w:cs="Times New Roman" w:eastAsia="Times New Roman" w:hAnsi="Times New Roman"/>
                <w:b w:val="0"/>
                <w:bCs w:val="0"/>
                <w:i w:val="1"/>
                <w:iCs w:val="1"/>
                <w:color w:val="0f172a"/>
                <w:sz w:val="18"/>
                <w:szCs w:val="18"/>
                <w:rtl w:val="0"/>
              </w:rPr>
              <w:t xml:space="preserve">on-premise</w:t>
            </w:r>
            <w:r w:rsidDel="00000000" w:rsidR="00000000" w:rsidRPr="00000000">
              <w:rPr>
                <w:rFonts w:ascii="Times New Roman" w:cs="Times New Roman" w:eastAsia="Times New Roman" w:hAnsi="Times New Roman"/>
                <w:b w:val="0"/>
                <w:bCs w:val="0"/>
                <w:i w:val="0"/>
                <w:iCs w:val="0"/>
                <w:color w:val="0f172a"/>
                <w:sz w:val="18"/>
                <w:szCs w:val="18"/>
                <w:rtl w:val="0"/>
              </w:rPr>
              <w:t xml:space="preserve">) o en la nube de bajo costo, garantizando portabilidad operativa.</w:t>
            </w:r>
            <w:r w:rsidDel="00000000" w:rsidR="00000000" w:rsidRPr="00000000">
              <w:rPr>
                <w:rtl w:val="0"/>
              </w:rPr>
            </w:r>
          </w:p>
        </w:tc>
      </w:tr>
      <w:tr>
        <w:trPr>
          <w:cantSplit w:val="1"/>
          <w:tblHeader w:val="0"/>
        </w:trPr>
        <w:tc>
          <w:tcPr/>
          <w:p w:rsidR="00000000" w:rsidDel="00000000" w:rsidP="00000000" w:rsidRDefault="00000000" w:rsidRPr="00000000" w14:paraId="0000007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Infraestructura</w:t>
            </w:r>
            <w:r w:rsidDel="00000000" w:rsidR="00000000" w:rsidRPr="00000000">
              <w:rPr>
                <w:rtl w:val="0"/>
              </w:rPr>
            </w:r>
          </w:p>
        </w:tc>
        <w:tc>
          <w:tcPr/>
          <w:p w:rsidR="00000000" w:rsidDel="00000000" w:rsidP="00000000" w:rsidRDefault="00000000" w:rsidRPr="00000000" w14:paraId="0000007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Capa Cognitiva de Inferencia Híbrida (APIs Externas con Respaldo Local)</w:t>
            </w:r>
            <w:r w:rsidDel="00000000" w:rsidR="00000000" w:rsidRPr="00000000">
              <w:rPr>
                <w:rtl w:val="0"/>
              </w:rPr>
            </w:r>
          </w:p>
        </w:tc>
        <w:tc>
          <w:tcPr/>
          <w:p w:rsidR="00000000" w:rsidDel="00000000" w:rsidP="00000000" w:rsidRDefault="00000000" w:rsidRPr="00000000" w14:paraId="0000007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 II, Sec. II.5.1 (Análisis PESTEL); Entrevista Sonia Botta (14/09/2026, Min 00:27:32)</w:t>
            </w:r>
            <w:r w:rsidDel="00000000" w:rsidR="00000000" w:rsidRPr="00000000">
              <w:rPr>
                <w:rtl w:val="0"/>
              </w:rPr>
            </w:r>
          </w:p>
        </w:tc>
        <w:tc>
          <w:tcPr/>
          <w:p w:rsidR="00000000" w:rsidDel="00000000" w:rsidP="00000000" w:rsidRDefault="00000000" w:rsidRPr="00000000" w14:paraId="0000007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Consumo de APIs comerciales (Gemini/Claude) para síntesis de paquetes ICD con capacidad de respaldo local (modelos abiertos) para modo sin conexión y privacidad.</w:t>
            </w:r>
            <w:r w:rsidDel="00000000" w:rsidR="00000000" w:rsidRPr="00000000">
              <w:rPr>
                <w:rtl w:val="0"/>
              </w:rPr>
            </w:r>
          </w:p>
        </w:tc>
      </w:tr>
    </w:tbl>
    <w:p w:rsidR="00000000" w:rsidDel="00000000" w:rsidP="00000000" w:rsidRDefault="00000000" w:rsidRPr="00000000" w14:paraId="00000077">
      <w:pPr>
        <w:pStyle w:val="Heading2"/>
        <w:rPr/>
      </w:pPr>
      <w:bookmarkStart w:colFirst="0" w:colLast="0" w:name="_pk85xxsj6tj0" w:id="6"/>
      <w:bookmarkEnd w:id="6"/>
      <w:r w:rsidDel="00000000" w:rsidR="00000000" w:rsidRPr="00000000">
        <w:rPr>
          <w:rtl w:val="0"/>
        </w:rPr>
        <w:t xml:space="preserve">Elemento condicionante más determinante para la arquitectura</w:t>
      </w:r>
    </w:p>
    <w:p w:rsidR="00000000" w:rsidDel="00000000" w:rsidP="00000000" w:rsidRDefault="00000000" w:rsidRPr="00000000" w14:paraId="00000078">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elemento del entorno más determinante para la arquitectura del sistema de información es el </w:t>
      </w:r>
      <w:r w:rsidDel="00000000" w:rsidR="00000000" w:rsidRPr="00000000">
        <w:rPr>
          <w:rFonts w:ascii="Times New Roman" w:cs="Times New Roman" w:eastAsia="Times New Roman" w:hAnsi="Times New Roman"/>
          <w:b w:val="1"/>
          <w:bCs w:val="1"/>
          <w:i w:val="0"/>
          <w:iCs w:val="0"/>
          <w:color w:val="0f172a"/>
          <w:sz w:val="24"/>
          <w:szCs w:val="24"/>
          <w:rtl w:val="0"/>
        </w:rPr>
        <w:t xml:space="preserve">marco normativo de verificación del sector espacial (ECSS-E-ST-20C Rev. 1 y Cal Poly CDS REV 14.1), condicionado por la decisión de tratar a la simulación física como una evidencia provista por terceros y por la infraestructura híbrida universitaria</w:t>
      </w:r>
      <w:r w:rsidDel="00000000" w:rsidR="00000000" w:rsidRPr="00000000">
        <w:rPr>
          <w:rFonts w:ascii="Times New Roman" w:cs="Times New Roman" w:eastAsia="Times New Roman" w:hAnsi="Times New Roman"/>
          <w:b w:val="0"/>
          <w:bCs w:val="0"/>
          <w:i w:val="0"/>
          <w:iCs w:val="0"/>
          <w:color w:val="0f172a"/>
          <w:sz w:val="24"/>
          <w:szCs w:val="24"/>
          <w:rtl w:val="0"/>
        </w:rPr>
        <w:t xml:space="preserve">.</w:t>
      </w:r>
      <w:r w:rsidDel="00000000" w:rsidR="00000000" w:rsidRPr="00000000">
        <w:rPr>
          <w:rtl w:val="0"/>
        </w:rPr>
      </w:r>
    </w:p>
    <w:p w:rsidR="00000000" w:rsidDel="00000000" w:rsidP="00000000" w:rsidRDefault="00000000" w:rsidRPr="00000000" w14:paraId="00000079">
      <w:pPr>
        <w:spacing w:after="80" w:before="0" w:line="480" w:lineRule="auto"/>
        <w:ind w:firstLine="720"/>
        <w:rPr/>
      </w:pPr>
      <w:r w:rsidDel="00000000" w:rsidR="00000000" w:rsidRPr="00000000">
        <w:rPr>
          <w:rFonts w:ascii="Gungsuh" w:cs="Gungsuh" w:eastAsia="Gungsuh" w:hAnsi="Gungsuh"/>
          <w:b w:val="0"/>
          <w:bCs w:val="0"/>
          <w:i w:val="0"/>
          <w:iCs w:val="0"/>
          <w:color w:val="0f172a"/>
          <w:sz w:val="24"/>
          <w:szCs w:val="24"/>
          <w:rtl w:val="0"/>
        </w:rPr>
        <w:t xml:space="preserve">La exigencia de márgenes de seguridad inmutables de batería (DoD ≤ 30% en LEO), tolerancias físicas rigurosas y trazabilidad matemática hacia estándares internacionales prohíbe de forma terminante que los cálculos críticos o la validación de reglas de vuelo dependan de modelos de lenguaje generativos susceptibles a alucinaciones numéricas. Simultáneamente, el entorno presupuestario y operativo universitario del CTA-UNLP descarta el desarrollo costoso de un motor de simulación propio desde cero, imponiendo que CODI consuma resultados de herramientas ya validadas por los especialistas (MATLAB, planillas analíticas o librerías abiertas).</w:t>
      </w:r>
      <w:r w:rsidDel="00000000" w:rsidR="00000000" w:rsidRPr="00000000">
        <w:rPr>
          <w:rtl w:val="0"/>
        </w:rPr>
      </w:r>
    </w:p>
    <w:p w:rsidR="00000000" w:rsidDel="00000000" w:rsidP="00000000" w:rsidRDefault="00000000" w:rsidRPr="00000000" w14:paraId="0000007A">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En consecuencia, el sistema debe estructurarse como un </w:t>
      </w:r>
      <w:r w:rsidDel="00000000" w:rsidR="00000000" w:rsidRPr="00000000">
        <w:rPr>
          <w:rFonts w:ascii="Times New Roman" w:cs="Times New Roman" w:eastAsia="Times New Roman" w:hAnsi="Times New Roman"/>
          <w:b w:val="1"/>
          <w:bCs w:val="1"/>
          <w:i w:val="0"/>
          <w:iCs w:val="0"/>
          <w:color w:val="0f172a"/>
          <w:sz w:val="24"/>
          <w:szCs w:val="24"/>
          <w:rtl w:val="0"/>
        </w:rPr>
        <w:t xml:space="preserve">arnés de orquestación cognitiva (*Cognitive Engineering Harness*) bifurcado en dos capas estrictamente desacopladas</w:t>
      </w:r>
      <w:r w:rsidDel="00000000" w:rsidR="00000000" w:rsidRPr="00000000">
        <w:rPr>
          <w:rFonts w:ascii="Times New Roman" w:cs="Times New Roman" w:eastAsia="Times New Roman" w:hAnsi="Times New Roman"/>
          <w:b w:val="0"/>
          <w:bCs w:val="0"/>
          <w:i w:val="0"/>
          <w:iCs w:val="0"/>
          <w:color w:val="0f172a"/>
          <w:sz w:val="24"/>
          <w:szCs w:val="24"/>
          <w:rtl w:val="0"/>
        </w:rPr>
        <w:t xml:space="preserve">:</w:t>
      </w:r>
      <w:r w:rsidDel="00000000" w:rsidR="00000000" w:rsidRPr="00000000">
        <w:rPr>
          <w:rtl w:val="0"/>
        </w:rPr>
      </w:r>
    </w:p>
    <w:p w:rsidR="00000000" w:rsidDel="00000000" w:rsidP="00000000" w:rsidRDefault="00000000" w:rsidRPr="00000000" w14:paraId="0000007B">
      <w:pPr>
        <w:spacing w:after="200" w:before="20" w:line="480"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 </w:t>
      </w:r>
      <w:r w:rsidDel="00000000" w:rsidR="00000000" w:rsidRPr="00000000">
        <w:rPr>
          <w:rFonts w:ascii="Times New Roman" w:cs="Times New Roman" w:eastAsia="Times New Roman" w:hAnsi="Times New Roman"/>
          <w:b w:val="0"/>
          <w:bCs w:val="0"/>
          <w:i w:val="0"/>
          <w:iCs w:val="0"/>
          <w:color w:val="0f172a"/>
          <w:sz w:val="23"/>
          <w:szCs w:val="23"/>
          <w:rtl w:val="0"/>
        </w:rPr>
        <w:t xml:space="preserve">Una </w:t>
      </w:r>
      <w:r w:rsidDel="00000000" w:rsidR="00000000" w:rsidRPr="00000000">
        <w:rPr>
          <w:rFonts w:ascii="Times New Roman" w:cs="Times New Roman" w:eastAsia="Times New Roman" w:hAnsi="Times New Roman"/>
          <w:b w:val="1"/>
          <w:bCs w:val="1"/>
          <w:i w:val="0"/>
          <w:iCs w:val="0"/>
          <w:color w:val="0f172a"/>
          <w:sz w:val="23"/>
          <w:szCs w:val="23"/>
          <w:rtl w:val="0"/>
        </w:rPr>
        <w:t xml:space="preserve">Capa de Verificación y Procesamiento Determinístico</w:t>
      </w:r>
      <w:r w:rsidDel="00000000" w:rsidR="00000000" w:rsidRPr="00000000">
        <w:rPr>
          <w:rFonts w:ascii="Times New Roman" w:cs="Times New Roman" w:eastAsia="Times New Roman" w:hAnsi="Times New Roman"/>
          <w:b w:val="0"/>
          <w:bCs w:val="0"/>
          <w:i w:val="0"/>
          <w:iCs w:val="0"/>
          <w:color w:val="0f172a"/>
          <w:sz w:val="23"/>
          <w:szCs w:val="23"/>
          <w:rtl w:val="0"/>
        </w:rPr>
        <w:t xml:space="preserve">, alojada localmente y gobernada por código verificable, que valida los parámetros de interfaz contra las reglas normativas y procesa los datos numéricos tabulares.</w:t>
      </w:r>
      <w:r w:rsidDel="00000000" w:rsidR="00000000" w:rsidRPr="00000000">
        <w:rPr>
          <w:rtl w:val="0"/>
        </w:rPr>
      </w:r>
    </w:p>
    <w:p w:rsidR="00000000" w:rsidDel="00000000" w:rsidP="00000000" w:rsidRDefault="00000000" w:rsidRPr="00000000" w14:paraId="0000007C">
      <w:pPr>
        <w:spacing w:after="200" w:before="20" w:line="480"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2. </w:t>
      </w:r>
      <w:r w:rsidDel="00000000" w:rsidR="00000000" w:rsidRPr="00000000">
        <w:rPr>
          <w:rFonts w:ascii="Times New Roman" w:cs="Times New Roman" w:eastAsia="Times New Roman" w:hAnsi="Times New Roman"/>
          <w:b w:val="0"/>
          <w:bCs w:val="0"/>
          <w:i w:val="0"/>
          <w:iCs w:val="0"/>
          <w:color w:val="0f172a"/>
          <w:sz w:val="23"/>
          <w:szCs w:val="23"/>
          <w:rtl w:val="0"/>
        </w:rPr>
        <w:t xml:space="preserve">Una </w:t>
      </w:r>
      <w:r w:rsidDel="00000000" w:rsidR="00000000" w:rsidRPr="00000000">
        <w:rPr>
          <w:rFonts w:ascii="Times New Roman" w:cs="Times New Roman" w:eastAsia="Times New Roman" w:hAnsi="Times New Roman"/>
          <w:b w:val="1"/>
          <w:bCs w:val="1"/>
          <w:i w:val="0"/>
          <w:iCs w:val="0"/>
          <w:color w:val="0f172a"/>
          <w:sz w:val="23"/>
          <w:szCs w:val="23"/>
          <w:rtl w:val="0"/>
        </w:rPr>
        <w:t xml:space="preserve">Capa de Asistencia Cognitiva Contextual</w:t>
      </w:r>
      <w:r w:rsidDel="00000000" w:rsidR="00000000" w:rsidRPr="00000000">
        <w:rPr>
          <w:rFonts w:ascii="Times New Roman" w:cs="Times New Roman" w:eastAsia="Times New Roman" w:hAnsi="Times New Roman"/>
          <w:b w:val="0"/>
          <w:bCs w:val="0"/>
          <w:i w:val="0"/>
          <w:iCs w:val="0"/>
          <w:color w:val="0f172a"/>
          <w:sz w:val="23"/>
          <w:szCs w:val="23"/>
          <w:rtl w:val="0"/>
        </w:rPr>
        <w:t xml:space="preserve">, que consume la evidencia certificada por la primera capa para estructurar justificaciones técnicas, preprocesar paquetes documentales ICD extensos, acelerar el traspaso de conocimiento (</w:t>
      </w:r>
      <w:r w:rsidDel="00000000" w:rsidR="00000000" w:rsidRPr="00000000">
        <w:rPr>
          <w:rFonts w:ascii="Times New Roman" w:cs="Times New Roman" w:eastAsia="Times New Roman" w:hAnsi="Times New Roman"/>
          <w:b w:val="0"/>
          <w:bCs w:val="0"/>
          <w:i w:val="1"/>
          <w:iCs w:val="1"/>
          <w:color w:val="0f172a"/>
          <w:sz w:val="23"/>
          <w:szCs w:val="23"/>
          <w:rtl w:val="0"/>
        </w:rPr>
        <w:t xml:space="preserve">onboarding</w:t>
      </w:r>
      <w:r w:rsidDel="00000000" w:rsidR="00000000" w:rsidRPr="00000000">
        <w:rPr>
          <w:rFonts w:ascii="Times New Roman" w:cs="Times New Roman" w:eastAsia="Times New Roman" w:hAnsi="Times New Roman"/>
          <w:b w:val="0"/>
          <w:bCs w:val="0"/>
          <w:i w:val="0"/>
          <w:iCs w:val="0"/>
          <w:color w:val="0f172a"/>
          <w:sz w:val="23"/>
          <w:szCs w:val="23"/>
          <w:rtl w:val="0"/>
        </w:rPr>
        <w:t xml:space="preserve">) y reducir la carga cognitiva del ingeniero responsable.</w:t>
      </w:r>
      <w:r w:rsidDel="00000000" w:rsidR="00000000" w:rsidRPr="00000000">
        <w:rPr>
          <w:rtl w:val="0"/>
        </w:rPr>
      </w:r>
    </w:p>
    <w:p w:rsidR="00000000" w:rsidDel="00000000" w:rsidP="00000000" w:rsidRDefault="00000000" w:rsidRPr="00000000" w14:paraId="0000007D">
      <w:pPr>
        <w:spacing w:after="20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Esta separación arquitectónica garantiza que el sistema mantenga una rigidez matemática y regulatoria absoluta, operando con plena autonomía en los laboratorios académicos incluso ante eventuales cortes de conectividad o variaciones en los servicios externos de inferencia de lenguaje.</w:t>
      </w:r>
      <w:r w:rsidDel="00000000" w:rsidR="00000000" w:rsidRPr="00000000">
        <w:rPr>
          <w:rtl w:val="0"/>
        </w:rPr>
      </w:r>
    </w:p>
    <w:p w:rsidR="00000000" w:rsidDel="00000000" w:rsidP="00000000" w:rsidRDefault="00000000" w:rsidRPr="00000000" w14:paraId="0000007E">
      <w:pPr>
        <w:pStyle w:val="Heading1"/>
        <w:rPr/>
      </w:pPr>
      <w:bookmarkStart w:colFirst="0" w:colLast="0" w:name="_2g2rq0lw582c" w:id="7"/>
      <w:bookmarkEnd w:id="7"/>
      <w:r w:rsidDel="00000000" w:rsidR="00000000" w:rsidRPr="00000000">
        <w:rPr>
          <w:rtl w:val="0"/>
        </w:rPr>
        <w:t xml:space="preserve">III.2 · Dominio del Sistema de Información</w:t>
      </w:r>
    </w:p>
    <w:p w:rsidR="00000000" w:rsidDel="00000000" w:rsidP="00000000" w:rsidRDefault="00000000" w:rsidRPr="00000000" w14:paraId="0000007F">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dominio del sistema de información CODI representa el conjunto estructurado de conceptos, entidades, reglas lógicas y relaciones que conforman el proceso cognitivo de análisis y diseño preliminar en ingeniería espacial (específicamente en el dimensionamiento del subsistema de potencia eléctrica EPS para satélites pequeños). La frontera del dominio se traza aplicando la prueba de pertinencia operativa: </w:t>
      </w:r>
      <w:r w:rsidDel="00000000" w:rsidR="00000000" w:rsidRPr="00000000">
        <w:rPr>
          <w:rFonts w:ascii="Times New Roman" w:cs="Times New Roman" w:eastAsia="Times New Roman" w:hAnsi="Times New Roman"/>
          <w:b w:val="0"/>
          <w:bCs w:val="0"/>
          <w:i w:val="1"/>
          <w:iCs w:val="1"/>
          <w:color w:val="0f172a"/>
          <w:sz w:val="24"/>
          <w:szCs w:val="24"/>
          <w:rtl w:val="0"/>
        </w:rPr>
        <w:t xml:space="preserve">«¿el sistema controla el ciclo de vida y las transiciones de estado de esa entidad, o simplemente padece su existencia como una condición impuesta?»</w:t>
      </w:r>
      <w:r w:rsidDel="00000000" w:rsidR="00000000" w:rsidRPr="00000000">
        <w:rPr>
          <w:rFonts w:ascii="Times New Roman" w:cs="Times New Roman" w:eastAsia="Times New Roman" w:hAnsi="Times New Roman"/>
          <w:b w:val="0"/>
          <w:bCs w:val="0"/>
          <w:i w:val="0"/>
          <w:iCs w:val="0"/>
          <w:color w:val="0f172a"/>
          <w:sz w:val="24"/>
          <w:szCs w:val="24"/>
          <w:rtl w:val="0"/>
        </w:rPr>
        <w:t xml:space="preserve">. Aquellos elementos cuyo estado, versión y consistencia interna son gobernados por CODI constituyen las entidades del dominio; por el contrario, los actores humanos, el hardware físico en órbita y las normas inmutables pertenecen al entorno exterior y se vinculan como insumos o restricciones.</w:t>
      </w:r>
      <w:r w:rsidDel="00000000" w:rsidR="00000000" w:rsidRPr="00000000">
        <w:rPr>
          <w:rtl w:val="0"/>
        </w:rPr>
      </w:r>
    </w:p>
    <w:p w:rsidR="00000000" w:rsidDel="00000000" w:rsidP="00000000" w:rsidRDefault="00000000" w:rsidRPr="00000000" w14:paraId="00000080">
      <w:pPr>
        <w:pStyle w:val="Heading2"/>
        <w:rPr/>
      </w:pPr>
      <w:bookmarkStart w:colFirst="0" w:colLast="0" w:name="_i1328tw1kgha" w:id="8"/>
      <w:bookmarkEnd w:id="8"/>
      <w:r w:rsidDel="00000000" w:rsidR="00000000" w:rsidRPr="00000000">
        <w:rPr>
          <w:rtl w:val="0"/>
        </w:rPr>
        <w:t xml:space="preserve">Entidades del Dominio</w:t>
      </w:r>
    </w:p>
    <w:p w:rsidR="00000000" w:rsidDel="00000000" w:rsidP="00000000" w:rsidRDefault="00000000" w:rsidRPr="00000000" w14:paraId="00000081">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modelo conceptual comprende siete entidades fundamentales requeridas para articular el arnés de ingeniería cognitiva y garantizar la trazabilidad formal de decisiones</w:t>
      </w:r>
      <w:r w:rsidDel="00000000" w:rsidR="00000000" w:rsidRPr="00000000">
        <w:rPr>
          <w:rtl w:val="0"/>
        </w:rPr>
      </w:r>
    </w:p>
    <w:p w:rsidR="00000000" w:rsidDel="00000000" w:rsidP="00000000" w:rsidRDefault="00000000" w:rsidRPr="00000000" w14:paraId="00000082">
      <w:pPr>
        <w:pStyle w:val="Heading3"/>
        <w:spacing w:after="80" w:line="480" w:lineRule="auto"/>
        <w:rPr/>
      </w:pPr>
      <w:bookmarkStart w:colFirst="0" w:colLast="0" w:name="_byqjxz6xu89g" w:id="9"/>
      <w:bookmarkEnd w:id="9"/>
      <w:r w:rsidDel="00000000" w:rsidR="00000000" w:rsidRPr="00000000">
        <w:rPr>
          <w:rFonts w:ascii="Times New Roman" w:cs="Times New Roman" w:eastAsia="Times New Roman" w:hAnsi="Times New Roman"/>
          <w:b w:val="1"/>
          <w:bCs w:val="1"/>
          <w:i w:val="0"/>
          <w:iCs w:val="0"/>
          <w:color w:val="0f172a"/>
          <w:sz w:val="24"/>
          <w:szCs w:val="24"/>
          <w:rtl w:val="0"/>
        </w:rPr>
        <w:t xml:space="preserve">Tabla III.2: Definición de entidades del dominio</w:t>
      </w:r>
      <w:r w:rsidDel="00000000" w:rsidR="00000000" w:rsidRPr="00000000">
        <w:rPr>
          <w:rtl w:val="0"/>
        </w:rPr>
      </w:r>
    </w:p>
    <w:tbl>
      <w:tblPr>
        <w:tblStyle w:val="Table2"/>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2126"/>
        <w:gridCol w:w="2126"/>
        <w:gridCol w:w="2126"/>
        <w:gridCol w:w="2126"/>
        <w:tblGridChange w:id="0">
          <w:tblGrid>
            <w:gridCol w:w="2126"/>
            <w:gridCol w:w="2126"/>
            <w:gridCol w:w="2126"/>
            <w:gridCol w:w="2126"/>
          </w:tblGrid>
        </w:tblGridChange>
      </w:tblGrid>
      <w:tr>
        <w:trPr>
          <w:cantSplit w:val="1"/>
          <w:tblHeader w:val="1"/>
        </w:trPr>
        <w:tc>
          <w:tcPr>
            <w:shd w:fill="f1f5f9" w:val="clear"/>
          </w:tcPr>
          <w:p w:rsidR="00000000" w:rsidDel="00000000" w:rsidP="00000000" w:rsidRDefault="00000000" w:rsidRPr="00000000" w14:paraId="0000008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Entidad</w:t>
            </w:r>
            <w:r w:rsidDel="00000000" w:rsidR="00000000" w:rsidRPr="00000000">
              <w:rPr>
                <w:rtl w:val="0"/>
              </w:rPr>
            </w:r>
          </w:p>
        </w:tc>
        <w:tc>
          <w:tcPr>
            <w:shd w:fill="f1f5f9" w:val="clear"/>
          </w:tcPr>
          <w:p w:rsidR="00000000" w:rsidDel="00000000" w:rsidP="00000000" w:rsidRDefault="00000000" w:rsidRPr="00000000" w14:paraId="0000008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Definición operativa</w:t>
            </w:r>
            <w:r w:rsidDel="00000000" w:rsidR="00000000" w:rsidRPr="00000000">
              <w:rPr>
                <w:rtl w:val="0"/>
              </w:rPr>
            </w:r>
          </w:p>
        </w:tc>
        <w:tc>
          <w:tcPr>
            <w:shd w:fill="f1f5f9" w:val="clear"/>
          </w:tcPr>
          <w:p w:rsidR="00000000" w:rsidDel="00000000" w:rsidP="00000000" w:rsidRDefault="00000000" w:rsidRPr="00000000" w14:paraId="0000008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Fuente que la acredita</w:t>
            </w:r>
            <w:r w:rsidDel="00000000" w:rsidR="00000000" w:rsidRPr="00000000">
              <w:rPr>
                <w:rtl w:val="0"/>
              </w:rPr>
            </w:r>
          </w:p>
        </w:tc>
        <w:tc>
          <w:tcPr>
            <w:shd w:fill="f1f5f9" w:val="clear"/>
          </w:tcPr>
          <w:p w:rsidR="00000000" w:rsidDel="00000000" w:rsidP="00000000" w:rsidRDefault="00000000" w:rsidRPr="00000000" w14:paraId="0000008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Relaciones principales</w:t>
            </w:r>
            <w:r w:rsidDel="00000000" w:rsidR="00000000" w:rsidRPr="00000000">
              <w:rPr>
                <w:rtl w:val="0"/>
              </w:rPr>
            </w:r>
          </w:p>
        </w:tc>
      </w:tr>
      <w:tr>
        <w:trPr>
          <w:cantSplit w:val="1"/>
          <w:tblHeader w:val="0"/>
        </w:trPr>
        <w:tc>
          <w:tcPr/>
          <w:p w:rsidR="00000000" w:rsidDel="00000000" w:rsidP="00000000" w:rsidRDefault="00000000" w:rsidRPr="00000000" w14:paraId="0000008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`MisionEspacial`</w:t>
            </w:r>
            <w:r w:rsidDel="00000000" w:rsidR="00000000" w:rsidRPr="00000000">
              <w:rPr>
                <w:rtl w:val="0"/>
              </w:rPr>
            </w:r>
          </w:p>
        </w:tc>
        <w:tc>
          <w:tcPr/>
          <w:p w:rsidR="00000000" w:rsidDel="00000000" w:rsidP="00000000" w:rsidRDefault="00000000" w:rsidRPr="00000000" w14:paraId="0000008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Proyecto satelital en fase conceptual o preliminar (e.g. USAT-1, Atenea). Agrupa el perfil de misión, el tipo de órbita (LEO, SSO), las restricciones geométricas, las fuentes documentales del cuaderno y la totalidad de subsistemas.</w:t>
            </w:r>
            <w:r w:rsidDel="00000000" w:rsidR="00000000" w:rsidRPr="00000000">
              <w:rPr>
                <w:rtl w:val="0"/>
              </w:rPr>
            </w:r>
          </w:p>
        </w:tc>
        <w:tc>
          <w:tcPr/>
          <w:p w:rsidR="00000000" w:rsidDel="00000000" w:rsidP="00000000" w:rsidRDefault="00000000" w:rsidRPr="00000000" w14:paraId="0000008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Capítulo I (Sec. I.3.1 · Problemática en el CTA-UNLP); Entrevista Sonia Botta (14/09/2026)</w:t>
            </w:r>
            <w:r w:rsidDel="00000000" w:rsidR="00000000" w:rsidRPr="00000000">
              <w:rPr>
                <w:rtl w:val="0"/>
              </w:rPr>
            </w:r>
          </w:p>
        </w:tc>
        <w:tc>
          <w:tcPr/>
          <w:p w:rsidR="00000000" w:rsidDel="00000000" w:rsidP="00000000" w:rsidRDefault="00000000" w:rsidRPr="00000000" w14:paraId="0000008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Define 1..</w:t>
            </w:r>
            <w:r w:rsidDel="00000000" w:rsidR="00000000" w:rsidRPr="00000000">
              <w:rPr>
                <w:rFonts w:ascii="Times New Roman" w:cs="Times New Roman" w:eastAsia="Times New Roman" w:hAnsi="Times New Roman"/>
                <w:b w:val="0"/>
                <w:bCs w:val="0"/>
                <w:i w:val="1"/>
                <w:iCs w:val="1"/>
                <w:color w:val="0f172a"/>
                <w:sz w:val="18"/>
                <w:szCs w:val="18"/>
                <w:rtl w:val="0"/>
              </w:rPr>
              <w:t xml:space="preserve"> `RequisitoIngenieria`; gestiona 1..</w:t>
            </w:r>
            <w:r w:rsidDel="00000000" w:rsidR="00000000" w:rsidRPr="00000000">
              <w:rPr>
                <w:rFonts w:ascii="Times New Roman" w:cs="Times New Roman" w:eastAsia="Times New Roman" w:hAnsi="Times New Roman"/>
                <w:b w:val="0"/>
                <w:bCs w:val="0"/>
                <w:i w:val="0"/>
                <w:iCs w:val="0"/>
                <w:color w:val="0f172a"/>
                <w:sz w:val="18"/>
                <w:szCs w:val="18"/>
                <w:rtl w:val="0"/>
              </w:rPr>
              <w:t xml:space="preserve"> </w:t>
            </w:r>
            <w:r w:rsidDel="00000000" w:rsidR="00000000" w:rsidRPr="00000000">
              <w:rPr>
                <w:rFonts w:ascii="Consolas" w:cs="Consolas" w:eastAsia="Consolas" w:hAnsi="Consolas"/>
                <w:b w:val="0"/>
                <w:bCs w:val="0"/>
                <w:i w:val="0"/>
                <w:iCs w:val="0"/>
                <w:color w:val="334155"/>
                <w:sz w:val="15"/>
                <w:szCs w:val="15"/>
                <w:rtl w:val="0"/>
              </w:rPr>
              <w:t xml:space="preserve">DocumentoICD</w:t>
            </w:r>
            <w:r w:rsidDel="00000000" w:rsidR="00000000" w:rsidRPr="00000000">
              <w:rPr>
                <w:rFonts w:ascii="Times New Roman" w:cs="Times New Roman" w:eastAsia="Times New Roman" w:hAnsi="Times New Roman"/>
                <w:b w:val="0"/>
                <w:bCs w:val="0"/>
                <w:i w:val="0"/>
                <w:iCs w:val="0"/>
                <w:color w:val="0f172a"/>
                <w:sz w:val="18"/>
                <w:szCs w:val="18"/>
                <w:rtl w:val="0"/>
              </w:rPr>
              <w:t xml:space="preserve">; evalúa 1..</w:t>
            </w:r>
            <w:r w:rsidDel="00000000" w:rsidR="00000000" w:rsidRPr="00000000">
              <w:rPr>
                <w:rFonts w:ascii="Times New Roman" w:cs="Times New Roman" w:eastAsia="Times New Roman" w:hAnsi="Times New Roman"/>
                <w:b w:val="0"/>
                <w:bCs w:val="0"/>
                <w:i w:val="1"/>
                <w:iCs w:val="1"/>
                <w:color w:val="0f172a"/>
                <w:sz w:val="18"/>
                <w:szCs w:val="18"/>
                <w:rtl w:val="0"/>
              </w:rPr>
              <w:t xml:space="preserve"> `BalancePotenciaEPS`; involucra 1..</w:t>
            </w:r>
            <w:r w:rsidDel="00000000" w:rsidR="00000000" w:rsidRPr="00000000">
              <w:rPr>
                <w:rFonts w:ascii="Times New Roman" w:cs="Times New Roman" w:eastAsia="Times New Roman" w:hAnsi="Times New Roman"/>
                <w:b w:val="0"/>
                <w:bCs w:val="0"/>
                <w:i w:val="0"/>
                <w:iCs w:val="0"/>
                <w:color w:val="0f172a"/>
                <w:sz w:val="18"/>
                <w:szCs w:val="18"/>
                <w:rtl w:val="0"/>
              </w:rPr>
              <w:t xml:space="preserve"> </w:t>
            </w:r>
            <w:r w:rsidDel="00000000" w:rsidR="00000000" w:rsidRPr="00000000">
              <w:rPr>
                <w:rFonts w:ascii="Consolas" w:cs="Consolas" w:eastAsia="Consolas" w:hAnsi="Consolas"/>
                <w:b w:val="0"/>
                <w:bCs w:val="0"/>
                <w:i w:val="0"/>
                <w:iCs w:val="0"/>
                <w:color w:val="334155"/>
                <w:sz w:val="15"/>
                <w:szCs w:val="15"/>
                <w:rtl w:val="0"/>
              </w:rPr>
              <w:t xml:space="preserve">PerfilIngeniero</w:t>
            </w:r>
            <w:r w:rsidDel="00000000" w:rsidR="00000000" w:rsidRPr="00000000">
              <w:rPr>
                <w:rFonts w:ascii="Times New Roman" w:cs="Times New Roman" w:eastAsia="Times New Roman" w:hAnsi="Times New Roman"/>
                <w:b w:val="0"/>
                <w:bCs w:val="0"/>
                <w:i w:val="0"/>
                <w:iCs w:val="0"/>
                <w:color w:val="0f172a"/>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08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`PerfilIngeniero`</w:t>
            </w:r>
            <w:r w:rsidDel="00000000" w:rsidR="00000000" w:rsidRPr="00000000">
              <w:rPr>
                <w:rtl w:val="0"/>
              </w:rPr>
            </w:r>
          </w:p>
        </w:tc>
        <w:tc>
          <w:tcPr/>
          <w:p w:rsidR="00000000" w:rsidDel="00000000" w:rsidP="00000000" w:rsidRDefault="00000000" w:rsidRPr="00000000" w14:paraId="0000008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Especialista técnico u operador humano (e.g. Ingeniero de Sistemas, Especialista EPS, Coordinador) que interactúa con el sistema, con rol formal, nivel de permisos asignados en el proyecto e historial psicométrico.</w:t>
            </w:r>
            <w:r w:rsidDel="00000000" w:rsidR="00000000" w:rsidRPr="00000000">
              <w:rPr>
                <w:rtl w:val="0"/>
              </w:rPr>
            </w:r>
          </w:p>
        </w:tc>
        <w:tc>
          <w:tcPr/>
          <w:p w:rsidR="00000000" w:rsidDel="00000000" w:rsidP="00000000" w:rsidRDefault="00000000" w:rsidRPr="00000000" w14:paraId="0000008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Capítulo I (Sec. I.3.1 · Rotación de 10 a 60 becarios); Entrevista Sonia Botta (14/09/2026, Min 01:05:28)</w:t>
            </w:r>
            <w:r w:rsidDel="00000000" w:rsidR="00000000" w:rsidRPr="00000000">
              <w:rPr>
                <w:rtl w:val="0"/>
              </w:rPr>
            </w:r>
          </w:p>
        </w:tc>
        <w:tc>
          <w:tcPr/>
          <w:p w:rsidR="00000000" w:rsidDel="00000000" w:rsidP="00000000" w:rsidRDefault="00000000" w:rsidRPr="00000000" w14:paraId="0000008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Colabora en 1..</w:t>
            </w:r>
            <w:r w:rsidDel="00000000" w:rsidR="00000000" w:rsidRPr="00000000">
              <w:rPr>
                <w:rFonts w:ascii="Times New Roman" w:cs="Times New Roman" w:eastAsia="Times New Roman" w:hAnsi="Times New Roman"/>
                <w:b w:val="0"/>
                <w:bCs w:val="0"/>
                <w:i w:val="1"/>
                <w:iCs w:val="1"/>
                <w:color w:val="0f172a"/>
                <w:sz w:val="18"/>
                <w:szCs w:val="18"/>
                <w:rtl w:val="0"/>
              </w:rPr>
              <w:t xml:space="preserve"> `MisionEspacial`; autoriza 1..</w:t>
            </w:r>
            <w:r w:rsidDel="00000000" w:rsidR="00000000" w:rsidRPr="00000000">
              <w:rPr>
                <w:rFonts w:ascii="Times New Roman" w:cs="Times New Roman" w:eastAsia="Times New Roman" w:hAnsi="Times New Roman"/>
                <w:b w:val="0"/>
                <w:bCs w:val="0"/>
                <w:i w:val="0"/>
                <w:iCs w:val="0"/>
                <w:color w:val="0f172a"/>
                <w:sz w:val="18"/>
                <w:szCs w:val="18"/>
                <w:rtl w:val="0"/>
              </w:rPr>
              <w:t xml:space="preserve"> </w:t>
            </w:r>
            <w:r w:rsidDel="00000000" w:rsidR="00000000" w:rsidRPr="00000000">
              <w:rPr>
                <w:rFonts w:ascii="Consolas" w:cs="Consolas" w:eastAsia="Consolas" w:hAnsi="Consolas"/>
                <w:b w:val="0"/>
                <w:bCs w:val="0"/>
                <w:i w:val="0"/>
                <w:iCs w:val="0"/>
                <w:color w:val="334155"/>
                <w:sz w:val="15"/>
                <w:szCs w:val="15"/>
                <w:rtl w:val="0"/>
              </w:rPr>
              <w:t xml:space="preserve">DecisionLog</w:t>
            </w:r>
            <w:r w:rsidDel="00000000" w:rsidR="00000000" w:rsidRPr="00000000">
              <w:rPr>
                <w:rFonts w:ascii="Times New Roman" w:cs="Times New Roman" w:eastAsia="Times New Roman" w:hAnsi="Times New Roman"/>
                <w:b w:val="0"/>
                <w:bCs w:val="0"/>
                <w:i w:val="0"/>
                <w:iCs w:val="0"/>
                <w:color w:val="0f172a"/>
                <w:sz w:val="18"/>
                <w:szCs w:val="18"/>
                <w:rtl w:val="0"/>
              </w:rPr>
              <w:t xml:space="preserve">; protagoniza 0..* </w:t>
            </w:r>
            <w:r w:rsidDel="00000000" w:rsidR="00000000" w:rsidRPr="00000000">
              <w:rPr>
                <w:rFonts w:ascii="Consolas" w:cs="Consolas" w:eastAsia="Consolas" w:hAnsi="Consolas"/>
                <w:b w:val="0"/>
                <w:bCs w:val="0"/>
                <w:i w:val="0"/>
                <w:iCs w:val="0"/>
                <w:color w:val="334155"/>
                <w:sz w:val="15"/>
                <w:szCs w:val="15"/>
                <w:rtl w:val="0"/>
              </w:rPr>
              <w:t xml:space="preserve">SesionCargaCognitiva</w:t>
            </w:r>
            <w:r w:rsidDel="00000000" w:rsidR="00000000" w:rsidRPr="00000000">
              <w:rPr>
                <w:rFonts w:ascii="Times New Roman" w:cs="Times New Roman" w:eastAsia="Times New Roman" w:hAnsi="Times New Roman"/>
                <w:b w:val="0"/>
                <w:bCs w:val="0"/>
                <w:i w:val="0"/>
                <w:iCs w:val="0"/>
                <w:color w:val="0f172a"/>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08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`RequisitoIngenieria`</w:t>
            </w:r>
            <w:r w:rsidDel="00000000" w:rsidR="00000000" w:rsidRPr="00000000">
              <w:rPr>
                <w:rtl w:val="0"/>
              </w:rPr>
            </w:r>
          </w:p>
        </w:tc>
        <w:tc>
          <w:tcPr/>
          <w:p w:rsidR="00000000" w:rsidDel="00000000" w:rsidP="00000000" w:rsidRDefault="00000000" w:rsidRPr="00000000" w14:paraId="0000009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Declaración verificable de capacidad, rendimiento, seguridad o interfaz que el diseño satelital debe satisfacer conforme a los objetivos de la misión o estándares sectoriales.</w:t>
            </w:r>
            <w:r w:rsidDel="00000000" w:rsidR="00000000" w:rsidRPr="00000000">
              <w:rPr>
                <w:rtl w:val="0"/>
              </w:rPr>
            </w:r>
          </w:p>
        </w:tc>
        <w:tc>
          <w:tcPr/>
          <w:p w:rsidR="00000000" w:rsidDel="00000000" w:rsidP="00000000" w:rsidRDefault="00000000" w:rsidRPr="00000000" w14:paraId="0000009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Capítulo I (Sec. I.6 · Descripción detallada del SI); NASA Systems Engineering Handbook</w:t>
            </w:r>
            <w:r w:rsidDel="00000000" w:rsidR="00000000" w:rsidRPr="00000000">
              <w:rPr>
                <w:rtl w:val="0"/>
              </w:rPr>
            </w:r>
          </w:p>
        </w:tc>
        <w:tc>
          <w:tcPr/>
          <w:p w:rsidR="00000000" w:rsidDel="00000000" w:rsidP="00000000" w:rsidRDefault="00000000" w:rsidRPr="00000000" w14:paraId="0000009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Pertenece a 1 </w:t>
            </w:r>
            <w:r w:rsidDel="00000000" w:rsidR="00000000" w:rsidRPr="00000000">
              <w:rPr>
                <w:rFonts w:ascii="Consolas" w:cs="Consolas" w:eastAsia="Consolas" w:hAnsi="Consolas"/>
                <w:b w:val="0"/>
                <w:bCs w:val="0"/>
                <w:i w:val="0"/>
                <w:iCs w:val="0"/>
                <w:color w:val="334155"/>
                <w:sz w:val="15"/>
                <w:szCs w:val="15"/>
                <w:rtl w:val="0"/>
              </w:rPr>
              <w:t xml:space="preserve">MisionEspacial</w:t>
            </w:r>
            <w:r w:rsidDel="00000000" w:rsidR="00000000" w:rsidRPr="00000000">
              <w:rPr>
                <w:rFonts w:ascii="Times New Roman" w:cs="Times New Roman" w:eastAsia="Times New Roman" w:hAnsi="Times New Roman"/>
                <w:b w:val="0"/>
                <w:bCs w:val="0"/>
                <w:i w:val="0"/>
                <w:iCs w:val="0"/>
                <w:color w:val="0f172a"/>
                <w:sz w:val="18"/>
                <w:szCs w:val="18"/>
                <w:rtl w:val="0"/>
              </w:rPr>
              <w:t xml:space="preserve">; restringe 0..</w:t>
            </w:r>
            <w:r w:rsidDel="00000000" w:rsidR="00000000" w:rsidRPr="00000000">
              <w:rPr>
                <w:rFonts w:ascii="Times New Roman" w:cs="Times New Roman" w:eastAsia="Times New Roman" w:hAnsi="Times New Roman"/>
                <w:b w:val="0"/>
                <w:bCs w:val="0"/>
                <w:i w:val="1"/>
                <w:iCs w:val="1"/>
                <w:color w:val="0f172a"/>
                <w:sz w:val="18"/>
                <w:szCs w:val="18"/>
                <w:rtl w:val="0"/>
              </w:rPr>
              <w:t xml:space="preserve"> `ParametroDiseno`; es satisfecho por 1..</w:t>
            </w:r>
            <w:r w:rsidDel="00000000" w:rsidR="00000000" w:rsidRPr="00000000">
              <w:rPr>
                <w:rFonts w:ascii="Times New Roman" w:cs="Times New Roman" w:eastAsia="Times New Roman" w:hAnsi="Times New Roman"/>
                <w:b w:val="0"/>
                <w:bCs w:val="0"/>
                <w:i w:val="0"/>
                <w:iCs w:val="0"/>
                <w:color w:val="0f172a"/>
                <w:sz w:val="18"/>
                <w:szCs w:val="18"/>
                <w:rtl w:val="0"/>
              </w:rPr>
              <w:t xml:space="preserve"> </w:t>
            </w:r>
            <w:r w:rsidDel="00000000" w:rsidR="00000000" w:rsidRPr="00000000">
              <w:rPr>
                <w:rFonts w:ascii="Consolas" w:cs="Consolas" w:eastAsia="Consolas" w:hAnsi="Consolas"/>
                <w:b w:val="0"/>
                <w:bCs w:val="0"/>
                <w:i w:val="0"/>
                <w:iCs w:val="0"/>
                <w:color w:val="334155"/>
                <w:sz w:val="15"/>
                <w:szCs w:val="15"/>
                <w:rtl w:val="0"/>
              </w:rPr>
              <w:t xml:space="preserve">DecisionLog</w:t>
            </w:r>
            <w:r w:rsidDel="00000000" w:rsidR="00000000" w:rsidRPr="00000000">
              <w:rPr>
                <w:rFonts w:ascii="Times New Roman" w:cs="Times New Roman" w:eastAsia="Times New Roman" w:hAnsi="Times New Roman"/>
                <w:b w:val="0"/>
                <w:bCs w:val="0"/>
                <w:i w:val="0"/>
                <w:iCs w:val="0"/>
                <w:color w:val="0f172a"/>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09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`DocumentoICD`</w:t>
            </w:r>
            <w:r w:rsidDel="00000000" w:rsidR="00000000" w:rsidRPr="00000000">
              <w:rPr>
                <w:rtl w:val="0"/>
              </w:rPr>
            </w:r>
          </w:p>
        </w:tc>
        <w:tc>
          <w:tcPr/>
          <w:p w:rsidR="00000000" w:rsidDel="00000000" w:rsidP="00000000" w:rsidRDefault="00000000" w:rsidRPr="00000000" w14:paraId="00000094">
            <w:pPr>
              <w:spacing w:after="20" w:before="20" w:line="252.00000000000003" w:lineRule="auto"/>
              <w:rPr/>
            </w:pPr>
            <w:r w:rsidDel="00000000" w:rsidR="00000000" w:rsidRPr="00000000">
              <w:rPr>
                <w:rFonts w:ascii="Times New Roman" w:cs="Times New Roman" w:eastAsia="Times New Roman" w:hAnsi="Times New Roman"/>
                <w:b w:val="0"/>
                <w:bCs w:val="0"/>
                <w:i w:val="1"/>
                <w:iCs w:val="1"/>
                <w:color w:val="0f172a"/>
                <w:sz w:val="18"/>
                <w:szCs w:val="18"/>
                <w:rtl w:val="0"/>
              </w:rPr>
              <w:t xml:space="preserve">Interface Control Document</w:t>
            </w:r>
            <w:r w:rsidDel="00000000" w:rsidR="00000000" w:rsidRPr="00000000">
              <w:rPr>
                <w:rFonts w:ascii="Times New Roman" w:cs="Times New Roman" w:eastAsia="Times New Roman" w:hAnsi="Times New Roman"/>
                <w:b w:val="0"/>
                <w:bCs w:val="0"/>
                <w:i w:val="0"/>
                <w:iCs w:val="0"/>
                <w:color w:val="0f172a"/>
                <w:sz w:val="18"/>
                <w:szCs w:val="18"/>
                <w:rtl w:val="0"/>
              </w:rPr>
              <w:t xml:space="preserve"> o fuente documental de conocimiento (hojas COTS, especificaciones de catálogo). Artefacto formalizado que especifica los límites físicos, mecánicos, eléctricos y térmicos entre dos subsistemas o componentes COTS.</w:t>
            </w:r>
            <w:r w:rsidDel="00000000" w:rsidR="00000000" w:rsidRPr="00000000">
              <w:rPr>
                <w:rtl w:val="0"/>
              </w:rPr>
            </w:r>
          </w:p>
        </w:tc>
        <w:tc>
          <w:tcPr/>
          <w:p w:rsidR="00000000" w:rsidDel="00000000" w:rsidP="00000000" w:rsidRDefault="00000000" w:rsidRPr="00000000" w14:paraId="0000009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Capítulo I (Sec. I.3.1 · Problemática en el CTA-UNLP); Relevamiento CTA-UNLP</w:t>
            </w:r>
            <w:r w:rsidDel="00000000" w:rsidR="00000000" w:rsidRPr="00000000">
              <w:rPr>
                <w:rtl w:val="0"/>
              </w:rPr>
            </w:r>
          </w:p>
        </w:tc>
        <w:tc>
          <w:tcPr/>
          <w:p w:rsidR="00000000" w:rsidDel="00000000" w:rsidP="00000000" w:rsidRDefault="00000000" w:rsidRPr="00000000" w14:paraId="0000009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Pertenece a 1 </w:t>
            </w:r>
            <w:r w:rsidDel="00000000" w:rsidR="00000000" w:rsidRPr="00000000">
              <w:rPr>
                <w:rFonts w:ascii="Consolas" w:cs="Consolas" w:eastAsia="Consolas" w:hAnsi="Consolas"/>
                <w:b w:val="0"/>
                <w:bCs w:val="0"/>
                <w:i w:val="0"/>
                <w:iCs w:val="0"/>
                <w:color w:val="334155"/>
                <w:sz w:val="15"/>
                <w:szCs w:val="15"/>
                <w:rtl w:val="0"/>
              </w:rPr>
              <w:t xml:space="preserve">MisionEspacial</w:t>
            </w:r>
            <w:r w:rsidDel="00000000" w:rsidR="00000000" w:rsidRPr="00000000">
              <w:rPr>
                <w:rFonts w:ascii="Times New Roman" w:cs="Times New Roman" w:eastAsia="Times New Roman" w:hAnsi="Times New Roman"/>
                <w:b w:val="0"/>
                <w:bCs w:val="0"/>
                <w:i w:val="0"/>
                <w:iCs w:val="0"/>
                <w:color w:val="0f172a"/>
                <w:sz w:val="18"/>
                <w:szCs w:val="18"/>
                <w:rtl w:val="0"/>
              </w:rPr>
              <w:t xml:space="preserve">; especifica 1..* </w:t>
            </w:r>
            <w:r w:rsidDel="00000000" w:rsidR="00000000" w:rsidRPr="00000000">
              <w:rPr>
                <w:rFonts w:ascii="Consolas" w:cs="Consolas" w:eastAsia="Consolas" w:hAnsi="Consolas"/>
                <w:b w:val="0"/>
                <w:bCs w:val="0"/>
                <w:i w:val="0"/>
                <w:iCs w:val="0"/>
                <w:color w:val="334155"/>
                <w:sz w:val="15"/>
                <w:szCs w:val="15"/>
                <w:rtl w:val="0"/>
              </w:rPr>
              <w:t xml:space="preserve">ParametroDiseno</w:t>
            </w:r>
            <w:r w:rsidDel="00000000" w:rsidR="00000000" w:rsidRPr="00000000">
              <w:rPr>
                <w:rFonts w:ascii="Times New Roman" w:cs="Times New Roman" w:eastAsia="Times New Roman" w:hAnsi="Times New Roman"/>
                <w:b w:val="0"/>
                <w:bCs w:val="0"/>
                <w:i w:val="0"/>
                <w:iCs w:val="0"/>
                <w:color w:val="0f172a"/>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09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`ParametroDiseno`</w:t>
            </w:r>
            <w:r w:rsidDel="00000000" w:rsidR="00000000" w:rsidRPr="00000000">
              <w:rPr>
                <w:rtl w:val="0"/>
              </w:rPr>
            </w:r>
          </w:p>
        </w:tc>
        <w:tc>
          <w:tcPr/>
          <w:p w:rsidR="00000000" w:rsidDel="00000000" w:rsidP="00000000" w:rsidRDefault="00000000" w:rsidRPr="00000000" w14:paraId="0000009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Variable cuantitativa o cualitativa de ingeniería con magnitud, unidad de medida, tolerancia y procedencia declarada (e.g. masa de batería, tensión de barra, área útil de celdas).</w:t>
            </w:r>
            <w:r w:rsidDel="00000000" w:rsidR="00000000" w:rsidRPr="00000000">
              <w:rPr>
                <w:rtl w:val="0"/>
              </w:rPr>
            </w:r>
          </w:p>
        </w:tc>
        <w:tc>
          <w:tcPr/>
          <w:p w:rsidR="00000000" w:rsidDel="00000000" w:rsidP="00000000" w:rsidRDefault="00000000" w:rsidRPr="00000000" w14:paraId="0000009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Capítulo I (Sec. I.3.1 · Problemática y "Números Tácitos"); New SMAD</w:t>
            </w:r>
            <w:r w:rsidDel="00000000" w:rsidR="00000000" w:rsidRPr="00000000">
              <w:rPr>
                <w:rtl w:val="0"/>
              </w:rPr>
            </w:r>
          </w:p>
        </w:tc>
        <w:tc>
          <w:tcPr/>
          <w:p w:rsidR="00000000" w:rsidDel="00000000" w:rsidP="00000000" w:rsidRDefault="00000000" w:rsidRPr="00000000" w14:paraId="0000009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Es especificado por 1..</w:t>
            </w:r>
            <w:r w:rsidDel="00000000" w:rsidR="00000000" w:rsidRPr="00000000">
              <w:rPr>
                <w:rFonts w:ascii="Times New Roman" w:cs="Times New Roman" w:eastAsia="Times New Roman" w:hAnsi="Times New Roman"/>
                <w:b w:val="0"/>
                <w:bCs w:val="0"/>
                <w:i w:val="1"/>
                <w:iCs w:val="1"/>
                <w:color w:val="0f172a"/>
                <w:sz w:val="18"/>
                <w:szCs w:val="18"/>
                <w:rtl w:val="0"/>
              </w:rPr>
              <w:t xml:space="preserve"> `DocumentoICD`; restringido por 0..</w:t>
            </w:r>
            <w:r w:rsidDel="00000000" w:rsidR="00000000" w:rsidRPr="00000000">
              <w:rPr>
                <w:rFonts w:ascii="Times New Roman" w:cs="Times New Roman" w:eastAsia="Times New Roman" w:hAnsi="Times New Roman"/>
                <w:b w:val="0"/>
                <w:bCs w:val="0"/>
                <w:i w:val="0"/>
                <w:iCs w:val="0"/>
                <w:color w:val="0f172a"/>
                <w:sz w:val="18"/>
                <w:szCs w:val="18"/>
                <w:rtl w:val="0"/>
              </w:rPr>
              <w:t xml:space="preserve"> </w:t>
            </w:r>
            <w:r w:rsidDel="00000000" w:rsidR="00000000" w:rsidRPr="00000000">
              <w:rPr>
                <w:rFonts w:ascii="Consolas" w:cs="Consolas" w:eastAsia="Consolas" w:hAnsi="Consolas"/>
                <w:b w:val="0"/>
                <w:bCs w:val="0"/>
                <w:i w:val="0"/>
                <w:iCs w:val="0"/>
                <w:color w:val="334155"/>
                <w:sz w:val="15"/>
                <w:szCs w:val="15"/>
                <w:rtl w:val="0"/>
              </w:rPr>
              <w:t xml:space="preserve">RequisitoIngenieria</w:t>
            </w:r>
            <w:r w:rsidDel="00000000" w:rsidR="00000000" w:rsidRPr="00000000">
              <w:rPr>
                <w:rFonts w:ascii="Times New Roman" w:cs="Times New Roman" w:eastAsia="Times New Roman" w:hAnsi="Times New Roman"/>
                <w:b w:val="0"/>
                <w:bCs w:val="0"/>
                <w:i w:val="0"/>
                <w:iCs w:val="0"/>
                <w:color w:val="0f172a"/>
                <w:sz w:val="18"/>
                <w:szCs w:val="18"/>
                <w:rtl w:val="0"/>
              </w:rPr>
              <w:t xml:space="preserve">; computado por 1..* </w:t>
            </w:r>
            <w:r w:rsidDel="00000000" w:rsidR="00000000" w:rsidRPr="00000000">
              <w:rPr>
                <w:rFonts w:ascii="Consolas" w:cs="Consolas" w:eastAsia="Consolas" w:hAnsi="Consolas"/>
                <w:b w:val="0"/>
                <w:bCs w:val="0"/>
                <w:i w:val="0"/>
                <w:iCs w:val="0"/>
                <w:color w:val="334155"/>
                <w:sz w:val="15"/>
                <w:szCs w:val="15"/>
                <w:rtl w:val="0"/>
              </w:rPr>
              <w:t xml:space="preserve">BalancePotenciaEPS</w:t>
            </w:r>
            <w:r w:rsidDel="00000000" w:rsidR="00000000" w:rsidRPr="00000000">
              <w:rPr>
                <w:rFonts w:ascii="Times New Roman" w:cs="Times New Roman" w:eastAsia="Times New Roman" w:hAnsi="Times New Roman"/>
                <w:b w:val="0"/>
                <w:bCs w:val="0"/>
                <w:i w:val="0"/>
                <w:iCs w:val="0"/>
                <w:color w:val="0f172a"/>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09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`BalancePotenciaEPS`</w:t>
            </w:r>
            <w:r w:rsidDel="00000000" w:rsidR="00000000" w:rsidRPr="00000000">
              <w:rPr>
                <w:rtl w:val="0"/>
              </w:rPr>
            </w:r>
          </w:p>
        </w:tc>
        <w:tc>
          <w:tcPr/>
          <w:p w:rsidR="00000000" w:rsidDel="00000000" w:rsidP="00000000" w:rsidRDefault="00000000" w:rsidRPr="00000000" w14:paraId="0000009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Evaluación energética orbital que modela analíticamente la generación fotovoltaica en sol, el consumo por modo operativo y el régimen de descarga en eclipse (P_sun, P_ecl, DoD, EOL).</w:t>
            </w:r>
            <w:r w:rsidDel="00000000" w:rsidR="00000000" w:rsidRPr="00000000">
              <w:rPr>
                <w:rtl w:val="0"/>
              </w:rPr>
            </w:r>
          </w:p>
        </w:tc>
        <w:tc>
          <w:tcPr/>
          <w:p w:rsidR="00000000" w:rsidDel="00000000" w:rsidP="00000000" w:rsidRDefault="00000000" w:rsidRPr="00000000" w14:paraId="0000009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Capítulo I (Sec. I.6 · Módulo EPS); ECSS-E-ST-20C Rev. 1</w:t>
            </w:r>
            <w:r w:rsidDel="00000000" w:rsidR="00000000" w:rsidRPr="00000000">
              <w:rPr>
                <w:rtl w:val="0"/>
              </w:rPr>
            </w:r>
          </w:p>
        </w:tc>
        <w:tc>
          <w:tcPr/>
          <w:p w:rsidR="00000000" w:rsidDel="00000000" w:rsidP="00000000" w:rsidRDefault="00000000" w:rsidRPr="00000000" w14:paraId="0000009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Evalúa 1 </w:t>
            </w:r>
            <w:r w:rsidDel="00000000" w:rsidR="00000000" w:rsidRPr="00000000">
              <w:rPr>
                <w:rFonts w:ascii="Consolas" w:cs="Consolas" w:eastAsia="Consolas" w:hAnsi="Consolas"/>
                <w:b w:val="0"/>
                <w:bCs w:val="0"/>
                <w:i w:val="0"/>
                <w:iCs w:val="0"/>
                <w:color w:val="334155"/>
                <w:sz w:val="15"/>
                <w:szCs w:val="15"/>
                <w:rtl w:val="0"/>
              </w:rPr>
              <w:t xml:space="preserve">MisionEspacial</w:t>
            </w:r>
            <w:r w:rsidDel="00000000" w:rsidR="00000000" w:rsidRPr="00000000">
              <w:rPr>
                <w:rFonts w:ascii="Times New Roman" w:cs="Times New Roman" w:eastAsia="Times New Roman" w:hAnsi="Times New Roman"/>
                <w:b w:val="0"/>
                <w:bCs w:val="0"/>
                <w:i w:val="0"/>
                <w:iCs w:val="0"/>
                <w:color w:val="0f172a"/>
                <w:sz w:val="18"/>
                <w:szCs w:val="18"/>
                <w:rtl w:val="0"/>
              </w:rPr>
              <w:t xml:space="preserve">; computa 1..* </w:t>
            </w:r>
            <w:r w:rsidDel="00000000" w:rsidR="00000000" w:rsidRPr="00000000">
              <w:rPr>
                <w:rFonts w:ascii="Consolas" w:cs="Consolas" w:eastAsia="Consolas" w:hAnsi="Consolas"/>
                <w:b w:val="0"/>
                <w:bCs w:val="0"/>
                <w:i w:val="0"/>
                <w:iCs w:val="0"/>
                <w:color w:val="334155"/>
                <w:sz w:val="15"/>
                <w:szCs w:val="15"/>
                <w:rtl w:val="0"/>
              </w:rPr>
              <w:t xml:space="preserve">ParametroDiseno</w:t>
            </w:r>
            <w:r w:rsidDel="00000000" w:rsidR="00000000" w:rsidRPr="00000000">
              <w:rPr>
                <w:rFonts w:ascii="Times New Roman" w:cs="Times New Roman" w:eastAsia="Times New Roman" w:hAnsi="Times New Roman"/>
                <w:b w:val="0"/>
                <w:bCs w:val="0"/>
                <w:i w:val="0"/>
                <w:iCs w:val="0"/>
                <w:color w:val="0f172a"/>
                <w:sz w:val="18"/>
                <w:szCs w:val="18"/>
                <w:rtl w:val="0"/>
              </w:rPr>
              <w:t xml:space="preserve">; fundamenta 1 </w:t>
            </w:r>
            <w:r w:rsidDel="00000000" w:rsidR="00000000" w:rsidRPr="00000000">
              <w:rPr>
                <w:rFonts w:ascii="Consolas" w:cs="Consolas" w:eastAsia="Consolas" w:hAnsi="Consolas"/>
                <w:b w:val="0"/>
                <w:bCs w:val="0"/>
                <w:i w:val="0"/>
                <w:iCs w:val="0"/>
                <w:color w:val="334155"/>
                <w:sz w:val="15"/>
                <w:szCs w:val="15"/>
                <w:rtl w:val="0"/>
              </w:rPr>
              <w:t xml:space="preserve">DecisionLog</w:t>
            </w:r>
            <w:r w:rsidDel="00000000" w:rsidR="00000000" w:rsidRPr="00000000">
              <w:rPr>
                <w:rFonts w:ascii="Times New Roman" w:cs="Times New Roman" w:eastAsia="Times New Roman" w:hAnsi="Times New Roman"/>
                <w:b w:val="0"/>
                <w:bCs w:val="0"/>
                <w:i w:val="0"/>
                <w:iCs w:val="0"/>
                <w:color w:val="0f172a"/>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09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`DecisionLog`</w:t>
            </w:r>
            <w:r w:rsidDel="00000000" w:rsidR="00000000" w:rsidRPr="00000000">
              <w:rPr>
                <w:rtl w:val="0"/>
              </w:rPr>
            </w:r>
          </w:p>
        </w:tc>
        <w:tc>
          <w:tcPr/>
          <w:p w:rsidR="00000000" w:rsidDel="00000000" w:rsidP="00000000" w:rsidRDefault="00000000" w:rsidRPr="00000000" w14:paraId="000000A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Registro histórico inmutable que preserva la justificación técnica de una elección de diseño, declarando autor responsable (</w:t>
            </w:r>
            <w:r w:rsidDel="00000000" w:rsidR="00000000" w:rsidRPr="00000000">
              <w:rPr>
                <w:rFonts w:ascii="Consolas" w:cs="Consolas" w:eastAsia="Consolas" w:hAnsi="Consolas"/>
                <w:b w:val="0"/>
                <w:bCs w:val="0"/>
                <w:i w:val="0"/>
                <w:iCs w:val="0"/>
                <w:color w:val="334155"/>
                <w:sz w:val="15"/>
                <w:szCs w:val="15"/>
                <w:rtl w:val="0"/>
              </w:rPr>
              <w:t xml:space="preserve">PerfilIngeniero</w:t>
            </w:r>
            <w:r w:rsidDel="00000000" w:rsidR="00000000" w:rsidRPr="00000000">
              <w:rPr>
                <w:rFonts w:ascii="Times New Roman" w:cs="Times New Roman" w:eastAsia="Times New Roman" w:hAnsi="Times New Roman"/>
                <w:b w:val="0"/>
                <w:bCs w:val="0"/>
                <w:i w:val="0"/>
                <w:iCs w:val="0"/>
                <w:color w:val="0f172a"/>
                <w:sz w:val="18"/>
                <w:szCs w:val="18"/>
                <w:rtl w:val="0"/>
              </w:rPr>
              <w:t xml:space="preserve">), alternativas descartadas, supuestos asumidos y fuentes de soporte.</w:t>
            </w:r>
            <w:r w:rsidDel="00000000" w:rsidR="00000000" w:rsidRPr="00000000">
              <w:rPr>
                <w:rtl w:val="0"/>
              </w:rPr>
            </w:r>
          </w:p>
        </w:tc>
        <w:tc>
          <w:tcPr/>
          <w:p w:rsidR="00000000" w:rsidDel="00000000" w:rsidP="00000000" w:rsidRDefault="00000000" w:rsidRPr="00000000" w14:paraId="000000A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Capítulo I (Sec. I.6 · Trazabilidad y Cadena de Evidencia); Yin (2018)</w:t>
            </w:r>
            <w:r w:rsidDel="00000000" w:rsidR="00000000" w:rsidRPr="00000000">
              <w:rPr>
                <w:rtl w:val="0"/>
              </w:rPr>
            </w:r>
          </w:p>
        </w:tc>
        <w:tc>
          <w:tcPr/>
          <w:p w:rsidR="00000000" w:rsidDel="00000000" w:rsidP="00000000" w:rsidRDefault="00000000" w:rsidRPr="00000000" w14:paraId="000000A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Fundamentado por 1 </w:t>
            </w:r>
            <w:r w:rsidDel="00000000" w:rsidR="00000000" w:rsidRPr="00000000">
              <w:rPr>
                <w:rFonts w:ascii="Consolas" w:cs="Consolas" w:eastAsia="Consolas" w:hAnsi="Consolas"/>
                <w:b w:val="0"/>
                <w:bCs w:val="0"/>
                <w:i w:val="0"/>
                <w:iCs w:val="0"/>
                <w:color w:val="334155"/>
                <w:sz w:val="15"/>
                <w:szCs w:val="15"/>
                <w:rtl w:val="0"/>
              </w:rPr>
              <w:t xml:space="preserve">BalancePotenciaEPS</w:t>
            </w:r>
            <w:r w:rsidDel="00000000" w:rsidR="00000000" w:rsidRPr="00000000">
              <w:rPr>
                <w:rFonts w:ascii="Times New Roman" w:cs="Times New Roman" w:eastAsia="Times New Roman" w:hAnsi="Times New Roman"/>
                <w:b w:val="0"/>
                <w:bCs w:val="0"/>
                <w:i w:val="0"/>
                <w:iCs w:val="0"/>
                <w:color w:val="0f172a"/>
                <w:sz w:val="18"/>
                <w:szCs w:val="18"/>
                <w:rtl w:val="0"/>
              </w:rPr>
              <w:t xml:space="preserve">; satisface 1..* </w:t>
            </w:r>
            <w:r w:rsidDel="00000000" w:rsidR="00000000" w:rsidRPr="00000000">
              <w:rPr>
                <w:rFonts w:ascii="Consolas" w:cs="Consolas" w:eastAsia="Consolas" w:hAnsi="Consolas"/>
                <w:b w:val="0"/>
                <w:bCs w:val="0"/>
                <w:i w:val="0"/>
                <w:iCs w:val="0"/>
                <w:color w:val="334155"/>
                <w:sz w:val="15"/>
                <w:szCs w:val="15"/>
                <w:rtl w:val="0"/>
              </w:rPr>
              <w:t xml:space="preserve">RequisitoIngenieria</w:t>
            </w:r>
            <w:r w:rsidDel="00000000" w:rsidR="00000000" w:rsidRPr="00000000">
              <w:rPr>
                <w:rFonts w:ascii="Times New Roman" w:cs="Times New Roman" w:eastAsia="Times New Roman" w:hAnsi="Times New Roman"/>
                <w:b w:val="0"/>
                <w:bCs w:val="0"/>
                <w:i w:val="0"/>
                <w:iCs w:val="0"/>
                <w:color w:val="0f172a"/>
                <w:sz w:val="18"/>
                <w:szCs w:val="18"/>
                <w:rtl w:val="0"/>
              </w:rPr>
              <w:t xml:space="preserve">; autorizado por 1 </w:t>
            </w:r>
            <w:r w:rsidDel="00000000" w:rsidR="00000000" w:rsidRPr="00000000">
              <w:rPr>
                <w:rFonts w:ascii="Consolas" w:cs="Consolas" w:eastAsia="Consolas" w:hAnsi="Consolas"/>
                <w:b w:val="0"/>
                <w:bCs w:val="0"/>
                <w:i w:val="0"/>
                <w:iCs w:val="0"/>
                <w:color w:val="334155"/>
                <w:sz w:val="15"/>
                <w:szCs w:val="15"/>
                <w:rtl w:val="0"/>
              </w:rPr>
              <w:t xml:space="preserve">PerfilIngeniero</w:t>
            </w:r>
            <w:r w:rsidDel="00000000" w:rsidR="00000000" w:rsidRPr="00000000">
              <w:rPr>
                <w:rFonts w:ascii="Times New Roman" w:cs="Times New Roman" w:eastAsia="Times New Roman" w:hAnsi="Times New Roman"/>
                <w:b w:val="0"/>
                <w:bCs w:val="0"/>
                <w:i w:val="0"/>
                <w:iCs w:val="0"/>
                <w:color w:val="0f172a"/>
                <w:sz w:val="18"/>
                <w:szCs w:val="18"/>
                <w:rtl w:val="0"/>
              </w:rPr>
              <w:t xml:space="preserve">; contextualiza 0..1 </w:t>
            </w:r>
            <w:r w:rsidDel="00000000" w:rsidR="00000000" w:rsidRPr="00000000">
              <w:rPr>
                <w:rFonts w:ascii="Consolas" w:cs="Consolas" w:eastAsia="Consolas" w:hAnsi="Consolas"/>
                <w:b w:val="0"/>
                <w:bCs w:val="0"/>
                <w:i w:val="0"/>
                <w:iCs w:val="0"/>
                <w:color w:val="334155"/>
                <w:sz w:val="15"/>
                <w:szCs w:val="15"/>
                <w:rtl w:val="0"/>
              </w:rPr>
              <w:t xml:space="preserve">SesionCargaCognitiva</w:t>
            </w:r>
            <w:r w:rsidDel="00000000" w:rsidR="00000000" w:rsidRPr="00000000">
              <w:rPr>
                <w:rFonts w:ascii="Times New Roman" w:cs="Times New Roman" w:eastAsia="Times New Roman" w:hAnsi="Times New Roman"/>
                <w:b w:val="0"/>
                <w:bCs w:val="0"/>
                <w:i w:val="0"/>
                <w:iCs w:val="0"/>
                <w:color w:val="0f172a"/>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0A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`SesionCargaCognitiva`</w:t>
            </w:r>
            <w:r w:rsidDel="00000000" w:rsidR="00000000" w:rsidRPr="00000000">
              <w:rPr>
                <w:rtl w:val="0"/>
              </w:rPr>
            </w:r>
          </w:p>
        </w:tc>
        <w:tc>
          <w:tcPr/>
          <w:p w:rsidR="00000000" w:rsidDel="00000000" w:rsidP="00000000" w:rsidRDefault="00000000" w:rsidRPr="00000000" w14:paraId="000000A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Registro psicométrico y de interacción del usuario que cuantifica la demanda mental percibida (NASA-TLX), tiempo insumido y cambios de contexto en una tarea de diseño, gobernando la adaptación de la interfaz.</w:t>
            </w:r>
            <w:r w:rsidDel="00000000" w:rsidR="00000000" w:rsidRPr="00000000">
              <w:rPr>
                <w:rtl w:val="0"/>
              </w:rPr>
            </w:r>
          </w:p>
        </w:tc>
        <w:tc>
          <w:tcPr/>
          <w:p w:rsidR="00000000" w:rsidDel="00000000" w:rsidP="00000000" w:rsidRDefault="00000000" w:rsidRPr="00000000" w14:paraId="000000A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Capítulo I (Sec. I.3.3 · Línea de Base Operativa); Hart &amp; Staveland (1988); NTP 544</w:t>
            </w:r>
            <w:r w:rsidDel="00000000" w:rsidR="00000000" w:rsidRPr="00000000">
              <w:rPr>
                <w:rtl w:val="0"/>
              </w:rPr>
            </w:r>
          </w:p>
        </w:tc>
        <w:tc>
          <w:tcPr/>
          <w:p w:rsidR="00000000" w:rsidDel="00000000" w:rsidP="00000000" w:rsidRDefault="00000000" w:rsidRPr="00000000" w14:paraId="000000A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Protagonizada por 1 </w:t>
            </w:r>
            <w:r w:rsidDel="00000000" w:rsidR="00000000" w:rsidRPr="00000000">
              <w:rPr>
                <w:rFonts w:ascii="Consolas" w:cs="Consolas" w:eastAsia="Consolas" w:hAnsi="Consolas"/>
                <w:b w:val="0"/>
                <w:bCs w:val="0"/>
                <w:i w:val="0"/>
                <w:iCs w:val="0"/>
                <w:color w:val="334155"/>
                <w:sz w:val="15"/>
                <w:szCs w:val="15"/>
                <w:rtl w:val="0"/>
              </w:rPr>
              <w:t xml:space="preserve">PerfilIngeniero</w:t>
            </w:r>
            <w:r w:rsidDel="00000000" w:rsidR="00000000" w:rsidRPr="00000000">
              <w:rPr>
                <w:rFonts w:ascii="Times New Roman" w:cs="Times New Roman" w:eastAsia="Times New Roman" w:hAnsi="Times New Roman"/>
                <w:b w:val="0"/>
                <w:bCs w:val="0"/>
                <w:i w:val="0"/>
                <w:iCs w:val="0"/>
                <w:color w:val="0f172a"/>
                <w:sz w:val="18"/>
                <w:szCs w:val="18"/>
                <w:rtl w:val="0"/>
              </w:rPr>
              <w:t xml:space="preserve">; contextualiza 1 </w:t>
            </w:r>
            <w:r w:rsidDel="00000000" w:rsidR="00000000" w:rsidRPr="00000000">
              <w:rPr>
                <w:rFonts w:ascii="Consolas" w:cs="Consolas" w:eastAsia="Consolas" w:hAnsi="Consolas"/>
                <w:b w:val="0"/>
                <w:bCs w:val="0"/>
                <w:i w:val="0"/>
                <w:iCs w:val="0"/>
                <w:color w:val="334155"/>
                <w:sz w:val="15"/>
                <w:szCs w:val="15"/>
                <w:rtl w:val="0"/>
              </w:rPr>
              <w:t xml:space="preserve">DecisionLog</w:t>
            </w:r>
            <w:r w:rsidDel="00000000" w:rsidR="00000000" w:rsidRPr="00000000">
              <w:rPr>
                <w:rFonts w:ascii="Times New Roman" w:cs="Times New Roman" w:eastAsia="Times New Roman" w:hAnsi="Times New Roman"/>
                <w:b w:val="0"/>
                <w:bCs w:val="0"/>
                <w:i w:val="0"/>
                <w:iCs w:val="0"/>
                <w:color w:val="0f172a"/>
                <w:sz w:val="18"/>
                <w:szCs w:val="18"/>
                <w:rtl w:val="0"/>
              </w:rPr>
              <w:t xml:space="preserve">.</w:t>
            </w:r>
            <w:r w:rsidDel="00000000" w:rsidR="00000000" w:rsidRPr="00000000">
              <w:rPr>
                <w:rtl w:val="0"/>
              </w:rPr>
            </w:r>
          </w:p>
        </w:tc>
      </w:tr>
    </w:tbl>
    <w:p w:rsidR="00000000" w:rsidDel="00000000" w:rsidP="00000000" w:rsidRDefault="00000000" w:rsidRPr="00000000" w14:paraId="000000A7">
      <w:pPr>
        <w:pStyle w:val="Heading2"/>
        <w:rPr/>
      </w:pPr>
      <w:bookmarkStart w:colFirst="0" w:colLast="0" w:name="_5matmd1varm0" w:id="10"/>
      <w:bookmarkEnd w:id="10"/>
      <w:r w:rsidDel="00000000" w:rsidR="00000000" w:rsidRPr="00000000">
        <w:rPr>
          <w:rtl w:val="0"/>
        </w:rPr>
        <w:t xml:space="preserve">Registro de Descartes del Filtro de Sustantivos</w:t>
      </w:r>
    </w:p>
    <w:p w:rsidR="00000000" w:rsidDel="00000000" w:rsidP="00000000" w:rsidRDefault="00000000" w:rsidRPr="00000000" w14:paraId="000000A8">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Durante el proceso de modelado conceptual se sometieron a análisis diversos términos extraídos del relevamiento de campo de los Capítulos I y II. Aquellos sustantivos que no superaron la prueba de control de estado fueron descartados como entidades y reclasificados formalmente</w:t>
      </w:r>
      <w:r w:rsidDel="00000000" w:rsidR="00000000" w:rsidRPr="00000000">
        <w:rPr>
          <w:rtl w:val="0"/>
        </w:rPr>
        <w:t xml:space="preserve">.</w:t>
      </w:r>
    </w:p>
    <w:p w:rsidR="00000000" w:rsidDel="00000000" w:rsidP="00000000" w:rsidRDefault="00000000" w:rsidRPr="00000000" w14:paraId="000000A9">
      <w:pPr>
        <w:pStyle w:val="Heading3"/>
        <w:spacing w:line="480" w:lineRule="auto"/>
        <w:rPr/>
      </w:pPr>
      <w:bookmarkStart w:colFirst="0" w:colLast="0" w:name="_ju1odqsujh4" w:id="11"/>
      <w:bookmarkEnd w:id="11"/>
      <w:r w:rsidDel="00000000" w:rsidR="00000000" w:rsidRPr="00000000">
        <w:rPr>
          <w:rFonts w:ascii="Times New Roman" w:cs="Times New Roman" w:eastAsia="Times New Roman" w:hAnsi="Times New Roman"/>
          <w:b w:val="1"/>
          <w:bCs w:val="1"/>
          <w:i w:val="0"/>
          <w:iCs w:val="0"/>
          <w:color w:val="0f172a"/>
          <w:sz w:val="24"/>
          <w:szCs w:val="24"/>
          <w:rtl w:val="0"/>
        </w:rPr>
        <w:t xml:space="preserve">Tabla III.3: Filtro de Sustantivos</w:t>
      </w:r>
      <w:r w:rsidDel="00000000" w:rsidR="00000000" w:rsidRPr="00000000">
        <w:rPr>
          <w:rtl w:val="0"/>
        </w:rPr>
      </w:r>
    </w:p>
    <w:tbl>
      <w:tblPr>
        <w:tblStyle w:val="Table3"/>
        <w:tblW w:w="8505.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2835"/>
        <w:gridCol w:w="2835"/>
        <w:gridCol w:w="2835"/>
        <w:tblGridChange w:id="0">
          <w:tblGrid>
            <w:gridCol w:w="2835"/>
            <w:gridCol w:w="2835"/>
            <w:gridCol w:w="2835"/>
          </w:tblGrid>
        </w:tblGridChange>
      </w:tblGrid>
      <w:tr>
        <w:trPr>
          <w:cantSplit w:val="1"/>
          <w:tblHeader w:val="1"/>
        </w:trPr>
        <w:tc>
          <w:tcPr>
            <w:shd w:fill="f1f5f9" w:val="clear"/>
          </w:tcPr>
          <w:p w:rsidR="00000000" w:rsidDel="00000000" w:rsidP="00000000" w:rsidRDefault="00000000" w:rsidRPr="00000000" w14:paraId="000000A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Sustantivo Candidato</w:t>
            </w:r>
            <w:r w:rsidDel="00000000" w:rsidR="00000000" w:rsidRPr="00000000">
              <w:rPr>
                <w:rtl w:val="0"/>
              </w:rPr>
            </w:r>
          </w:p>
        </w:tc>
        <w:tc>
          <w:tcPr>
            <w:shd w:fill="f1f5f9" w:val="clear"/>
          </w:tcPr>
          <w:p w:rsidR="00000000" w:rsidDel="00000000" w:rsidP="00000000" w:rsidRDefault="00000000" w:rsidRPr="00000000" w14:paraId="000000A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Clasificación Resultante</w:t>
            </w:r>
            <w:r w:rsidDel="00000000" w:rsidR="00000000" w:rsidRPr="00000000">
              <w:rPr>
                <w:rtl w:val="0"/>
              </w:rPr>
            </w:r>
          </w:p>
        </w:tc>
        <w:tc>
          <w:tcPr>
            <w:shd w:fill="f1f5f9" w:val="clear"/>
          </w:tcPr>
          <w:p w:rsidR="00000000" w:rsidDel="00000000" w:rsidP="00000000" w:rsidRDefault="00000000" w:rsidRPr="00000000" w14:paraId="000000A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Criterio Técnico y Justificación del Descarte</w:t>
            </w:r>
            <w:r w:rsidDel="00000000" w:rsidR="00000000" w:rsidRPr="00000000">
              <w:rPr>
                <w:rtl w:val="0"/>
              </w:rPr>
            </w:r>
          </w:p>
        </w:tc>
      </w:tr>
      <w:tr>
        <w:trPr>
          <w:cantSplit w:val="1"/>
          <w:tblHeader w:val="0"/>
        </w:trPr>
        <w:tc>
          <w:tcPr/>
          <w:p w:rsidR="00000000" w:rsidDel="00000000" w:rsidP="00000000" w:rsidRDefault="00000000" w:rsidRPr="00000000" w14:paraId="000000A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Satélite Físico / Hardware en Vuelo</w:t>
            </w:r>
            <w:r w:rsidDel="00000000" w:rsidR="00000000" w:rsidRPr="00000000">
              <w:rPr>
                <w:rtl w:val="0"/>
              </w:rPr>
            </w:r>
          </w:p>
        </w:tc>
        <w:tc>
          <w:tcPr/>
          <w:p w:rsidR="00000000" w:rsidDel="00000000" w:rsidP="00000000" w:rsidRDefault="00000000" w:rsidRPr="00000000" w14:paraId="000000A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Elemento del Entorno Físico</w:t>
            </w:r>
            <w:r w:rsidDel="00000000" w:rsidR="00000000" w:rsidRPr="00000000">
              <w:rPr>
                <w:rtl w:val="0"/>
              </w:rPr>
            </w:r>
          </w:p>
        </w:tc>
        <w:tc>
          <w:tcPr/>
          <w:p w:rsidR="00000000" w:rsidDel="00000000" w:rsidP="00000000" w:rsidRDefault="00000000" w:rsidRPr="00000000" w14:paraId="000000A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CODI asiste en fases tempranas de diseño conceptual (Pre-Fase A / Fase B); el hardware orbital es posterior a la frontera del sistema.</w:t>
            </w:r>
            <w:r w:rsidDel="00000000" w:rsidR="00000000" w:rsidRPr="00000000">
              <w:rPr>
                <w:rtl w:val="0"/>
              </w:rPr>
            </w:r>
          </w:p>
        </w:tc>
      </w:tr>
      <w:tr>
        <w:trPr>
          <w:cantSplit w:val="1"/>
          <w:tblHeader w:val="0"/>
        </w:trPr>
        <w:tc>
          <w:tcPr/>
          <w:p w:rsidR="00000000" w:rsidDel="00000000" w:rsidP="00000000" w:rsidRDefault="00000000" w:rsidRPr="00000000" w14:paraId="000000B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Simulador Numérico (MATLAB / Script Python)</w:t>
            </w:r>
            <w:r w:rsidDel="00000000" w:rsidR="00000000" w:rsidRPr="00000000">
              <w:rPr>
                <w:rtl w:val="0"/>
              </w:rPr>
            </w:r>
          </w:p>
        </w:tc>
        <w:tc>
          <w:tcPr/>
          <w:p w:rsidR="00000000" w:rsidDel="00000000" w:rsidP="00000000" w:rsidRDefault="00000000" w:rsidRPr="00000000" w14:paraId="000000B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Sistema Vecino / Herramienta Externa</w:t>
            </w:r>
            <w:r w:rsidDel="00000000" w:rsidR="00000000" w:rsidRPr="00000000">
              <w:rPr>
                <w:rtl w:val="0"/>
              </w:rPr>
            </w:r>
          </w:p>
        </w:tc>
        <w:tc>
          <w:tcPr/>
          <w:p w:rsidR="00000000" w:rsidDel="00000000" w:rsidP="00000000" w:rsidRDefault="00000000" w:rsidRPr="00000000" w14:paraId="000000B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Es una herramienta de software externa utilizada por el especialista; CODI no controla su código sino que ingesta sus archivos de salida.</w:t>
            </w:r>
            <w:r w:rsidDel="00000000" w:rsidR="00000000" w:rsidRPr="00000000">
              <w:rPr>
                <w:rtl w:val="0"/>
              </w:rPr>
            </w:r>
          </w:p>
        </w:tc>
      </w:tr>
      <w:tr>
        <w:trPr>
          <w:cantSplit w:val="1"/>
          <w:tblHeader w:val="0"/>
        </w:trPr>
        <w:tc>
          <w:tcPr/>
          <w:p w:rsidR="00000000" w:rsidDel="00000000" w:rsidP="00000000" w:rsidRDefault="00000000" w:rsidRPr="00000000" w14:paraId="000000B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Profundidad de Descarga (DoD) / Margen EOL</w:t>
            </w:r>
            <w:r w:rsidDel="00000000" w:rsidR="00000000" w:rsidRPr="00000000">
              <w:rPr>
                <w:rtl w:val="0"/>
              </w:rPr>
            </w:r>
          </w:p>
        </w:tc>
        <w:tc>
          <w:tcPr/>
          <w:p w:rsidR="00000000" w:rsidDel="00000000" w:rsidP="00000000" w:rsidRDefault="00000000" w:rsidRPr="00000000" w14:paraId="000000B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 Cuantitativo</w:t>
            </w:r>
            <w:r w:rsidDel="00000000" w:rsidR="00000000" w:rsidRPr="00000000">
              <w:rPr>
                <w:rtl w:val="0"/>
              </w:rPr>
            </w:r>
          </w:p>
        </w:tc>
        <w:tc>
          <w:tcPr/>
          <w:p w:rsidR="00000000" w:rsidDel="00000000" w:rsidP="00000000" w:rsidRDefault="00000000" w:rsidRPr="00000000" w14:paraId="000000B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No poseen existencia autónoma ni relaciones polimórficas; se modelan como atributos de resultado dentro de </w:t>
            </w:r>
            <w:r w:rsidDel="00000000" w:rsidR="00000000" w:rsidRPr="00000000">
              <w:rPr>
                <w:rFonts w:ascii="Consolas" w:cs="Consolas" w:eastAsia="Consolas" w:hAnsi="Consolas"/>
                <w:b w:val="0"/>
                <w:bCs w:val="0"/>
                <w:i w:val="0"/>
                <w:iCs w:val="0"/>
                <w:color w:val="334155"/>
                <w:sz w:val="15"/>
                <w:szCs w:val="15"/>
                <w:rtl w:val="0"/>
              </w:rPr>
              <w:t xml:space="preserve">BalancePotenciaEPS</w:t>
            </w:r>
            <w:r w:rsidDel="00000000" w:rsidR="00000000" w:rsidRPr="00000000">
              <w:rPr>
                <w:rFonts w:ascii="Times New Roman" w:cs="Times New Roman" w:eastAsia="Times New Roman" w:hAnsi="Times New Roman"/>
                <w:b w:val="0"/>
                <w:bCs w:val="0"/>
                <w:i w:val="0"/>
                <w:iCs w:val="0"/>
                <w:color w:val="0f172a"/>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0B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Norma ECSS / Especificación Cal Poly</w:t>
            </w:r>
            <w:r w:rsidDel="00000000" w:rsidR="00000000" w:rsidRPr="00000000">
              <w:rPr>
                <w:rtl w:val="0"/>
              </w:rPr>
            </w:r>
          </w:p>
        </w:tc>
        <w:tc>
          <w:tcPr/>
          <w:p w:rsidR="00000000" w:rsidDel="00000000" w:rsidP="00000000" w:rsidRDefault="00000000" w:rsidRPr="00000000" w14:paraId="000000B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Elemento del Entorno (Normativa)</w:t>
            </w:r>
            <w:r w:rsidDel="00000000" w:rsidR="00000000" w:rsidRPr="00000000">
              <w:rPr>
                <w:rtl w:val="0"/>
              </w:rPr>
            </w:r>
          </w:p>
        </w:tc>
        <w:tc>
          <w:tcPr/>
          <w:p w:rsidR="00000000" w:rsidDel="00000000" w:rsidP="00000000" w:rsidRDefault="00000000" w:rsidRPr="00000000" w14:paraId="000000B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Estándar documental externo inmutable que actúa como oráculo de verificación, no entidad manipulable por el usuario.</w:t>
            </w:r>
            <w:r w:rsidDel="00000000" w:rsidR="00000000" w:rsidRPr="00000000">
              <w:rPr>
                <w:rtl w:val="0"/>
              </w:rPr>
            </w:r>
          </w:p>
        </w:tc>
      </w:tr>
      <w:tr>
        <w:trPr>
          <w:cantSplit w:val="1"/>
          <w:tblHeader w:val="0"/>
        </w:trPr>
        <w:tc>
          <w:tcPr/>
          <w:p w:rsidR="00000000" w:rsidDel="00000000" w:rsidP="00000000" w:rsidRDefault="00000000" w:rsidRPr="00000000" w14:paraId="000000B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Reporte Técnico Exportado</w:t>
            </w:r>
            <w:r w:rsidDel="00000000" w:rsidR="00000000" w:rsidRPr="00000000">
              <w:rPr>
                <w:rtl w:val="0"/>
              </w:rPr>
            </w:r>
          </w:p>
        </w:tc>
        <w:tc>
          <w:tcPr/>
          <w:p w:rsidR="00000000" w:rsidDel="00000000" w:rsidP="00000000" w:rsidRDefault="00000000" w:rsidRPr="00000000" w14:paraId="000000B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Producto del Sistema (Salida)</w:t>
            </w:r>
            <w:r w:rsidDel="00000000" w:rsidR="00000000" w:rsidRPr="00000000">
              <w:rPr>
                <w:rtl w:val="0"/>
              </w:rPr>
            </w:r>
          </w:p>
        </w:tc>
        <w:tc>
          <w:tcPr/>
          <w:p w:rsidR="00000000" w:rsidDel="00000000" w:rsidP="00000000" w:rsidRDefault="00000000" w:rsidRPr="00000000" w14:paraId="000000B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Corresponde a una vista estructurada o artefacto de exportación (Markdown/PDF/JSON) generado a partir de las decisiones registradas.</w:t>
            </w:r>
            <w:r w:rsidDel="00000000" w:rsidR="00000000" w:rsidRPr="00000000">
              <w:rPr>
                <w:rtl w:val="0"/>
              </w:rPr>
            </w:r>
          </w:p>
        </w:tc>
      </w:tr>
      <w:tr>
        <w:trPr>
          <w:cantSplit w:val="1"/>
          <w:tblHeader w:val="0"/>
        </w:trPr>
        <w:tc>
          <w:tcPr/>
          <w:p w:rsidR="00000000" w:rsidDel="00000000" w:rsidP="00000000" w:rsidRDefault="00000000" w:rsidRPr="00000000" w14:paraId="000000B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Célula Fotovoltaica / Química de Batería</w:t>
            </w:r>
            <w:r w:rsidDel="00000000" w:rsidR="00000000" w:rsidRPr="00000000">
              <w:rPr>
                <w:rtl w:val="0"/>
              </w:rPr>
            </w:r>
          </w:p>
        </w:tc>
        <w:tc>
          <w:tcPr/>
          <w:p w:rsidR="00000000" w:rsidDel="00000000" w:rsidP="00000000" w:rsidRDefault="00000000" w:rsidRPr="00000000" w14:paraId="000000B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Valor de Parámetro / Metadato</w:t>
            </w:r>
            <w:r w:rsidDel="00000000" w:rsidR="00000000" w:rsidRPr="00000000">
              <w:rPr>
                <w:rtl w:val="0"/>
              </w:rPr>
            </w:r>
          </w:p>
        </w:tc>
        <w:tc>
          <w:tcPr/>
          <w:p w:rsidR="00000000" w:rsidDel="00000000" w:rsidP="00000000" w:rsidRDefault="00000000" w:rsidRPr="00000000" w14:paraId="000000B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Se modelan como instancias y metadatos de configuración dentro de </w:t>
            </w:r>
            <w:r w:rsidDel="00000000" w:rsidR="00000000" w:rsidRPr="00000000">
              <w:rPr>
                <w:rFonts w:ascii="Consolas" w:cs="Consolas" w:eastAsia="Consolas" w:hAnsi="Consolas"/>
                <w:b w:val="0"/>
                <w:bCs w:val="0"/>
                <w:i w:val="0"/>
                <w:iCs w:val="0"/>
                <w:color w:val="334155"/>
                <w:sz w:val="15"/>
                <w:szCs w:val="15"/>
                <w:rtl w:val="0"/>
              </w:rPr>
              <w:t xml:space="preserve">ParametroDiseno</w:t>
            </w:r>
            <w:r w:rsidDel="00000000" w:rsidR="00000000" w:rsidRPr="00000000">
              <w:rPr>
                <w:rFonts w:ascii="Times New Roman" w:cs="Times New Roman" w:eastAsia="Times New Roman" w:hAnsi="Times New Roman"/>
                <w:b w:val="0"/>
                <w:bCs w:val="0"/>
                <w:i w:val="0"/>
                <w:iCs w:val="0"/>
                <w:color w:val="0f172a"/>
                <w:sz w:val="18"/>
                <w:szCs w:val="18"/>
                <w:rtl w:val="0"/>
              </w:rPr>
              <w:t xml:space="preserve"> provistos por catálogos COTS.</w:t>
            </w:r>
            <w:r w:rsidDel="00000000" w:rsidR="00000000" w:rsidRPr="00000000">
              <w:rPr>
                <w:rtl w:val="0"/>
              </w:rPr>
            </w:r>
          </w:p>
        </w:tc>
      </w:tr>
    </w:tbl>
    <w:p w:rsidR="00000000" w:rsidDel="00000000" w:rsidP="00000000" w:rsidRDefault="00000000" w:rsidRPr="00000000" w14:paraId="000000BF">
      <w:pPr>
        <w:pStyle w:val="Heading2"/>
        <w:rPr/>
      </w:pPr>
      <w:bookmarkStart w:colFirst="0" w:colLast="0" w:name="_293xy4ttbrz3" w:id="12"/>
      <w:bookmarkEnd w:id="12"/>
      <w:r w:rsidDel="00000000" w:rsidR="00000000" w:rsidRPr="00000000">
        <w:rPr>
          <w:rtl w:val="0"/>
        </w:rPr>
        <w:t xml:space="preserve">Modelo del Dominio</w:t>
      </w:r>
    </w:p>
    <w:p w:rsidR="00000000" w:rsidDel="00000000" w:rsidP="00000000" w:rsidRDefault="00000000" w:rsidRPr="00000000" w14:paraId="000000C0">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La Figura 1 sintetiza la estructura relacional del dominio, reflejando el acoplamiento entre la gobernanza de la misión, los artefactos documentales, el cómputo del subsistema de potencia, la autoría de los ingenieros y la preservación cognitiva de decisiones</w:t>
      </w:r>
      <w:r w:rsidDel="00000000" w:rsidR="00000000" w:rsidRPr="00000000">
        <w:rPr>
          <w:rtl w:val="0"/>
        </w:rPr>
      </w:r>
    </w:p>
    <w:p w:rsidR="00000000" w:rsidDel="00000000" w:rsidP="00000000" w:rsidRDefault="00000000" w:rsidRPr="00000000" w14:paraId="000000C1">
      <w:pPr>
        <w:keepNext w:val="1"/>
        <w:spacing w:after="40" w:before="160" w:lineRule="auto"/>
        <w:jc w:val="center"/>
        <w:rPr/>
      </w:pPr>
      <w:r w:rsidDel="00000000" w:rsidR="00000000" w:rsidRPr="00000000">
        <w:rPr/>
        <w:drawing>
          <wp:inline distB="0" distT="0" distL="114300" distR="114300">
            <wp:extent cx="5303520" cy="811086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03520" cy="8110868"/>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160" w:before="40" w:lineRule="auto"/>
        <w:jc w:val="center"/>
        <w:rPr/>
      </w:pPr>
      <w:r w:rsidDel="00000000" w:rsidR="00000000" w:rsidRPr="00000000">
        <w:rPr>
          <w:rFonts w:ascii="Times New Roman" w:cs="Times New Roman" w:eastAsia="Times New Roman" w:hAnsi="Times New Roman"/>
          <w:i w:val="1"/>
          <w:iCs w:val="1"/>
          <w:color w:val="475569"/>
          <w:sz w:val="20"/>
          <w:szCs w:val="20"/>
          <w:rtl w:val="0"/>
        </w:rPr>
        <w:t xml:space="preserve">Figura 1. Modelo del dominio de CODI</w:t>
      </w:r>
      <w:r w:rsidDel="00000000" w:rsidR="00000000" w:rsidRPr="00000000">
        <w:rPr>
          <w:rtl w:val="0"/>
        </w:rPr>
      </w:r>
    </w:p>
    <w:p w:rsidR="00000000" w:rsidDel="00000000" w:rsidP="00000000" w:rsidRDefault="00000000" w:rsidRPr="00000000" w14:paraId="000000C3">
      <w:pPr>
        <w:spacing w:after="80" w:before="0" w:line="480" w:lineRule="auto"/>
        <w:ind w:left="0" w:firstLine="0"/>
        <w:jc w:val="center"/>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Figura 1. Modelo del dominio de CODI. Fuente: elaboración propia sobre el relevamiento de los Capítulos I y II y la consulta técnica del 14/09/2026.</w:t>
      </w:r>
      <w:r w:rsidDel="00000000" w:rsidR="00000000" w:rsidRPr="00000000">
        <w:rPr>
          <w:rtl w:val="0"/>
        </w:rPr>
      </w:r>
    </w:p>
    <w:p w:rsidR="00000000" w:rsidDel="00000000" w:rsidP="00000000" w:rsidRDefault="00000000" w:rsidRPr="00000000" w14:paraId="000000C4">
      <w:pPr>
        <w:pStyle w:val="Heading3"/>
        <w:rPr/>
      </w:pPr>
      <w:bookmarkStart w:colFirst="0" w:colLast="0" w:name="_x2rspd1txl3p" w:id="13"/>
      <w:bookmarkEnd w:id="13"/>
      <w:r w:rsidDel="00000000" w:rsidR="00000000" w:rsidRPr="00000000">
        <w:rPr>
          <w:rtl w:val="0"/>
        </w:rPr>
        <w:t xml:space="preserve">Lectura de Cardinalidades como Frases del Negocio</w:t>
      </w:r>
    </w:p>
    <w:p w:rsidR="00000000" w:rsidDel="00000000" w:rsidP="00000000" w:rsidRDefault="00000000" w:rsidRPr="00000000" w14:paraId="000000C5">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Cada relación expresada en el diagrama modela una regla operativa validada con la referente técnica del sector (Ing. Sonia Botta, CTA-UNLP):</w:t>
      </w:r>
      <w:r w:rsidDel="00000000" w:rsidR="00000000" w:rsidRPr="00000000">
        <w:rPr>
          <w:rtl w:val="0"/>
        </w:rPr>
      </w:r>
    </w:p>
    <w:p w:rsidR="00000000" w:rsidDel="00000000" w:rsidP="00000000" w:rsidRDefault="00000000" w:rsidRPr="00000000" w14:paraId="000000C6">
      <w:pPr>
        <w:spacing w:after="40" w:before="20" w:line="480"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 </w:t>
      </w:r>
      <w:r w:rsidDel="00000000" w:rsidR="00000000" w:rsidRPr="00000000">
        <w:rPr>
          <w:rFonts w:ascii="Cardo" w:cs="Cardo" w:eastAsia="Cardo" w:hAnsi="Cardo"/>
          <w:b w:val="1"/>
          <w:bCs w:val="1"/>
          <w:i w:val="0"/>
          <w:iCs w:val="0"/>
          <w:color w:val="0f172a"/>
          <w:sz w:val="23"/>
          <w:szCs w:val="23"/>
          <w:rtl w:val="0"/>
        </w:rPr>
        <w:t xml:space="preserve">`MisionEspacial` define `RequisitoIngenieria` (1 → 1..*)</w:t>
      </w:r>
      <w:r w:rsidDel="00000000" w:rsidR="00000000" w:rsidRPr="00000000">
        <w:rPr>
          <w:rFonts w:ascii="Times New Roman" w:cs="Times New Roman" w:eastAsia="Times New Roman" w:hAnsi="Times New Roman"/>
          <w:b w:val="0"/>
          <w:bCs w:val="0"/>
          <w:i w:val="0"/>
          <w:iCs w:val="0"/>
          <w:color w:val="0f172a"/>
          <w:sz w:val="23"/>
          <w:szCs w:val="23"/>
          <w:rtl w:val="0"/>
        </w:rPr>
        <w:t xml:space="preserve">: Toda misión satelital conceptualizada en CODI posee obligatoriamente al menos un requisito de ingeniería (de carga útil, potencia o vida útil) que justifica su desarrollo, y cada requisito pertenece a una única misión espacial específica.</w:t>
      </w:r>
      <w:r w:rsidDel="00000000" w:rsidR="00000000" w:rsidRPr="00000000">
        <w:rPr>
          <w:rtl w:val="0"/>
        </w:rPr>
      </w:r>
    </w:p>
    <w:p w:rsidR="00000000" w:rsidDel="00000000" w:rsidP="00000000" w:rsidRDefault="00000000" w:rsidRPr="00000000" w14:paraId="000000C7">
      <w:pPr>
        <w:spacing w:after="40" w:before="20" w:line="480"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2. </w:t>
      </w:r>
      <w:r w:rsidDel="00000000" w:rsidR="00000000" w:rsidRPr="00000000">
        <w:rPr>
          <w:rFonts w:ascii="Cardo" w:cs="Cardo" w:eastAsia="Cardo" w:hAnsi="Cardo"/>
          <w:b w:val="1"/>
          <w:bCs w:val="1"/>
          <w:i w:val="0"/>
          <w:iCs w:val="0"/>
          <w:color w:val="0f172a"/>
          <w:sz w:val="23"/>
          <w:szCs w:val="23"/>
          <w:rtl w:val="0"/>
        </w:rPr>
        <w:t xml:space="preserve">`MisionEspacial` gestiona `DocumentoICD` (1 → 1..*)</w:t>
      </w:r>
      <w:r w:rsidDel="00000000" w:rsidR="00000000" w:rsidRPr="00000000">
        <w:rPr>
          <w:rFonts w:ascii="Times New Roman" w:cs="Times New Roman" w:eastAsia="Times New Roman" w:hAnsi="Times New Roman"/>
          <w:b w:val="0"/>
          <w:bCs w:val="0"/>
          <w:i w:val="0"/>
          <w:iCs w:val="0"/>
          <w:color w:val="0f172a"/>
          <w:sz w:val="23"/>
          <w:szCs w:val="23"/>
          <w:rtl w:val="0"/>
        </w:rPr>
        <w:t xml:space="preserve">: Una misión espacial coordina uno o múltiples Documentos de Control de Interfaz y fuentes de conocimiento para formalizar las transferencias de energía, masa y datos entre subsistemas, perteneciendo cada documento a una misión determinada.</w:t>
      </w:r>
      <w:r w:rsidDel="00000000" w:rsidR="00000000" w:rsidRPr="00000000">
        <w:rPr>
          <w:rtl w:val="0"/>
        </w:rPr>
      </w:r>
    </w:p>
    <w:p w:rsidR="00000000" w:rsidDel="00000000" w:rsidP="00000000" w:rsidRDefault="00000000" w:rsidRPr="00000000" w14:paraId="000000C8">
      <w:pPr>
        <w:spacing w:after="40" w:before="20" w:line="480"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3. </w:t>
      </w:r>
      <w:r w:rsidDel="00000000" w:rsidR="00000000" w:rsidRPr="00000000">
        <w:rPr>
          <w:rFonts w:ascii="Cardo" w:cs="Cardo" w:eastAsia="Cardo" w:hAnsi="Cardo"/>
          <w:b w:val="1"/>
          <w:bCs w:val="1"/>
          <w:i w:val="0"/>
          <w:iCs w:val="0"/>
          <w:color w:val="0f172a"/>
          <w:sz w:val="23"/>
          <w:szCs w:val="23"/>
          <w:rtl w:val="0"/>
        </w:rPr>
        <w:t xml:space="preserve">`MisionEspacial` evalúa `BalancePotenciaEPS` (1 → 1..*)</w:t>
      </w:r>
      <w:r w:rsidDel="00000000" w:rsidR="00000000" w:rsidRPr="00000000">
        <w:rPr>
          <w:rFonts w:ascii="Times New Roman" w:cs="Times New Roman" w:eastAsia="Times New Roman" w:hAnsi="Times New Roman"/>
          <w:b w:val="0"/>
          <w:bCs w:val="0"/>
          <w:i w:val="0"/>
          <w:iCs w:val="0"/>
          <w:color w:val="0f172a"/>
          <w:sz w:val="23"/>
          <w:szCs w:val="23"/>
          <w:rtl w:val="0"/>
        </w:rPr>
        <w:t xml:space="preserve">: Una misión espacial ejecuta una o sucesivas revisiones de balance de potencia a lo largo de sus hitos de diseño (MDR, PDR, CDR), registrando cada balance el estado energético de dicha misión.</w:t>
      </w:r>
      <w:r w:rsidDel="00000000" w:rsidR="00000000" w:rsidRPr="00000000">
        <w:rPr>
          <w:rtl w:val="0"/>
        </w:rPr>
      </w:r>
    </w:p>
    <w:p w:rsidR="00000000" w:rsidDel="00000000" w:rsidP="00000000" w:rsidRDefault="00000000" w:rsidRPr="00000000" w14:paraId="000000C9">
      <w:pPr>
        <w:spacing w:after="40" w:before="20" w:line="480"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4. </w:t>
      </w:r>
      <w:r w:rsidDel="00000000" w:rsidR="00000000" w:rsidRPr="00000000">
        <w:rPr>
          <w:rFonts w:ascii="Cardo" w:cs="Cardo" w:eastAsia="Cardo" w:hAnsi="Cardo"/>
          <w:b w:val="1"/>
          <w:bCs w:val="1"/>
          <w:i w:val="0"/>
          <w:iCs w:val="0"/>
          <w:color w:val="0f172a"/>
          <w:sz w:val="23"/>
          <w:szCs w:val="23"/>
          <w:rtl w:val="0"/>
        </w:rPr>
        <w:t xml:space="preserve">`MisionEspacial` involucra `PerfilIngeniero` (1..* ↔ 1..*)</w:t>
      </w:r>
      <w:r w:rsidDel="00000000" w:rsidR="00000000" w:rsidRPr="00000000">
        <w:rPr>
          <w:rFonts w:ascii="Times New Roman" w:cs="Times New Roman" w:eastAsia="Times New Roman" w:hAnsi="Times New Roman"/>
          <w:b w:val="0"/>
          <w:bCs w:val="0"/>
          <w:i w:val="0"/>
          <w:iCs w:val="0"/>
          <w:color w:val="0f172a"/>
          <w:sz w:val="23"/>
          <w:szCs w:val="23"/>
          <w:rtl w:val="0"/>
        </w:rPr>
        <w:t xml:space="preserve">: Una misión espacial asigna a uno o múltiples ingenieros con roles y permisos específicos, pudiendo cada ingeniero participar en diversos proyectos satelitales.</w:t>
      </w:r>
      <w:r w:rsidDel="00000000" w:rsidR="00000000" w:rsidRPr="00000000">
        <w:rPr>
          <w:rtl w:val="0"/>
        </w:rPr>
      </w:r>
    </w:p>
    <w:p w:rsidR="00000000" w:rsidDel="00000000" w:rsidP="00000000" w:rsidRDefault="00000000" w:rsidRPr="00000000" w14:paraId="000000CA">
      <w:pPr>
        <w:spacing w:after="40" w:before="20" w:line="480"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5. </w:t>
      </w:r>
      <w:r w:rsidDel="00000000" w:rsidR="00000000" w:rsidRPr="00000000">
        <w:rPr>
          <w:rFonts w:ascii="Cardo" w:cs="Cardo" w:eastAsia="Cardo" w:hAnsi="Cardo"/>
          <w:b w:val="1"/>
          <w:bCs w:val="1"/>
          <w:i w:val="0"/>
          <w:iCs w:val="0"/>
          <w:color w:val="0f172a"/>
          <w:sz w:val="23"/>
          <w:szCs w:val="23"/>
          <w:rtl w:val="0"/>
        </w:rPr>
        <w:t xml:space="preserve">`DocumentoICD` especifica `ParametroDiseno` (1 → 1..*)</w:t>
      </w:r>
      <w:r w:rsidDel="00000000" w:rsidR="00000000" w:rsidRPr="00000000">
        <w:rPr>
          <w:rFonts w:ascii="Times New Roman" w:cs="Times New Roman" w:eastAsia="Times New Roman" w:hAnsi="Times New Roman"/>
          <w:b w:val="0"/>
          <w:bCs w:val="0"/>
          <w:i w:val="0"/>
          <w:iCs w:val="0"/>
          <w:color w:val="0f172a"/>
          <w:sz w:val="23"/>
          <w:szCs w:val="23"/>
          <w:rtl w:val="0"/>
        </w:rPr>
        <w:t xml:space="preserve">: Un documento de interfaz declara y congela uno o muchos parámetros técnicos cuantificables (consumos máximos, tensiones de barra, interfaces térmicas) necesarios para la compatibilidad física.</w:t>
      </w:r>
      <w:r w:rsidDel="00000000" w:rsidR="00000000" w:rsidRPr="00000000">
        <w:rPr>
          <w:rtl w:val="0"/>
        </w:rPr>
      </w:r>
    </w:p>
    <w:p w:rsidR="00000000" w:rsidDel="00000000" w:rsidP="00000000" w:rsidRDefault="00000000" w:rsidRPr="00000000" w14:paraId="000000CB">
      <w:pPr>
        <w:spacing w:after="40" w:before="20" w:line="480"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6. </w:t>
      </w:r>
      <w:r w:rsidDel="00000000" w:rsidR="00000000" w:rsidRPr="00000000">
        <w:rPr>
          <w:rFonts w:ascii="Cardo" w:cs="Cardo" w:eastAsia="Cardo" w:hAnsi="Cardo"/>
          <w:b w:val="1"/>
          <w:bCs w:val="1"/>
          <w:i w:val="0"/>
          <w:iCs w:val="0"/>
          <w:color w:val="0f172a"/>
          <w:sz w:val="23"/>
          <w:szCs w:val="23"/>
          <w:rtl w:val="0"/>
        </w:rPr>
        <w:t xml:space="preserve">`RequisitoIngenieria` restringe `ParametroDiseno` (1 → 0..*)</w:t>
      </w:r>
      <w:r w:rsidDel="00000000" w:rsidR="00000000" w:rsidRPr="00000000">
        <w:rPr>
          <w:rFonts w:ascii="Times New Roman" w:cs="Times New Roman" w:eastAsia="Times New Roman" w:hAnsi="Times New Roman"/>
          <w:b w:val="0"/>
          <w:bCs w:val="0"/>
          <w:i w:val="0"/>
          <w:iCs w:val="0"/>
          <w:color w:val="0f172a"/>
          <w:sz w:val="23"/>
          <w:szCs w:val="23"/>
          <w:rtl w:val="0"/>
        </w:rPr>
        <w:t xml:space="preserve">: Un requisito de misión impone límites o tolerancias admisibles sobre cero o múltiples parámetros de diseño (e.g. un requisito de masa limita los parámetros de capacidad de batería).</w:t>
      </w:r>
      <w:r w:rsidDel="00000000" w:rsidR="00000000" w:rsidRPr="00000000">
        <w:rPr>
          <w:rtl w:val="0"/>
        </w:rPr>
      </w:r>
    </w:p>
    <w:p w:rsidR="00000000" w:rsidDel="00000000" w:rsidP="00000000" w:rsidRDefault="00000000" w:rsidRPr="00000000" w14:paraId="000000CC">
      <w:pPr>
        <w:spacing w:after="40" w:before="20" w:line="480"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7. </w:t>
      </w:r>
      <w:r w:rsidDel="00000000" w:rsidR="00000000" w:rsidRPr="00000000">
        <w:rPr>
          <w:rFonts w:ascii="Cardo" w:cs="Cardo" w:eastAsia="Cardo" w:hAnsi="Cardo"/>
          <w:b w:val="1"/>
          <w:bCs w:val="1"/>
          <w:i w:val="0"/>
          <w:iCs w:val="0"/>
          <w:color w:val="0f172a"/>
          <w:sz w:val="23"/>
          <w:szCs w:val="23"/>
          <w:rtl w:val="0"/>
        </w:rPr>
        <w:t xml:space="preserve">`BalancePotenciaEPS` computa `ParametroDiseno` (1 → 1..*)</w:t>
      </w:r>
      <w:r w:rsidDel="00000000" w:rsidR="00000000" w:rsidRPr="00000000">
        <w:rPr>
          <w:rFonts w:ascii="Times New Roman" w:cs="Times New Roman" w:eastAsia="Times New Roman" w:hAnsi="Times New Roman"/>
          <w:b w:val="0"/>
          <w:bCs w:val="0"/>
          <w:i w:val="0"/>
          <w:iCs w:val="0"/>
          <w:color w:val="0f172a"/>
          <w:sz w:val="23"/>
          <w:szCs w:val="23"/>
          <w:rtl w:val="0"/>
        </w:rPr>
        <w:t xml:space="preserve">: Toda evaluación analítica del balance de potencia consume y procesa un conjunto de parámetros físicos de entrada (área solar, consumo por modo, eficiencia, altitud orbital).</w:t>
      </w:r>
      <w:r w:rsidDel="00000000" w:rsidR="00000000" w:rsidRPr="00000000">
        <w:rPr>
          <w:rtl w:val="0"/>
        </w:rPr>
      </w:r>
    </w:p>
    <w:p w:rsidR="00000000" w:rsidDel="00000000" w:rsidP="00000000" w:rsidRDefault="00000000" w:rsidRPr="00000000" w14:paraId="000000CD">
      <w:pPr>
        <w:spacing w:after="40" w:before="20" w:line="480"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8. </w:t>
      </w:r>
      <w:r w:rsidDel="00000000" w:rsidR="00000000" w:rsidRPr="00000000">
        <w:rPr>
          <w:rFonts w:ascii="Cardo" w:cs="Cardo" w:eastAsia="Cardo" w:hAnsi="Cardo"/>
          <w:b w:val="1"/>
          <w:bCs w:val="1"/>
          <w:i w:val="0"/>
          <w:iCs w:val="0"/>
          <w:color w:val="0f172a"/>
          <w:sz w:val="23"/>
          <w:szCs w:val="23"/>
          <w:rtl w:val="0"/>
        </w:rPr>
        <w:t xml:space="preserve">`BalancePotenciaEPS` fundamenta `DecisionLog` (1 → 1)</w:t>
      </w:r>
      <w:r w:rsidDel="00000000" w:rsidR="00000000" w:rsidRPr="00000000">
        <w:rPr>
          <w:rFonts w:ascii="Times New Roman" w:cs="Times New Roman" w:eastAsia="Times New Roman" w:hAnsi="Times New Roman"/>
          <w:b w:val="0"/>
          <w:bCs w:val="0"/>
          <w:i w:val="0"/>
          <w:iCs w:val="0"/>
          <w:color w:val="0f172a"/>
          <w:sz w:val="23"/>
          <w:szCs w:val="23"/>
          <w:rtl w:val="0"/>
        </w:rPr>
        <w:t xml:space="preserve">: Cada balance de potencia ejecutado y verificado genera como resultado formal exactamente un registro de decisión técnica donde se asienta la viabilidad del diseño o las acciones de contingencia requeridas.</w:t>
      </w:r>
      <w:r w:rsidDel="00000000" w:rsidR="00000000" w:rsidRPr="00000000">
        <w:rPr>
          <w:rtl w:val="0"/>
        </w:rPr>
      </w:r>
    </w:p>
    <w:p w:rsidR="00000000" w:rsidDel="00000000" w:rsidP="00000000" w:rsidRDefault="00000000" w:rsidRPr="00000000" w14:paraId="000000CE">
      <w:pPr>
        <w:spacing w:after="40" w:before="20" w:line="480"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9. </w:t>
      </w:r>
      <w:r w:rsidDel="00000000" w:rsidR="00000000" w:rsidRPr="00000000">
        <w:rPr>
          <w:rFonts w:ascii="Cardo" w:cs="Cardo" w:eastAsia="Cardo" w:hAnsi="Cardo"/>
          <w:b w:val="1"/>
          <w:bCs w:val="1"/>
          <w:i w:val="0"/>
          <w:iCs w:val="0"/>
          <w:color w:val="0f172a"/>
          <w:sz w:val="23"/>
          <w:szCs w:val="23"/>
          <w:rtl w:val="0"/>
        </w:rPr>
        <w:t xml:space="preserve">`DecisionLog` satisface `RequisitoIngenieria` (1 → 1..*)</w:t>
      </w:r>
      <w:r w:rsidDel="00000000" w:rsidR="00000000" w:rsidRPr="00000000">
        <w:rPr>
          <w:rFonts w:ascii="Times New Roman" w:cs="Times New Roman" w:eastAsia="Times New Roman" w:hAnsi="Times New Roman"/>
          <w:b w:val="0"/>
          <w:bCs w:val="0"/>
          <w:i w:val="0"/>
          <w:iCs w:val="0"/>
          <w:color w:val="0f172a"/>
          <w:sz w:val="23"/>
          <w:szCs w:val="23"/>
          <w:rtl w:val="0"/>
        </w:rPr>
        <w:t xml:space="preserve">: Cada decisión adoptada en el arnés cognitivo debe demostrar formalmente el cumplimiento de uno o varios requisitos de ingeniería preestablecidos.</w:t>
      </w:r>
      <w:r w:rsidDel="00000000" w:rsidR="00000000" w:rsidRPr="00000000">
        <w:rPr>
          <w:rtl w:val="0"/>
        </w:rPr>
      </w:r>
    </w:p>
    <w:p w:rsidR="00000000" w:rsidDel="00000000" w:rsidP="00000000" w:rsidRDefault="00000000" w:rsidRPr="00000000" w14:paraId="000000CF">
      <w:pPr>
        <w:spacing w:after="40" w:before="20" w:line="480"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10. </w:t>
      </w:r>
      <w:r w:rsidDel="00000000" w:rsidR="00000000" w:rsidRPr="00000000">
        <w:rPr>
          <w:rFonts w:ascii="Cardo" w:cs="Cardo" w:eastAsia="Cardo" w:hAnsi="Cardo"/>
          <w:b w:val="1"/>
          <w:bCs w:val="1"/>
          <w:i w:val="0"/>
          <w:iCs w:val="0"/>
          <w:color w:val="0f172a"/>
          <w:sz w:val="23"/>
          <w:szCs w:val="23"/>
          <w:rtl w:val="0"/>
        </w:rPr>
        <w:t xml:space="preserve">`PerfilIngeniero` autoriza `DecisionLog` (1 → 1..*)</w:t>
      </w:r>
      <w:r w:rsidDel="00000000" w:rsidR="00000000" w:rsidRPr="00000000">
        <w:rPr>
          <w:rFonts w:ascii="Times New Roman" w:cs="Times New Roman" w:eastAsia="Times New Roman" w:hAnsi="Times New Roman"/>
          <w:b w:val="0"/>
          <w:bCs w:val="0"/>
          <w:i w:val="0"/>
          <w:iCs w:val="0"/>
          <w:color w:val="0f172a"/>
          <w:sz w:val="23"/>
          <w:szCs w:val="23"/>
          <w:rtl w:val="0"/>
        </w:rPr>
        <w:t xml:space="preserve">: Toda decisión de diseño inmutable registrada en el sistema lleva la autoría, rol y firma técnica del ingeniero responsable, resolviendo la pérdida de trazabilidad ante la rotación de personal.</w:t>
      </w:r>
      <w:r w:rsidDel="00000000" w:rsidR="00000000" w:rsidRPr="00000000">
        <w:rPr>
          <w:rtl w:val="0"/>
        </w:rPr>
      </w:r>
    </w:p>
    <w:p w:rsidR="00000000" w:rsidDel="00000000" w:rsidP="00000000" w:rsidRDefault="00000000" w:rsidRPr="00000000" w14:paraId="000000D0">
      <w:pPr>
        <w:spacing w:after="40" w:before="20" w:line="480"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11. </w:t>
      </w:r>
      <w:r w:rsidDel="00000000" w:rsidR="00000000" w:rsidRPr="00000000">
        <w:rPr>
          <w:rFonts w:ascii="Cardo" w:cs="Cardo" w:eastAsia="Cardo" w:hAnsi="Cardo"/>
          <w:b w:val="1"/>
          <w:bCs w:val="1"/>
          <w:i w:val="0"/>
          <w:iCs w:val="0"/>
          <w:color w:val="0f172a"/>
          <w:sz w:val="23"/>
          <w:szCs w:val="23"/>
          <w:rtl w:val="0"/>
        </w:rPr>
        <w:t xml:space="preserve">`PerfilIngeniero` protagoniza `SesionCargaCognitiva` (1 → 0..*)</w:t>
      </w:r>
      <w:r w:rsidDel="00000000" w:rsidR="00000000" w:rsidRPr="00000000">
        <w:rPr>
          <w:rFonts w:ascii="Times New Roman" w:cs="Times New Roman" w:eastAsia="Times New Roman" w:hAnsi="Times New Roman"/>
          <w:b w:val="0"/>
          <w:bCs w:val="0"/>
          <w:i w:val="0"/>
          <w:iCs w:val="0"/>
          <w:color w:val="0f172a"/>
          <w:sz w:val="23"/>
          <w:szCs w:val="23"/>
          <w:rtl w:val="0"/>
        </w:rPr>
        <w:t xml:space="preserve">: Cada sesión de medición de demanda mental y tiempo de interacción queda asociada al perfil del operador para gobernar el motor de adaptación de la interfaz.</w:t>
      </w:r>
      <w:r w:rsidDel="00000000" w:rsidR="00000000" w:rsidRPr="00000000">
        <w:rPr>
          <w:rtl w:val="0"/>
        </w:rPr>
      </w:r>
    </w:p>
    <w:p w:rsidR="00000000" w:rsidDel="00000000" w:rsidP="00000000" w:rsidRDefault="00000000" w:rsidRPr="00000000" w14:paraId="000000D1">
      <w:pPr>
        <w:spacing w:after="40" w:before="20" w:line="480"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12. </w:t>
      </w:r>
      <w:r w:rsidDel="00000000" w:rsidR="00000000" w:rsidRPr="00000000">
        <w:rPr>
          <w:rFonts w:ascii="Cardo" w:cs="Cardo" w:eastAsia="Cardo" w:hAnsi="Cardo"/>
          <w:b w:val="1"/>
          <w:bCs w:val="1"/>
          <w:i w:val="0"/>
          <w:iCs w:val="0"/>
          <w:color w:val="0f172a"/>
          <w:sz w:val="23"/>
          <w:szCs w:val="23"/>
          <w:rtl w:val="0"/>
        </w:rPr>
        <w:t xml:space="preserve">`DecisionLog` contextualiza `SesionCargaCognitiva` (1 → 0..1)</w:t>
      </w:r>
      <w:r w:rsidDel="00000000" w:rsidR="00000000" w:rsidRPr="00000000">
        <w:rPr>
          <w:rFonts w:ascii="Times New Roman" w:cs="Times New Roman" w:eastAsia="Times New Roman" w:hAnsi="Times New Roman"/>
          <w:b w:val="0"/>
          <w:bCs w:val="0"/>
          <w:i w:val="0"/>
          <w:iCs w:val="0"/>
          <w:color w:val="0f172a"/>
          <w:sz w:val="23"/>
          <w:szCs w:val="23"/>
          <w:rtl w:val="0"/>
        </w:rPr>
        <w:t xml:space="preserve">: Una decisión de ingeniería puede tener asociada opcionalmente una sesión de registro de carga mental de trabajo (NASA-TLX) para evaluar el esfuerzo cognitivo insumido durante su resolución técnica.</w:t>
      </w:r>
      <w:r w:rsidDel="00000000" w:rsidR="00000000" w:rsidRPr="00000000">
        <w:rPr>
          <w:rtl w:val="0"/>
        </w:rPr>
      </w:r>
    </w:p>
    <w:p w:rsidR="00000000" w:rsidDel="00000000" w:rsidP="00000000" w:rsidRDefault="00000000" w:rsidRPr="00000000" w14:paraId="000000D2">
      <w:pPr>
        <w:pStyle w:val="Heading2"/>
        <w:rPr/>
      </w:pPr>
      <w:bookmarkStart w:colFirst="0" w:colLast="0" w:name="_vz13a98l2j3g" w:id="14"/>
      <w:bookmarkEnd w:id="14"/>
      <w:r w:rsidDel="00000000" w:rsidR="00000000" w:rsidRPr="00000000">
        <w:rPr>
          <w:rtl w:val="0"/>
        </w:rPr>
        <w:t xml:space="preserve">Reglas de Negocio del Sistema de Información</w:t>
      </w:r>
    </w:p>
    <w:p w:rsidR="00000000" w:rsidDel="00000000" w:rsidP="00000000" w:rsidRDefault="00000000" w:rsidRPr="00000000" w14:paraId="000000D3">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Las reglas de negocio operan como restricciones de integridad, mecanismos de derivación matemática y condiciones de existencia que gobiernan la validez de los estados del dominio. En estricto cumplimiento del principio de rigor formal y legibilidad técnica de la cátedra, cada regla se especifica como una </w:t>
      </w:r>
      <w:r w:rsidDel="00000000" w:rsidR="00000000" w:rsidRPr="00000000">
        <w:rPr>
          <w:rFonts w:ascii="Times New Roman" w:cs="Times New Roman" w:eastAsia="Times New Roman" w:hAnsi="Times New Roman"/>
          <w:b w:val="1"/>
          <w:bCs w:val="1"/>
          <w:i w:val="0"/>
          <w:iCs w:val="0"/>
          <w:color w:val="0f172a"/>
          <w:sz w:val="24"/>
          <w:szCs w:val="24"/>
          <w:rtl w:val="0"/>
        </w:rPr>
        <w:t xml:space="preserve">Ficha Técnica Individual de Regla de Negocio</w:t>
      </w:r>
      <w:r w:rsidDel="00000000" w:rsidR="00000000" w:rsidRPr="00000000">
        <w:rPr>
          <w:rFonts w:ascii="Times New Roman" w:cs="Times New Roman" w:eastAsia="Times New Roman" w:hAnsi="Times New Roman"/>
          <w:b w:val="0"/>
          <w:bCs w:val="0"/>
          <w:i w:val="0"/>
          <w:iCs w:val="0"/>
          <w:color w:val="0f172a"/>
          <w:sz w:val="24"/>
          <w:szCs w:val="24"/>
          <w:rtl w:val="0"/>
        </w:rPr>
        <w:t xml:space="preserve"> (estructura uniforme de 2 columnas × 6 filas):</w:t>
      </w:r>
      <w:r w:rsidDel="00000000" w:rsidR="00000000" w:rsidRPr="00000000">
        <w:rPr>
          <w:rtl w:val="0"/>
        </w:rPr>
      </w:r>
    </w:p>
    <w:p w:rsidR="00000000" w:rsidDel="00000000" w:rsidP="00000000" w:rsidRDefault="00000000" w:rsidRPr="00000000" w14:paraId="000000D4">
      <w:pPr>
        <w:pStyle w:val="Heading3"/>
        <w:rPr/>
      </w:pPr>
      <w:bookmarkStart w:colFirst="0" w:colLast="0" w:name="_ncigoilf8jd6" w:id="15"/>
      <w:bookmarkEnd w:id="15"/>
      <w:r w:rsidDel="00000000" w:rsidR="00000000" w:rsidRPr="00000000">
        <w:rPr>
          <w:rtl w:val="0"/>
        </w:rPr>
        <w:t xml:space="preserve">Ficha Técnica · RN-01: Restricción de Profundidad de Descarga en Batería (DoD)</w:t>
      </w:r>
    </w:p>
    <w:tbl>
      <w:tblPr>
        <w:tblStyle w:val="Table4"/>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0D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0D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 la Regla de Negocio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0D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Código de Regla</w:t>
            </w:r>
            <w:r w:rsidDel="00000000" w:rsidR="00000000" w:rsidRPr="00000000">
              <w:rPr>
                <w:rtl w:val="0"/>
              </w:rPr>
            </w:r>
          </w:p>
        </w:tc>
        <w:tc>
          <w:tcPr/>
          <w:p w:rsidR="00000000" w:rsidDel="00000000" w:rsidP="00000000" w:rsidRDefault="00000000" w:rsidRPr="00000000" w14:paraId="000000D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RN-01</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0D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Tipo de Regla</w:t>
            </w:r>
            <w:r w:rsidDel="00000000" w:rsidR="00000000" w:rsidRPr="00000000">
              <w:rPr>
                <w:rtl w:val="0"/>
              </w:rPr>
            </w:r>
          </w:p>
        </w:tc>
        <w:tc>
          <w:tcPr/>
          <w:p w:rsidR="00000000" w:rsidDel="00000000" w:rsidP="00000000" w:rsidRDefault="00000000" w:rsidRPr="00000000" w14:paraId="000000D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Restricción de Integridad Física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0D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Enunciado Verificable</w:t>
            </w:r>
            <w:r w:rsidDel="00000000" w:rsidR="00000000" w:rsidRPr="00000000">
              <w:rPr>
                <w:rtl w:val="0"/>
              </w:rPr>
            </w:r>
          </w:p>
        </w:tc>
        <w:tc>
          <w:tcPr/>
          <w:p w:rsidR="00000000" w:rsidDel="00000000" w:rsidP="00000000" w:rsidRDefault="00000000" w:rsidRPr="00000000" w14:paraId="000000DC">
            <w:pPr>
              <w:spacing w:after="20" w:before="20" w:line="252.00000000000003" w:lineRule="auto"/>
              <w:rPr/>
            </w:pPr>
            <w:r w:rsidDel="00000000" w:rsidR="00000000" w:rsidRPr="00000000">
              <w:rPr>
                <w:rFonts w:ascii="Gungsuh" w:cs="Gungsuh" w:eastAsia="Gungsuh" w:hAnsi="Gungsuh"/>
                <w:b w:val="0"/>
                <w:bCs w:val="0"/>
                <w:i w:val="0"/>
                <w:iCs w:val="0"/>
                <w:color w:val="0f172a"/>
                <w:sz w:val="18"/>
                <w:szCs w:val="18"/>
                <w:rtl w:val="0"/>
              </w:rPr>
              <w:t xml:space="preserve">En órbitas bajas terrestres (LEO), la profundidad de descarga cíclica calculada de la batería en período de eclipse (DoD) no debe superar bajo ningún modo operativo nominal el umbral máximo del 30% (DoD ≤ 30%).</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0D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Fuente Acreditada</w:t>
            </w:r>
            <w:r w:rsidDel="00000000" w:rsidR="00000000" w:rsidRPr="00000000">
              <w:rPr>
                <w:rtl w:val="0"/>
              </w:rPr>
            </w:r>
          </w:p>
        </w:tc>
        <w:tc>
          <w:tcPr/>
          <w:p w:rsidR="00000000" w:rsidDel="00000000" w:rsidP="00000000" w:rsidRDefault="00000000" w:rsidRPr="00000000" w14:paraId="000000D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ECSS-E-ST-20C Rev. 1, Sec. 5.3.4; Matriz Fila 28</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0D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Estado de Validación</w:t>
            </w:r>
            <w:r w:rsidDel="00000000" w:rsidR="00000000" w:rsidRPr="00000000">
              <w:rPr>
                <w:rtl w:val="0"/>
              </w:rPr>
            </w:r>
          </w:p>
        </w:tc>
        <w:tc>
          <w:tcPr/>
          <w:p w:rsidR="00000000" w:rsidDel="00000000" w:rsidP="00000000" w:rsidRDefault="00000000" w:rsidRPr="00000000" w14:paraId="000000E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Validada formalmente</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0E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Requisito Derivado</w:t>
            </w:r>
            <w:r w:rsidDel="00000000" w:rsidR="00000000" w:rsidRPr="00000000">
              <w:rPr>
                <w:rtl w:val="0"/>
              </w:rPr>
            </w:r>
          </w:p>
        </w:tc>
        <w:tc>
          <w:tcPr/>
          <w:p w:rsidR="00000000" w:rsidDel="00000000" w:rsidP="00000000" w:rsidRDefault="00000000" w:rsidRPr="00000000" w14:paraId="000000E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RF-03</w:t>
            </w:r>
            <w:r w:rsidDel="00000000" w:rsidR="00000000" w:rsidRPr="00000000">
              <w:rPr>
                <w:rFonts w:ascii="Times New Roman" w:cs="Times New Roman" w:eastAsia="Times New Roman" w:hAnsi="Times New Roman"/>
                <w:b w:val="0"/>
                <w:bCs w:val="0"/>
                <w:i w:val="0"/>
                <w:iCs w:val="0"/>
                <w:color w:val="0f172a"/>
                <w:sz w:val="18"/>
                <w:szCs w:val="18"/>
                <w:rtl w:val="0"/>
              </w:rPr>
              <w:t xml:space="preserve"> (Verificación determinística de margen de batería)</w:t>
            </w:r>
            <w:r w:rsidDel="00000000" w:rsidR="00000000" w:rsidRPr="00000000">
              <w:rPr>
                <w:rtl w:val="0"/>
              </w:rPr>
            </w:r>
          </w:p>
        </w:tc>
      </w:tr>
    </w:tbl>
    <w:p w:rsidR="00000000" w:rsidDel="00000000" w:rsidP="00000000" w:rsidRDefault="00000000" w:rsidRPr="00000000" w14:paraId="000000E3">
      <w:pPr>
        <w:pStyle w:val="Heading3"/>
        <w:rPr/>
      </w:pPr>
      <w:bookmarkStart w:colFirst="0" w:colLast="0" w:name="_75yu509rur7g" w:id="16"/>
      <w:bookmarkEnd w:id="16"/>
      <w:r w:rsidDel="00000000" w:rsidR="00000000" w:rsidRPr="00000000">
        <w:rPr>
          <w:rtl w:val="0"/>
        </w:rPr>
        <w:t xml:space="preserve">Ficha Técnica · RN-02: Restricción de Margen de Potencia a Fin de Vida (EOL)</w:t>
      </w:r>
    </w:p>
    <w:tbl>
      <w:tblPr>
        <w:tblStyle w:val="Table5"/>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0E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0E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 la Regla de Negocio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0E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Código de Regla</w:t>
            </w:r>
            <w:r w:rsidDel="00000000" w:rsidR="00000000" w:rsidRPr="00000000">
              <w:rPr>
                <w:rtl w:val="0"/>
              </w:rPr>
            </w:r>
          </w:p>
        </w:tc>
        <w:tc>
          <w:tcPr/>
          <w:p w:rsidR="00000000" w:rsidDel="00000000" w:rsidP="00000000" w:rsidRDefault="00000000" w:rsidRPr="00000000" w14:paraId="000000E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RN-02</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0E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Tipo de Regla</w:t>
            </w:r>
            <w:r w:rsidDel="00000000" w:rsidR="00000000" w:rsidRPr="00000000">
              <w:rPr>
                <w:rtl w:val="0"/>
              </w:rPr>
            </w:r>
          </w:p>
        </w:tc>
        <w:tc>
          <w:tcPr/>
          <w:p w:rsidR="00000000" w:rsidDel="00000000" w:rsidP="00000000" w:rsidRDefault="00000000" w:rsidRPr="00000000" w14:paraId="000000E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Restricción de Integridad Física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0E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Enunciado Verificable</w:t>
            </w:r>
            <w:r w:rsidDel="00000000" w:rsidR="00000000" w:rsidRPr="00000000">
              <w:rPr>
                <w:rtl w:val="0"/>
              </w:rPr>
            </w:r>
          </w:p>
        </w:tc>
        <w:tc>
          <w:tcPr/>
          <w:p w:rsidR="00000000" w:rsidDel="00000000" w:rsidP="00000000" w:rsidRDefault="00000000" w:rsidRPr="00000000" w14:paraId="000000EB">
            <w:pPr>
              <w:spacing w:after="20" w:before="20" w:line="252.00000000000003" w:lineRule="auto"/>
              <w:rPr/>
            </w:pPr>
            <w:r w:rsidDel="00000000" w:rsidR="00000000" w:rsidRPr="00000000">
              <w:rPr>
                <w:rFonts w:ascii="Gungsuh" w:cs="Gungsuh" w:eastAsia="Gungsuh" w:hAnsi="Gungsuh"/>
                <w:b w:val="0"/>
                <w:bCs w:val="0"/>
                <w:i w:val="0"/>
                <w:iCs w:val="0"/>
                <w:color w:val="0f172a"/>
                <w:sz w:val="18"/>
                <w:szCs w:val="18"/>
                <w:rtl w:val="0"/>
              </w:rPr>
              <w:t xml:space="preserve">La potencia media suministrada por los paneles solares en período de insolación a fin de vida (P_sa, EOL), considerando degradación anual por radiación, debe superar en al menos un 20% la potencia total requerida por la plataforma (Margen_EOL ≥ 20%).</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0E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Fuente Acreditada</w:t>
            </w:r>
            <w:r w:rsidDel="00000000" w:rsidR="00000000" w:rsidRPr="00000000">
              <w:rPr>
                <w:rtl w:val="0"/>
              </w:rPr>
            </w:r>
          </w:p>
        </w:tc>
        <w:tc>
          <w:tcPr/>
          <w:p w:rsidR="00000000" w:rsidDel="00000000" w:rsidP="00000000" w:rsidRDefault="00000000" w:rsidRPr="00000000" w14:paraId="000000E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ECSS-E-ST-20C Rev. 1; New SMAD; Matriz Fila 30</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0E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Estado de Validación</w:t>
            </w:r>
            <w:r w:rsidDel="00000000" w:rsidR="00000000" w:rsidRPr="00000000">
              <w:rPr>
                <w:rtl w:val="0"/>
              </w:rPr>
            </w:r>
          </w:p>
        </w:tc>
        <w:tc>
          <w:tcPr/>
          <w:p w:rsidR="00000000" w:rsidDel="00000000" w:rsidP="00000000" w:rsidRDefault="00000000" w:rsidRPr="00000000" w14:paraId="000000E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Validada formalmente</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0F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Requisito Derivado</w:t>
            </w:r>
            <w:r w:rsidDel="00000000" w:rsidR="00000000" w:rsidRPr="00000000">
              <w:rPr>
                <w:rtl w:val="0"/>
              </w:rPr>
            </w:r>
          </w:p>
        </w:tc>
        <w:tc>
          <w:tcPr/>
          <w:p w:rsidR="00000000" w:rsidDel="00000000" w:rsidP="00000000" w:rsidRDefault="00000000" w:rsidRPr="00000000" w14:paraId="000000F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RF-04</w:t>
            </w:r>
            <w:r w:rsidDel="00000000" w:rsidR="00000000" w:rsidRPr="00000000">
              <w:rPr>
                <w:rFonts w:ascii="Times New Roman" w:cs="Times New Roman" w:eastAsia="Times New Roman" w:hAnsi="Times New Roman"/>
                <w:b w:val="0"/>
                <w:bCs w:val="0"/>
                <w:i w:val="0"/>
                <w:iCs w:val="0"/>
                <w:color w:val="0f172a"/>
                <w:sz w:val="18"/>
                <w:szCs w:val="18"/>
                <w:rtl w:val="0"/>
              </w:rPr>
              <w:t xml:space="preserve"> (Cálculo y alerta de margen EOL)</w:t>
            </w:r>
            <w:r w:rsidDel="00000000" w:rsidR="00000000" w:rsidRPr="00000000">
              <w:rPr>
                <w:rtl w:val="0"/>
              </w:rPr>
            </w:r>
          </w:p>
        </w:tc>
      </w:tr>
    </w:tbl>
    <w:p w:rsidR="00000000" w:rsidDel="00000000" w:rsidP="00000000" w:rsidRDefault="00000000" w:rsidRPr="00000000" w14:paraId="000000F2">
      <w:pPr>
        <w:pStyle w:val="Heading3"/>
        <w:rPr/>
      </w:pPr>
      <w:bookmarkStart w:colFirst="0" w:colLast="0" w:name="_wn5qkaxxh608" w:id="17"/>
      <w:bookmarkEnd w:id="17"/>
      <w:r w:rsidDel="00000000" w:rsidR="00000000" w:rsidRPr="00000000">
        <w:rPr>
          <w:rtl w:val="0"/>
        </w:rPr>
        <w:t xml:space="preserve">Ficha Técnica · RN-03: Derivación Analítica de Fracción de Eclipse y Órbita LEO</w:t>
      </w:r>
    </w:p>
    <w:tbl>
      <w:tblPr>
        <w:tblStyle w:val="Table6"/>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0F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0F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 la Regla de Negocio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0F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Código de Regla</w:t>
            </w:r>
            <w:r w:rsidDel="00000000" w:rsidR="00000000" w:rsidRPr="00000000">
              <w:rPr>
                <w:rtl w:val="0"/>
              </w:rPr>
            </w:r>
          </w:p>
        </w:tc>
        <w:tc>
          <w:tcPr/>
          <w:p w:rsidR="00000000" w:rsidDel="00000000" w:rsidP="00000000" w:rsidRDefault="00000000" w:rsidRPr="00000000" w14:paraId="000000F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RN-03</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0F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Tipo de Regla</w:t>
            </w:r>
            <w:r w:rsidDel="00000000" w:rsidR="00000000" w:rsidRPr="00000000">
              <w:rPr>
                <w:rtl w:val="0"/>
              </w:rPr>
            </w:r>
          </w:p>
        </w:tc>
        <w:tc>
          <w:tcPr/>
          <w:p w:rsidR="00000000" w:rsidDel="00000000" w:rsidP="00000000" w:rsidRDefault="00000000" w:rsidRPr="00000000" w14:paraId="000000F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Derivación Matemática Determinística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0F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Enunciado Verificable</w:t>
            </w:r>
            <w:r w:rsidDel="00000000" w:rsidR="00000000" w:rsidRPr="00000000">
              <w:rPr>
                <w:rtl w:val="0"/>
              </w:rPr>
            </w:r>
          </w:p>
        </w:tc>
        <w:tc>
          <w:tcPr/>
          <w:p w:rsidR="00000000" w:rsidDel="00000000" w:rsidP="00000000" w:rsidRDefault="00000000" w:rsidRPr="00000000" w14:paraId="000000F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La fracción de eclipse (f_ecl) y el tiempo de sombra (T_ecl) se derivan analíticamente a partir de la altitud orbital circular (h), el radio ecuatorial terrestre (R_E = 6378,14 km) y el ángulo beta solar (β): cos(ρ) = R_E / (R_E + h), calculando el período orbital T_orb por Tercera Ley de Kepler.</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0F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Fuente Acreditada</w:t>
            </w:r>
            <w:r w:rsidDel="00000000" w:rsidR="00000000" w:rsidRPr="00000000">
              <w:rPr>
                <w:rtl w:val="0"/>
              </w:rPr>
            </w:r>
          </w:p>
        </w:tc>
        <w:tc>
          <w:tcPr/>
          <w:p w:rsidR="00000000" w:rsidDel="00000000" w:rsidP="00000000" w:rsidRDefault="00000000" w:rsidRPr="00000000" w14:paraId="000000F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New SMAD (Wertz et al., 2011); El Hachimi et al. (2025); Matriz Fila 27</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0F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Estado de Validación</w:t>
            </w:r>
            <w:r w:rsidDel="00000000" w:rsidR="00000000" w:rsidRPr="00000000">
              <w:rPr>
                <w:rtl w:val="0"/>
              </w:rPr>
            </w:r>
          </w:p>
        </w:tc>
        <w:tc>
          <w:tcPr/>
          <w:p w:rsidR="00000000" w:rsidDel="00000000" w:rsidP="00000000" w:rsidRDefault="00000000" w:rsidRPr="00000000" w14:paraId="000000F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Validada formalmente</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0F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Requisito Derivado</w:t>
            </w:r>
            <w:r w:rsidDel="00000000" w:rsidR="00000000" w:rsidRPr="00000000">
              <w:rPr>
                <w:rtl w:val="0"/>
              </w:rPr>
            </w:r>
          </w:p>
        </w:tc>
        <w:tc>
          <w:tcPr/>
          <w:p w:rsidR="00000000" w:rsidDel="00000000" w:rsidP="00000000" w:rsidRDefault="00000000" w:rsidRPr="00000000" w14:paraId="0000010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RF-02</w:t>
            </w:r>
            <w:r w:rsidDel="00000000" w:rsidR="00000000" w:rsidRPr="00000000">
              <w:rPr>
                <w:rFonts w:ascii="Times New Roman" w:cs="Times New Roman" w:eastAsia="Times New Roman" w:hAnsi="Times New Roman"/>
                <w:b w:val="0"/>
                <w:bCs w:val="0"/>
                <w:i w:val="0"/>
                <w:iCs w:val="0"/>
                <w:color w:val="0f172a"/>
                <w:sz w:val="18"/>
                <w:szCs w:val="18"/>
                <w:rtl w:val="0"/>
              </w:rPr>
              <w:t xml:space="preserve"> (Derivación analítica de geometría orbital y eclipse)</w:t>
            </w:r>
            <w:r w:rsidDel="00000000" w:rsidR="00000000" w:rsidRPr="00000000">
              <w:rPr>
                <w:rtl w:val="0"/>
              </w:rPr>
            </w:r>
          </w:p>
        </w:tc>
      </w:tr>
    </w:tbl>
    <w:p w:rsidR="00000000" w:rsidDel="00000000" w:rsidP="00000000" w:rsidRDefault="00000000" w:rsidRPr="00000000" w14:paraId="00000101">
      <w:pPr>
        <w:pStyle w:val="Heading3"/>
        <w:rPr/>
      </w:pPr>
      <w:bookmarkStart w:colFirst="0" w:colLast="0" w:name="_op1x44787dib" w:id="18"/>
      <w:bookmarkEnd w:id="18"/>
      <w:r w:rsidDel="00000000" w:rsidR="00000000" w:rsidRPr="00000000">
        <w:rPr>
          <w:rtl w:val="0"/>
        </w:rPr>
        <w:t xml:space="preserve">Ficha Técnica · RN-04: Condición de Existencia y Trazabilidad en Decision Log</w:t>
      </w:r>
    </w:p>
    <w:tbl>
      <w:tblPr>
        <w:tblStyle w:val="Table7"/>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10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10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 la Regla de Negocio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0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Código de Regla</w:t>
            </w:r>
            <w:r w:rsidDel="00000000" w:rsidR="00000000" w:rsidRPr="00000000">
              <w:rPr>
                <w:rtl w:val="0"/>
              </w:rPr>
            </w:r>
          </w:p>
        </w:tc>
        <w:tc>
          <w:tcPr/>
          <w:p w:rsidR="00000000" w:rsidDel="00000000" w:rsidP="00000000" w:rsidRDefault="00000000" w:rsidRPr="00000000" w14:paraId="0000010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RN-04</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0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Tipo de Regla</w:t>
            </w:r>
            <w:r w:rsidDel="00000000" w:rsidR="00000000" w:rsidRPr="00000000">
              <w:rPr>
                <w:rtl w:val="0"/>
              </w:rPr>
            </w:r>
          </w:p>
        </w:tc>
        <w:tc>
          <w:tcPr/>
          <w:p w:rsidR="00000000" w:rsidDel="00000000" w:rsidP="00000000" w:rsidRDefault="00000000" w:rsidRPr="00000000" w14:paraId="0000010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Condición de Existencia e Integridad</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0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Enunciado Verificable</w:t>
            </w:r>
            <w:r w:rsidDel="00000000" w:rsidR="00000000" w:rsidRPr="00000000">
              <w:rPr>
                <w:rtl w:val="0"/>
              </w:rPr>
            </w:r>
          </w:p>
        </w:tc>
        <w:tc>
          <w:tcPr/>
          <w:p w:rsidR="00000000" w:rsidDel="00000000" w:rsidP="00000000" w:rsidRDefault="00000000" w:rsidRPr="00000000" w14:paraId="0000010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Ninguna decisión técnica puede consolidarse en el </w:t>
            </w:r>
            <w:r w:rsidDel="00000000" w:rsidR="00000000" w:rsidRPr="00000000">
              <w:rPr>
                <w:rFonts w:ascii="Consolas" w:cs="Consolas" w:eastAsia="Consolas" w:hAnsi="Consolas"/>
                <w:b w:val="0"/>
                <w:bCs w:val="0"/>
                <w:i w:val="0"/>
                <w:iCs w:val="0"/>
                <w:color w:val="334155"/>
                <w:sz w:val="15"/>
                <w:szCs w:val="15"/>
                <w:rtl w:val="0"/>
              </w:rPr>
              <w:t xml:space="preserve">DecisionLog</w:t>
            </w:r>
            <w:r w:rsidDel="00000000" w:rsidR="00000000" w:rsidRPr="00000000">
              <w:rPr>
                <w:rFonts w:ascii="Times New Roman" w:cs="Times New Roman" w:eastAsia="Times New Roman" w:hAnsi="Times New Roman"/>
                <w:b w:val="0"/>
                <w:bCs w:val="0"/>
                <w:i w:val="0"/>
                <w:iCs w:val="0"/>
                <w:color w:val="0f172a"/>
                <w:sz w:val="18"/>
                <w:szCs w:val="18"/>
                <w:rtl w:val="0"/>
              </w:rPr>
              <w:t xml:space="preserve"> sin vincularse obligatoriamente a por lo menos una fuente técnica acreditada (sección de documento ICD, norma sectorial, reporte de simulación externa o parámetro validado), declarar sus supuestos y registrar el autor (</w:t>
            </w:r>
            <w:r w:rsidDel="00000000" w:rsidR="00000000" w:rsidRPr="00000000">
              <w:rPr>
                <w:rFonts w:ascii="Consolas" w:cs="Consolas" w:eastAsia="Consolas" w:hAnsi="Consolas"/>
                <w:b w:val="0"/>
                <w:bCs w:val="0"/>
                <w:i w:val="0"/>
                <w:iCs w:val="0"/>
                <w:color w:val="334155"/>
                <w:sz w:val="15"/>
                <w:szCs w:val="15"/>
                <w:rtl w:val="0"/>
              </w:rPr>
              <w:t xml:space="preserve">PerfilIngeniero</w:t>
            </w:r>
            <w:r w:rsidDel="00000000" w:rsidR="00000000" w:rsidRPr="00000000">
              <w:rPr>
                <w:rFonts w:ascii="Times New Roman" w:cs="Times New Roman" w:eastAsia="Times New Roman" w:hAnsi="Times New Roman"/>
                <w:b w:val="0"/>
                <w:bCs w:val="0"/>
                <w:i w:val="0"/>
                <w:iCs w:val="0"/>
                <w:color w:val="0f172a"/>
                <w:sz w:val="18"/>
                <w:szCs w:val="18"/>
                <w:rtl w:val="0"/>
              </w:rPr>
              <w:t xml:space="preserve">).</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0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Fuente Acreditada</w:t>
            </w:r>
            <w:r w:rsidDel="00000000" w:rsidR="00000000" w:rsidRPr="00000000">
              <w:rPr>
                <w:rtl w:val="0"/>
              </w:rPr>
            </w:r>
          </w:p>
        </w:tc>
        <w:tc>
          <w:tcPr/>
          <w:p w:rsidR="00000000" w:rsidDel="00000000" w:rsidP="00000000" w:rsidRDefault="00000000" w:rsidRPr="00000000" w14:paraId="0000010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Capítulo I (Sec. I.6 · Módulo de Trazabilidad); Principio de Cadena de Evidencia (Yin, 2018)</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0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Estado de Validación</w:t>
            </w:r>
            <w:r w:rsidDel="00000000" w:rsidR="00000000" w:rsidRPr="00000000">
              <w:rPr>
                <w:rtl w:val="0"/>
              </w:rPr>
            </w:r>
          </w:p>
        </w:tc>
        <w:tc>
          <w:tcPr/>
          <w:p w:rsidR="00000000" w:rsidDel="00000000" w:rsidP="00000000" w:rsidRDefault="00000000" w:rsidRPr="00000000" w14:paraId="0000010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Validada formalmente</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0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Requisito Derivado</w:t>
            </w:r>
            <w:r w:rsidDel="00000000" w:rsidR="00000000" w:rsidRPr="00000000">
              <w:rPr>
                <w:rtl w:val="0"/>
              </w:rPr>
            </w:r>
          </w:p>
        </w:tc>
        <w:tc>
          <w:tcPr/>
          <w:p w:rsidR="00000000" w:rsidDel="00000000" w:rsidP="00000000" w:rsidRDefault="00000000" w:rsidRPr="00000000" w14:paraId="0000010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RF-06</w:t>
            </w:r>
            <w:r w:rsidDel="00000000" w:rsidR="00000000" w:rsidRPr="00000000">
              <w:rPr>
                <w:rFonts w:ascii="Times New Roman" w:cs="Times New Roman" w:eastAsia="Times New Roman" w:hAnsi="Times New Roman"/>
                <w:b w:val="0"/>
                <w:bCs w:val="0"/>
                <w:i w:val="0"/>
                <w:iCs w:val="0"/>
                <w:color w:val="0f172a"/>
                <w:sz w:val="18"/>
                <w:szCs w:val="18"/>
                <w:rtl w:val="0"/>
              </w:rPr>
              <w:t xml:space="preserve"> y </w:t>
            </w:r>
            <w:r w:rsidDel="00000000" w:rsidR="00000000" w:rsidRPr="00000000">
              <w:rPr>
                <w:rFonts w:ascii="Times New Roman" w:cs="Times New Roman" w:eastAsia="Times New Roman" w:hAnsi="Times New Roman"/>
                <w:b w:val="1"/>
                <w:bCs w:val="1"/>
                <w:i w:val="0"/>
                <w:iCs w:val="0"/>
                <w:color w:val="0f172a"/>
                <w:sz w:val="18"/>
                <w:szCs w:val="18"/>
                <w:rtl w:val="0"/>
              </w:rPr>
              <w:t xml:space="preserve">RF-09</w:t>
            </w:r>
            <w:r w:rsidDel="00000000" w:rsidR="00000000" w:rsidRPr="00000000">
              <w:rPr>
                <w:rFonts w:ascii="Times New Roman" w:cs="Times New Roman" w:eastAsia="Times New Roman" w:hAnsi="Times New Roman"/>
                <w:b w:val="0"/>
                <w:bCs w:val="0"/>
                <w:i w:val="0"/>
                <w:iCs w:val="0"/>
                <w:color w:val="0f172a"/>
                <w:sz w:val="18"/>
                <w:szCs w:val="18"/>
                <w:rtl w:val="0"/>
              </w:rPr>
              <w:t xml:space="preserve"> (Trazabilidad y pista de auditoría)</w:t>
            </w:r>
            <w:r w:rsidDel="00000000" w:rsidR="00000000" w:rsidRPr="00000000">
              <w:rPr>
                <w:rtl w:val="0"/>
              </w:rPr>
            </w:r>
          </w:p>
        </w:tc>
      </w:tr>
    </w:tbl>
    <w:p w:rsidR="00000000" w:rsidDel="00000000" w:rsidP="00000000" w:rsidRDefault="00000000" w:rsidRPr="00000000" w14:paraId="00000110">
      <w:pPr>
        <w:pStyle w:val="Heading3"/>
        <w:rPr/>
      </w:pPr>
      <w:bookmarkStart w:colFirst="0" w:colLast="0" w:name="_ov5jxqg0znsj" w:id="19"/>
      <w:bookmarkEnd w:id="19"/>
      <w:r w:rsidDel="00000000" w:rsidR="00000000" w:rsidRPr="00000000">
        <w:rPr>
          <w:rtl w:val="0"/>
        </w:rPr>
        <w:t xml:space="preserve">Ficha Técnica · RN-05: Restricción de Envolvente y Factor de Forma Cal Poly</w:t>
      </w:r>
    </w:p>
    <w:tbl>
      <w:tblPr>
        <w:tblStyle w:val="Table8"/>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11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11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 la Regla de Negocio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1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Código de Regla</w:t>
            </w:r>
            <w:r w:rsidDel="00000000" w:rsidR="00000000" w:rsidRPr="00000000">
              <w:rPr>
                <w:rtl w:val="0"/>
              </w:rPr>
            </w:r>
          </w:p>
        </w:tc>
        <w:tc>
          <w:tcPr/>
          <w:p w:rsidR="00000000" w:rsidDel="00000000" w:rsidP="00000000" w:rsidRDefault="00000000" w:rsidRPr="00000000" w14:paraId="0000011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RN-05</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1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Tipo de Regla</w:t>
            </w:r>
            <w:r w:rsidDel="00000000" w:rsidR="00000000" w:rsidRPr="00000000">
              <w:rPr>
                <w:rtl w:val="0"/>
              </w:rPr>
            </w:r>
          </w:p>
        </w:tc>
        <w:tc>
          <w:tcPr/>
          <w:p w:rsidR="00000000" w:rsidDel="00000000" w:rsidP="00000000" w:rsidRDefault="00000000" w:rsidRPr="00000000" w14:paraId="0000011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Restricción de Contorno Dimensional y Masa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1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Enunciado Verificable</w:t>
            </w:r>
            <w:r w:rsidDel="00000000" w:rsidR="00000000" w:rsidRPr="00000000">
              <w:rPr>
                <w:rtl w:val="0"/>
              </w:rPr>
            </w:r>
          </w:p>
        </w:tc>
        <w:tc>
          <w:tcPr/>
          <w:p w:rsidR="00000000" w:rsidDel="00000000" w:rsidP="00000000" w:rsidRDefault="00000000" w:rsidRPr="00000000" w14:paraId="0000011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Todo parámetro geométrico y de masa asignado a componentes del subsistema EPS debe encuadrarse estrictamente dentro de los límites de factor de forma estandarizados por Cal Poly (1U: volumen 10\times10\times10 cm³, masa máx. 1,33 kg; 3U: volumen 10\times10\times34 cm³, masa máx. 4,0 kg).</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1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Fuente Acreditada</w:t>
            </w:r>
            <w:r w:rsidDel="00000000" w:rsidR="00000000" w:rsidRPr="00000000">
              <w:rPr>
                <w:rtl w:val="0"/>
              </w:rPr>
            </w:r>
          </w:p>
        </w:tc>
        <w:tc>
          <w:tcPr/>
          <w:p w:rsidR="00000000" w:rsidDel="00000000" w:rsidP="00000000" w:rsidRDefault="00000000" w:rsidRPr="00000000" w14:paraId="0000011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CubeSat Design Specification REV 14.1 (Cal Poly, 2024); Matriz Fila 20</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1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Estado de Validación</w:t>
            </w:r>
            <w:r w:rsidDel="00000000" w:rsidR="00000000" w:rsidRPr="00000000">
              <w:rPr>
                <w:rtl w:val="0"/>
              </w:rPr>
            </w:r>
          </w:p>
        </w:tc>
        <w:tc>
          <w:tcPr/>
          <w:p w:rsidR="00000000" w:rsidDel="00000000" w:rsidP="00000000" w:rsidRDefault="00000000" w:rsidRPr="00000000" w14:paraId="0000011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Validada formalmente</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1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Requisito Derivado</w:t>
            </w:r>
            <w:r w:rsidDel="00000000" w:rsidR="00000000" w:rsidRPr="00000000">
              <w:rPr>
                <w:rtl w:val="0"/>
              </w:rPr>
            </w:r>
          </w:p>
        </w:tc>
        <w:tc>
          <w:tcPr/>
          <w:p w:rsidR="00000000" w:rsidDel="00000000" w:rsidP="00000000" w:rsidRDefault="00000000" w:rsidRPr="00000000" w14:paraId="0000011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RF-05</w:t>
            </w:r>
            <w:r w:rsidDel="00000000" w:rsidR="00000000" w:rsidRPr="00000000">
              <w:rPr>
                <w:rFonts w:ascii="Times New Roman" w:cs="Times New Roman" w:eastAsia="Times New Roman" w:hAnsi="Times New Roman"/>
                <w:b w:val="0"/>
                <w:bCs w:val="0"/>
                <w:i w:val="0"/>
                <w:iCs w:val="0"/>
                <w:color w:val="0f172a"/>
                <w:sz w:val="18"/>
                <w:szCs w:val="18"/>
                <w:rtl w:val="0"/>
              </w:rPr>
              <w:t xml:space="preserve"> (Validación de envolvente dimensional y masa CubeSat)</w:t>
            </w:r>
            <w:r w:rsidDel="00000000" w:rsidR="00000000" w:rsidRPr="00000000">
              <w:rPr>
                <w:rtl w:val="0"/>
              </w:rPr>
            </w:r>
          </w:p>
        </w:tc>
      </w:tr>
    </w:tbl>
    <w:p w:rsidR="00000000" w:rsidDel="00000000" w:rsidP="00000000" w:rsidRDefault="00000000" w:rsidRPr="00000000" w14:paraId="0000011F">
      <w:pPr>
        <w:pStyle w:val="Heading3"/>
        <w:rPr/>
      </w:pPr>
      <w:bookmarkStart w:colFirst="0" w:colLast="0" w:name="_96qot6ey42el" w:id="20"/>
      <w:bookmarkEnd w:id="20"/>
      <w:r w:rsidDel="00000000" w:rsidR="00000000" w:rsidRPr="00000000">
        <w:rPr>
          <w:rtl w:val="0"/>
        </w:rPr>
        <w:t xml:space="preserve">Ficha Técnica · RN-06: Derivación Ponderada de Demanda Cognitiva NASA-TLX</w:t>
      </w:r>
    </w:p>
    <w:tbl>
      <w:tblPr>
        <w:tblStyle w:val="Table9"/>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12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12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 la Regla de Negocio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2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Código de Regla</w:t>
            </w:r>
            <w:r w:rsidDel="00000000" w:rsidR="00000000" w:rsidRPr="00000000">
              <w:rPr>
                <w:rtl w:val="0"/>
              </w:rPr>
            </w:r>
          </w:p>
        </w:tc>
        <w:tc>
          <w:tcPr/>
          <w:p w:rsidR="00000000" w:rsidDel="00000000" w:rsidP="00000000" w:rsidRDefault="00000000" w:rsidRPr="00000000" w14:paraId="0000012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RN-06</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2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Tipo de Regla</w:t>
            </w:r>
            <w:r w:rsidDel="00000000" w:rsidR="00000000" w:rsidRPr="00000000">
              <w:rPr>
                <w:rtl w:val="0"/>
              </w:rPr>
            </w:r>
          </w:p>
        </w:tc>
        <w:tc>
          <w:tcPr/>
          <w:p w:rsidR="00000000" w:rsidDel="00000000" w:rsidP="00000000" w:rsidRDefault="00000000" w:rsidRPr="00000000" w14:paraId="0000012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Derivación Psicométrica Ponderada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2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Enunciado Verificable</w:t>
            </w:r>
            <w:r w:rsidDel="00000000" w:rsidR="00000000" w:rsidRPr="00000000">
              <w:rPr>
                <w:rtl w:val="0"/>
              </w:rPr>
            </w:r>
          </w:p>
        </w:tc>
        <w:tc>
          <w:tcPr/>
          <w:p w:rsidR="00000000" w:rsidDel="00000000" w:rsidP="00000000" w:rsidRDefault="00000000" w:rsidRPr="00000000" w14:paraId="00000127">
            <w:pPr>
              <w:spacing w:after="20" w:before="20" w:line="252.00000000000003" w:lineRule="auto"/>
              <w:rPr/>
            </w:pPr>
            <w:r w:rsidDel="00000000" w:rsidR="00000000" w:rsidRPr="00000000">
              <w:rPr>
                <w:rFonts w:ascii="Gungsuh" w:cs="Gungsuh" w:eastAsia="Gungsuh" w:hAnsi="Gungsuh"/>
                <w:b w:val="0"/>
                <w:bCs w:val="0"/>
                <w:i w:val="0"/>
                <w:iCs w:val="0"/>
                <w:color w:val="0f172a"/>
                <w:sz w:val="18"/>
                <w:szCs w:val="18"/>
                <w:rtl w:val="0"/>
              </w:rPr>
              <w:t xml:space="preserve">El puntaje global de carga cognitiva (TLX_global ∈ [0, 100]) se deriva mediante la suma ponderada de las seis subescalas de demanda (mental, física, temporal, esfuerzo, rendimiento y frustración), utilizando los coeficientes obtenidos por el procedimiento de quince comparaciones pareadas.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2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Fuente Acreditada</w:t>
            </w:r>
            <w:r w:rsidDel="00000000" w:rsidR="00000000" w:rsidRPr="00000000">
              <w:rPr>
                <w:rtl w:val="0"/>
              </w:rPr>
            </w:r>
          </w:p>
        </w:tc>
        <w:tc>
          <w:tcPr/>
          <w:p w:rsidR="00000000" w:rsidDel="00000000" w:rsidP="00000000" w:rsidRDefault="00000000" w:rsidRPr="00000000" w14:paraId="0000012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Hart &amp; Staveland (1988); NTP 544 (INSST, 2001); Matriz Filas 33 y 34</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2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Estado de Validación</w:t>
            </w:r>
            <w:r w:rsidDel="00000000" w:rsidR="00000000" w:rsidRPr="00000000">
              <w:rPr>
                <w:rtl w:val="0"/>
              </w:rPr>
            </w:r>
          </w:p>
        </w:tc>
        <w:tc>
          <w:tcPr/>
          <w:p w:rsidR="00000000" w:rsidDel="00000000" w:rsidP="00000000" w:rsidRDefault="00000000" w:rsidRPr="00000000" w14:paraId="0000012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Validada formalmente</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2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Requisito Derivado</w:t>
            </w:r>
            <w:r w:rsidDel="00000000" w:rsidR="00000000" w:rsidRPr="00000000">
              <w:rPr>
                <w:rtl w:val="0"/>
              </w:rPr>
            </w:r>
          </w:p>
        </w:tc>
        <w:tc>
          <w:tcPr/>
          <w:p w:rsidR="00000000" w:rsidDel="00000000" w:rsidP="00000000" w:rsidRDefault="00000000" w:rsidRPr="00000000" w14:paraId="0000012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RF-07</w:t>
            </w:r>
            <w:r w:rsidDel="00000000" w:rsidR="00000000" w:rsidRPr="00000000">
              <w:rPr>
                <w:rFonts w:ascii="Times New Roman" w:cs="Times New Roman" w:eastAsia="Times New Roman" w:hAnsi="Times New Roman"/>
                <w:b w:val="0"/>
                <w:bCs w:val="0"/>
                <w:i w:val="0"/>
                <w:iCs w:val="0"/>
                <w:color w:val="0f172a"/>
                <w:sz w:val="18"/>
                <w:szCs w:val="18"/>
                <w:rtl w:val="0"/>
              </w:rPr>
              <w:t xml:space="preserve"> (Instrumentación y cálculo de carga cognitiva NASA-TLX)</w:t>
            </w:r>
            <w:r w:rsidDel="00000000" w:rsidR="00000000" w:rsidRPr="00000000">
              <w:rPr>
                <w:rtl w:val="0"/>
              </w:rPr>
            </w:r>
          </w:p>
        </w:tc>
      </w:tr>
    </w:tbl>
    <w:p w:rsidR="00000000" w:rsidDel="00000000" w:rsidP="00000000" w:rsidRDefault="00000000" w:rsidRPr="00000000" w14:paraId="0000012E">
      <w:pPr>
        <w:pStyle w:val="Heading3"/>
        <w:rPr/>
      </w:pPr>
      <w:bookmarkStart w:colFirst="0" w:colLast="0" w:name="_5vnimlag8qye" w:id="21"/>
      <w:bookmarkEnd w:id="21"/>
      <w:r w:rsidDel="00000000" w:rsidR="00000000" w:rsidRPr="00000000">
        <w:rPr>
          <w:rtl w:val="0"/>
        </w:rPr>
        <w:t xml:space="preserve">Ficha Técnica · RN-07: Restricción y Adaptación Cognitiva Dual según Umbral TLX</w:t>
      </w:r>
    </w:p>
    <w:tbl>
      <w:tblPr>
        <w:tblStyle w:val="Table10"/>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12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13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 la Regla de Negocio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3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Código de Regla</w:t>
            </w:r>
            <w:r w:rsidDel="00000000" w:rsidR="00000000" w:rsidRPr="00000000">
              <w:rPr>
                <w:rtl w:val="0"/>
              </w:rPr>
            </w:r>
          </w:p>
        </w:tc>
        <w:tc>
          <w:tcPr/>
          <w:p w:rsidR="00000000" w:rsidDel="00000000" w:rsidP="00000000" w:rsidRDefault="00000000" w:rsidRPr="00000000" w14:paraId="0000013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RN-07</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3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Tipo de Regla</w:t>
            </w:r>
            <w:r w:rsidDel="00000000" w:rsidR="00000000" w:rsidRPr="00000000">
              <w:rPr>
                <w:rtl w:val="0"/>
              </w:rPr>
            </w:r>
          </w:p>
        </w:tc>
        <w:tc>
          <w:tcPr/>
          <w:p w:rsidR="00000000" w:rsidDel="00000000" w:rsidP="00000000" w:rsidRDefault="00000000" w:rsidRPr="00000000" w14:paraId="0000013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Restricción Operativa y Adaptación de Interfaz</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3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Enunciado Verificable</w:t>
            </w:r>
            <w:r w:rsidDel="00000000" w:rsidR="00000000" w:rsidRPr="00000000">
              <w:rPr>
                <w:rtl w:val="0"/>
              </w:rPr>
            </w:r>
          </w:p>
        </w:tc>
        <w:tc>
          <w:tcPr/>
          <w:p w:rsidR="00000000" w:rsidDel="00000000" w:rsidP="00000000" w:rsidRDefault="00000000" w:rsidRPr="00000000" w14:paraId="00000136">
            <w:pPr>
              <w:spacing w:after="20" w:before="20" w:line="252.00000000000003" w:lineRule="auto"/>
              <w:rPr/>
            </w:pPr>
            <w:r w:rsidDel="00000000" w:rsidR="00000000" w:rsidRPr="00000000">
              <w:rPr>
                <w:rFonts w:ascii="Gungsuh" w:cs="Gungsuh" w:eastAsia="Gungsuh" w:hAnsi="Gungsuh"/>
                <w:b w:val="0"/>
                <w:bCs w:val="0"/>
                <w:i w:val="0"/>
                <w:iCs w:val="0"/>
                <w:color w:val="0f172a"/>
                <w:sz w:val="18"/>
                <w:szCs w:val="18"/>
                <w:rtl w:val="0"/>
              </w:rPr>
              <w:t xml:space="preserve">Si el índice global de carga cognitiva calculado del operador alcanza o supera el umbral crítico de 60 puntos (TLX_global ≥ 60), el arnés cognitivo activa obligatoriamente el modo de baja carga intrínseca, reformulando la respuesta mediante un agente adaptador a formato visual y sintético (tarjetas métricas, semáforos y viñetas telegráficas con palabras clave destacadas), habilitando en la interfaz un control para acceder a la derivación técnica completa; si TLX_global &lt; 60, se despliega por defecto el dictamen explicativo detallado.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3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Fuente Acreditada</w:t>
            </w:r>
            <w:r w:rsidDel="00000000" w:rsidR="00000000" w:rsidRPr="00000000">
              <w:rPr>
                <w:rtl w:val="0"/>
              </w:rPr>
            </w:r>
          </w:p>
        </w:tc>
        <w:tc>
          <w:tcPr/>
          <w:p w:rsidR="00000000" w:rsidDel="00000000" w:rsidP="00000000" w:rsidRDefault="00000000" w:rsidRPr="00000000" w14:paraId="0000013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Sweller (1988, Cognitive Load Theory); ISO 9241-210; Matriz Filas 33-35</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3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Estado de Validación</w:t>
            </w:r>
            <w:r w:rsidDel="00000000" w:rsidR="00000000" w:rsidRPr="00000000">
              <w:rPr>
                <w:rtl w:val="0"/>
              </w:rPr>
            </w:r>
          </w:p>
        </w:tc>
        <w:tc>
          <w:tcPr/>
          <w:p w:rsidR="00000000" w:rsidDel="00000000" w:rsidP="00000000" w:rsidRDefault="00000000" w:rsidRPr="00000000" w14:paraId="0000013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Validada formalmente</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3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Requisito Derivado</w:t>
            </w:r>
            <w:r w:rsidDel="00000000" w:rsidR="00000000" w:rsidRPr="00000000">
              <w:rPr>
                <w:rtl w:val="0"/>
              </w:rPr>
            </w:r>
          </w:p>
        </w:tc>
        <w:tc>
          <w:tcPr/>
          <w:p w:rsidR="00000000" w:rsidDel="00000000" w:rsidP="00000000" w:rsidRDefault="00000000" w:rsidRPr="00000000" w14:paraId="0000013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RF-12</w:t>
            </w:r>
            <w:r w:rsidDel="00000000" w:rsidR="00000000" w:rsidRPr="00000000">
              <w:rPr>
                <w:rFonts w:ascii="Times New Roman" w:cs="Times New Roman" w:eastAsia="Times New Roman" w:hAnsi="Times New Roman"/>
                <w:b w:val="0"/>
                <w:bCs w:val="0"/>
                <w:i w:val="0"/>
                <w:iCs w:val="0"/>
                <w:color w:val="0f172a"/>
                <w:sz w:val="18"/>
                <w:szCs w:val="18"/>
                <w:rtl w:val="0"/>
              </w:rPr>
              <w:t xml:space="preserve"> (Chat de Hilo Digital y Adaptación Cognitiva Dual)</w:t>
            </w:r>
            <w:r w:rsidDel="00000000" w:rsidR="00000000" w:rsidRPr="00000000">
              <w:rPr>
                <w:rtl w:val="0"/>
              </w:rPr>
            </w:r>
          </w:p>
        </w:tc>
      </w:tr>
    </w:tbl>
    <w:p w:rsidR="00000000" w:rsidDel="00000000" w:rsidP="00000000" w:rsidRDefault="00000000" w:rsidRPr="00000000" w14:paraId="0000013D">
      <w:pPr>
        <w:pStyle w:val="Heading3"/>
        <w:rPr/>
      </w:pPr>
      <w:bookmarkStart w:colFirst="0" w:colLast="0" w:name="_o9z22efrijoi" w:id="22"/>
      <w:bookmarkEnd w:id="22"/>
      <w:r w:rsidDel="00000000" w:rsidR="00000000" w:rsidRPr="00000000">
        <w:rPr>
          <w:rFonts w:ascii="Times New Roman" w:cs="Times New Roman" w:eastAsia="Times New Roman" w:hAnsi="Times New Roman"/>
          <w:b w:val="1"/>
          <w:bCs w:val="1"/>
          <w:i w:val="0"/>
          <w:iCs w:val="0"/>
          <w:color w:val="0f172a"/>
          <w:sz w:val="24"/>
          <w:szCs w:val="24"/>
          <w:rtl w:val="0"/>
        </w:rPr>
        <w:t xml:space="preserve">Tabla III.4: Glosario del Dominio</w:t>
      </w:r>
      <w:r w:rsidDel="00000000" w:rsidR="00000000" w:rsidRPr="00000000">
        <w:rPr>
          <w:rtl w:val="0"/>
        </w:rPr>
      </w:r>
    </w:p>
    <w:tbl>
      <w:tblPr>
        <w:tblStyle w:val="Table11"/>
        <w:tblW w:w="8505.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1701"/>
        <w:gridCol w:w="1701"/>
        <w:gridCol w:w="1701"/>
        <w:gridCol w:w="1701"/>
        <w:gridCol w:w="1701"/>
        <w:tblGridChange w:id="0">
          <w:tblGrid>
            <w:gridCol w:w="1701"/>
            <w:gridCol w:w="1701"/>
            <w:gridCol w:w="1701"/>
            <w:gridCol w:w="1701"/>
            <w:gridCol w:w="1701"/>
          </w:tblGrid>
        </w:tblGridChange>
      </w:tblGrid>
      <w:tr>
        <w:trPr>
          <w:cantSplit w:val="1"/>
          <w:tblHeader w:val="1"/>
        </w:trPr>
        <w:tc>
          <w:tcPr>
            <w:shd w:fill="f1f5f9" w:val="clear"/>
          </w:tcPr>
          <w:p w:rsidR="00000000" w:rsidDel="00000000" w:rsidP="00000000" w:rsidRDefault="00000000" w:rsidRPr="00000000" w14:paraId="0000013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Término Organizacional</w:t>
            </w:r>
            <w:r w:rsidDel="00000000" w:rsidR="00000000" w:rsidRPr="00000000">
              <w:rPr>
                <w:rtl w:val="0"/>
              </w:rPr>
            </w:r>
          </w:p>
        </w:tc>
        <w:tc>
          <w:tcPr>
            <w:shd w:fill="f1f5f9" w:val="clear"/>
          </w:tcPr>
          <w:p w:rsidR="00000000" w:rsidDel="00000000" w:rsidP="00000000" w:rsidRDefault="00000000" w:rsidRPr="00000000" w14:paraId="0000013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Definición Operativa en el Sistema</w:t>
            </w:r>
            <w:r w:rsidDel="00000000" w:rsidR="00000000" w:rsidRPr="00000000">
              <w:rPr>
                <w:rtl w:val="0"/>
              </w:rPr>
            </w:r>
          </w:p>
        </w:tc>
        <w:tc>
          <w:tcPr>
            <w:shd w:fill="f1f5f9" w:val="clear"/>
          </w:tcPr>
          <w:p w:rsidR="00000000" w:rsidDel="00000000" w:rsidP="00000000" w:rsidRDefault="00000000" w:rsidRPr="00000000" w14:paraId="0000014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Falsos Amigos / Errores de Concepto Detectados</w:t>
            </w:r>
            <w:r w:rsidDel="00000000" w:rsidR="00000000" w:rsidRPr="00000000">
              <w:rPr>
                <w:rtl w:val="0"/>
              </w:rPr>
            </w:r>
          </w:p>
        </w:tc>
        <w:tc>
          <w:tcPr>
            <w:shd w:fill="f1f5f9" w:val="clear"/>
          </w:tcPr>
          <w:p w:rsidR="00000000" w:rsidDel="00000000" w:rsidP="00000000" w:rsidRDefault="00000000" w:rsidRPr="00000000" w14:paraId="0000014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Fuente Acreditada</w:t>
            </w:r>
            <w:r w:rsidDel="00000000" w:rsidR="00000000" w:rsidRPr="00000000">
              <w:rPr>
                <w:rtl w:val="0"/>
              </w:rPr>
            </w:r>
          </w:p>
        </w:tc>
        <w:tc>
          <w:tcPr>
            <w:shd w:fill="f1f5f9" w:val="clear"/>
          </w:tcPr>
          <w:p w:rsidR="00000000" w:rsidDel="00000000" w:rsidP="00000000" w:rsidRDefault="00000000" w:rsidRPr="00000000" w14:paraId="0000014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¿Estuvo en Disputa?</w:t>
            </w:r>
            <w:r w:rsidDel="00000000" w:rsidR="00000000" w:rsidRPr="00000000">
              <w:rPr>
                <w:rtl w:val="0"/>
              </w:rPr>
            </w:r>
          </w:p>
        </w:tc>
      </w:tr>
      <w:tr>
        <w:trPr>
          <w:cantSplit w:val="1"/>
          <w:tblHeader w:val="0"/>
        </w:trPr>
        <w:tc>
          <w:tcPr/>
          <w:p w:rsidR="00000000" w:rsidDel="00000000" w:rsidP="00000000" w:rsidRDefault="00000000" w:rsidRPr="00000000" w14:paraId="0000014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Power Budget</w:t>
            </w:r>
            <w:r w:rsidDel="00000000" w:rsidR="00000000" w:rsidRPr="00000000">
              <w:rPr>
                <w:rFonts w:ascii="Times New Roman" w:cs="Times New Roman" w:eastAsia="Times New Roman" w:hAnsi="Times New Roman"/>
                <w:b w:val="0"/>
                <w:bCs w:val="0"/>
                <w:i w:val="0"/>
                <w:iCs w:val="0"/>
                <w:color w:val="0f172a"/>
                <w:sz w:val="17"/>
                <w:szCs w:val="17"/>
                <w:rtl w:val="0"/>
              </w:rPr>
              <w:t xml:space="preserve"> (</w:t>
            </w:r>
            <w:r w:rsidDel="00000000" w:rsidR="00000000" w:rsidRPr="00000000">
              <w:rPr>
                <w:rFonts w:ascii="Times New Roman" w:cs="Times New Roman" w:eastAsia="Times New Roman" w:hAnsi="Times New Roman"/>
                <w:b w:val="0"/>
                <w:bCs w:val="0"/>
                <w:i w:val="1"/>
                <w:iCs w:val="1"/>
                <w:color w:val="0f172a"/>
                <w:sz w:val="17"/>
                <w:szCs w:val="17"/>
                <w:rtl w:val="0"/>
              </w:rPr>
              <w:t xml:space="preserve">Presupuesto de Potencia</w:t>
            </w:r>
            <w:r w:rsidDel="00000000" w:rsidR="00000000" w:rsidRPr="00000000">
              <w:rPr>
                <w:rFonts w:ascii="Times New Roman" w:cs="Times New Roman" w:eastAsia="Times New Roman" w:hAnsi="Times New Roman"/>
                <w:b w:val="0"/>
                <w:bCs w:val="0"/>
                <w:i w:val="0"/>
                <w:iCs w:val="0"/>
                <w:color w:val="0f172a"/>
                <w:sz w:val="17"/>
                <w:szCs w:val="17"/>
                <w:rtl w:val="0"/>
              </w:rPr>
              <w:t xml:space="preserve">)</w:t>
            </w:r>
            <w:r w:rsidDel="00000000" w:rsidR="00000000" w:rsidRPr="00000000">
              <w:rPr>
                <w:rtl w:val="0"/>
              </w:rPr>
            </w:r>
          </w:p>
        </w:tc>
        <w:tc>
          <w:tcPr/>
          <w:p w:rsidR="00000000" w:rsidDel="00000000" w:rsidP="00000000" w:rsidRDefault="00000000" w:rsidRPr="00000000" w14:paraId="0000014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Matriz de balance cuantitativo entre la energía recolectada por paneles solares y la energía consumida por todos los subsistemas en cada modo operativo y fase orbital.</w:t>
            </w:r>
            <w:r w:rsidDel="00000000" w:rsidR="00000000" w:rsidRPr="00000000">
              <w:rPr>
                <w:rtl w:val="0"/>
              </w:rPr>
            </w:r>
          </w:p>
        </w:tc>
        <w:tc>
          <w:tcPr/>
          <w:p w:rsidR="00000000" w:rsidDel="00000000" w:rsidP="00000000" w:rsidRDefault="00000000" w:rsidRPr="00000000" w14:paraId="0000014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No es un presupuesto financiero ni un costo monetario; es un balance físico estricto de vatios y amperios-hora.</w:t>
            </w:r>
            <w:r w:rsidDel="00000000" w:rsidR="00000000" w:rsidRPr="00000000">
              <w:rPr>
                <w:rtl w:val="0"/>
              </w:rPr>
            </w:r>
          </w:p>
        </w:tc>
        <w:tc>
          <w:tcPr/>
          <w:p w:rsidR="00000000" w:rsidDel="00000000" w:rsidP="00000000" w:rsidRDefault="00000000" w:rsidRPr="00000000" w14:paraId="0000014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Entrevista Sonia Botta; New SMAD (Wertz et al., 2011)</w:t>
            </w:r>
            <w:r w:rsidDel="00000000" w:rsidR="00000000" w:rsidRPr="00000000">
              <w:rPr>
                <w:rtl w:val="0"/>
              </w:rPr>
            </w:r>
          </w:p>
        </w:tc>
        <w:tc>
          <w:tcPr/>
          <w:p w:rsidR="00000000" w:rsidDel="00000000" w:rsidP="00000000" w:rsidRDefault="00000000" w:rsidRPr="00000000" w14:paraId="0000014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No (consensuado)</w:t>
            </w:r>
            <w:r w:rsidDel="00000000" w:rsidR="00000000" w:rsidRPr="00000000">
              <w:rPr>
                <w:rtl w:val="0"/>
              </w:rPr>
            </w:r>
          </w:p>
        </w:tc>
      </w:tr>
      <w:tr>
        <w:trPr>
          <w:cantSplit w:val="1"/>
          <w:tblHeader w:val="0"/>
        </w:trPr>
        <w:tc>
          <w:tcPr/>
          <w:p w:rsidR="00000000" w:rsidDel="00000000" w:rsidP="00000000" w:rsidRDefault="00000000" w:rsidRPr="00000000" w14:paraId="0000014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Depth of Discharge (DoD)</w:t>
            </w:r>
            <w:r w:rsidDel="00000000" w:rsidR="00000000" w:rsidRPr="00000000">
              <w:rPr>
                <w:rtl w:val="0"/>
              </w:rPr>
            </w:r>
          </w:p>
        </w:tc>
        <w:tc>
          <w:tcPr/>
          <w:p w:rsidR="00000000" w:rsidDel="00000000" w:rsidP="00000000" w:rsidRDefault="00000000" w:rsidRPr="00000000" w14:paraId="0000014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Porcentaje de la capacidad total de la batería que se descarga durante el período de eclipse respecto a su capacidad nominal (DoD = (P_ecl · T_ecl) / C_bat × 100%).</w:t>
            </w:r>
            <w:r w:rsidDel="00000000" w:rsidR="00000000" w:rsidRPr="00000000">
              <w:rPr>
                <w:rtl w:val="0"/>
              </w:rPr>
            </w:r>
          </w:p>
        </w:tc>
        <w:tc>
          <w:tcPr/>
          <w:p w:rsidR="00000000" w:rsidDel="00000000" w:rsidP="00000000" w:rsidRDefault="00000000" w:rsidRPr="00000000" w14:paraId="0000014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No equivale al estado de carga restante (</w:t>
            </w:r>
            <w:r w:rsidDel="00000000" w:rsidR="00000000" w:rsidRPr="00000000">
              <w:rPr>
                <w:rFonts w:ascii="Times New Roman" w:cs="Times New Roman" w:eastAsia="Times New Roman" w:hAnsi="Times New Roman"/>
                <w:b w:val="0"/>
                <w:bCs w:val="0"/>
                <w:i w:val="1"/>
                <w:iCs w:val="1"/>
                <w:color w:val="0f172a"/>
                <w:sz w:val="17"/>
                <w:szCs w:val="17"/>
                <w:rtl w:val="0"/>
              </w:rPr>
              <w:t xml:space="preserve">State of Charge - SoC</w:t>
            </w:r>
            <w:r w:rsidDel="00000000" w:rsidR="00000000" w:rsidRPr="00000000">
              <w:rPr>
                <w:rFonts w:ascii="Times New Roman" w:cs="Times New Roman" w:eastAsia="Times New Roman" w:hAnsi="Times New Roman"/>
                <w:b w:val="0"/>
                <w:bCs w:val="0"/>
                <w:i w:val="0"/>
                <w:iCs w:val="0"/>
                <w:color w:val="0f172a"/>
                <w:sz w:val="17"/>
                <w:szCs w:val="17"/>
                <w:rtl w:val="0"/>
              </w:rPr>
              <w:t xml:space="preserve">), sino a su complemento (DoD = 100% - SoC).</w:t>
            </w:r>
            <w:r w:rsidDel="00000000" w:rsidR="00000000" w:rsidRPr="00000000">
              <w:rPr>
                <w:rtl w:val="0"/>
              </w:rPr>
            </w:r>
          </w:p>
        </w:tc>
        <w:tc>
          <w:tcPr/>
          <w:p w:rsidR="00000000" w:rsidDel="00000000" w:rsidP="00000000" w:rsidRDefault="00000000" w:rsidRPr="00000000" w14:paraId="0000014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ECSS-E-ST-20C Rev. 1; Ali et al. (2026)</w:t>
            </w:r>
            <w:r w:rsidDel="00000000" w:rsidR="00000000" w:rsidRPr="00000000">
              <w:rPr>
                <w:rtl w:val="0"/>
              </w:rPr>
            </w:r>
          </w:p>
        </w:tc>
        <w:tc>
          <w:tcPr/>
          <w:p w:rsidR="00000000" w:rsidDel="00000000" w:rsidP="00000000" w:rsidRDefault="00000000" w:rsidRPr="00000000" w14:paraId="0000014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No (normativo)</w:t>
            </w:r>
            <w:r w:rsidDel="00000000" w:rsidR="00000000" w:rsidRPr="00000000">
              <w:rPr>
                <w:rtl w:val="0"/>
              </w:rPr>
            </w:r>
          </w:p>
        </w:tc>
      </w:tr>
      <w:tr>
        <w:trPr>
          <w:cantSplit w:val="1"/>
          <w:tblHeader w:val="0"/>
        </w:trPr>
        <w:tc>
          <w:tcPr/>
          <w:p w:rsidR="00000000" w:rsidDel="00000000" w:rsidP="00000000" w:rsidRDefault="00000000" w:rsidRPr="00000000" w14:paraId="0000014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Interface Control Document (ICD)</w:t>
            </w:r>
            <w:r w:rsidDel="00000000" w:rsidR="00000000" w:rsidRPr="00000000">
              <w:rPr>
                <w:rtl w:val="0"/>
              </w:rPr>
            </w:r>
          </w:p>
        </w:tc>
        <w:tc>
          <w:tcPr/>
          <w:p w:rsidR="00000000" w:rsidDel="00000000" w:rsidP="00000000" w:rsidRDefault="00000000" w:rsidRPr="00000000" w14:paraId="0000014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Documento formal que congela y delimita los requisitos de acoplamiento físico, eléctrico y lógico entre dos subsistemas o componentes provistos por terceros.</w:t>
            </w:r>
            <w:r w:rsidDel="00000000" w:rsidR="00000000" w:rsidRPr="00000000">
              <w:rPr>
                <w:rtl w:val="0"/>
              </w:rPr>
            </w:r>
          </w:p>
        </w:tc>
        <w:tc>
          <w:tcPr/>
          <w:p w:rsidR="00000000" w:rsidDel="00000000" w:rsidP="00000000" w:rsidRDefault="00000000" w:rsidRPr="00000000" w14:paraId="0000014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No es un manual de usuario ni una memoria descriptiva; es un contrato vinculante de límites de diseño.</w:t>
            </w:r>
            <w:r w:rsidDel="00000000" w:rsidR="00000000" w:rsidRPr="00000000">
              <w:rPr>
                <w:rtl w:val="0"/>
              </w:rPr>
            </w:r>
          </w:p>
        </w:tc>
        <w:tc>
          <w:tcPr/>
          <w:p w:rsidR="00000000" w:rsidDel="00000000" w:rsidP="00000000" w:rsidRDefault="00000000" w:rsidRPr="00000000" w14:paraId="0000015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Entrevista Sonia Botta (14/09/2026); CTA-UNLP</w:t>
            </w:r>
            <w:r w:rsidDel="00000000" w:rsidR="00000000" w:rsidRPr="00000000">
              <w:rPr>
                <w:rtl w:val="0"/>
              </w:rPr>
            </w:r>
          </w:p>
        </w:tc>
        <w:tc>
          <w:tcPr/>
          <w:p w:rsidR="00000000" w:rsidDel="00000000" w:rsidP="00000000" w:rsidRDefault="00000000" w:rsidRPr="00000000" w14:paraId="0000015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Sí (se aclaró que no se unifica en una sola suite sino que se versionan expedientes)</w:t>
            </w:r>
            <w:r w:rsidDel="00000000" w:rsidR="00000000" w:rsidRPr="00000000">
              <w:rPr>
                <w:rtl w:val="0"/>
              </w:rPr>
            </w:r>
          </w:p>
        </w:tc>
      </w:tr>
      <w:tr>
        <w:trPr>
          <w:cantSplit w:val="1"/>
          <w:tblHeader w:val="0"/>
        </w:trPr>
        <w:tc>
          <w:tcPr/>
          <w:p w:rsidR="00000000" w:rsidDel="00000000" w:rsidP="00000000" w:rsidRDefault="00000000" w:rsidRPr="00000000" w14:paraId="0000015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Números Tácitos</w:t>
            </w:r>
            <w:r w:rsidDel="00000000" w:rsidR="00000000" w:rsidRPr="00000000">
              <w:rPr>
                <w:rtl w:val="0"/>
              </w:rPr>
            </w:r>
          </w:p>
        </w:tc>
        <w:tc>
          <w:tcPr/>
          <w:p w:rsidR="00000000" w:rsidDel="00000000" w:rsidP="00000000" w:rsidRDefault="00000000" w:rsidRPr="00000000" w14:paraId="0000015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Parámetros críticos de diseño o coeficientes de cálculo que el especialista utiliza de forma consuetudinaria en planillas de cálculo sin asentar el origen formal o la justificación normativa.</w:t>
            </w:r>
            <w:r w:rsidDel="00000000" w:rsidR="00000000" w:rsidRPr="00000000">
              <w:rPr>
                <w:rtl w:val="0"/>
              </w:rPr>
            </w:r>
          </w:p>
        </w:tc>
        <w:tc>
          <w:tcPr/>
          <w:p w:rsidR="00000000" w:rsidDel="00000000" w:rsidP="00000000" w:rsidRDefault="00000000" w:rsidRPr="00000000" w14:paraId="0000015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No son constantes universales de la física; son márgenes o heurísticas empíricas sujetas a desactualización.</w:t>
            </w:r>
            <w:r w:rsidDel="00000000" w:rsidR="00000000" w:rsidRPr="00000000">
              <w:rPr>
                <w:rtl w:val="0"/>
              </w:rPr>
            </w:r>
          </w:p>
        </w:tc>
        <w:tc>
          <w:tcPr/>
          <w:p w:rsidR="00000000" w:rsidDel="00000000" w:rsidP="00000000" w:rsidRDefault="00000000" w:rsidRPr="00000000" w14:paraId="0000015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Capítulo I (Sec. I.3.1 · Problemática en el CTA-UNLP); Relevamiento CTA-UNLP</w:t>
            </w:r>
            <w:r w:rsidDel="00000000" w:rsidR="00000000" w:rsidRPr="00000000">
              <w:rPr>
                <w:rtl w:val="0"/>
              </w:rPr>
            </w:r>
          </w:p>
        </w:tc>
        <w:tc>
          <w:tcPr/>
          <w:p w:rsidR="00000000" w:rsidDel="00000000" w:rsidP="00000000" w:rsidRDefault="00000000" w:rsidRPr="00000000" w14:paraId="0000015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Sí (se identificó como causa primaria de pérdida de memoria técnica)</w:t>
            </w:r>
            <w:r w:rsidDel="00000000" w:rsidR="00000000" w:rsidRPr="00000000">
              <w:rPr>
                <w:rtl w:val="0"/>
              </w:rPr>
            </w:r>
          </w:p>
        </w:tc>
      </w:tr>
      <w:tr>
        <w:trPr>
          <w:cantSplit w:val="1"/>
          <w:tblHeader w:val="0"/>
        </w:trPr>
        <w:tc>
          <w:tcPr/>
          <w:p w:rsidR="00000000" w:rsidDel="00000000" w:rsidP="00000000" w:rsidRDefault="00000000" w:rsidRPr="00000000" w14:paraId="0000015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Digital Thread</w:t>
            </w:r>
            <w:r w:rsidDel="00000000" w:rsidR="00000000" w:rsidRPr="00000000">
              <w:rPr>
                <w:rFonts w:ascii="Times New Roman" w:cs="Times New Roman" w:eastAsia="Times New Roman" w:hAnsi="Times New Roman"/>
                <w:b w:val="0"/>
                <w:bCs w:val="0"/>
                <w:i w:val="0"/>
                <w:iCs w:val="0"/>
                <w:color w:val="0f172a"/>
                <w:sz w:val="17"/>
                <w:szCs w:val="17"/>
                <w:rtl w:val="0"/>
              </w:rPr>
              <w:t xml:space="preserve"> (</w:t>
            </w:r>
            <w:r w:rsidDel="00000000" w:rsidR="00000000" w:rsidRPr="00000000">
              <w:rPr>
                <w:rFonts w:ascii="Times New Roman" w:cs="Times New Roman" w:eastAsia="Times New Roman" w:hAnsi="Times New Roman"/>
                <w:b w:val="0"/>
                <w:bCs w:val="0"/>
                <w:i w:val="1"/>
                <w:iCs w:val="1"/>
                <w:color w:val="0f172a"/>
                <w:sz w:val="17"/>
                <w:szCs w:val="17"/>
                <w:rtl w:val="0"/>
              </w:rPr>
              <w:t xml:space="preserve">Hilo Digital</w:t>
            </w:r>
            <w:r w:rsidDel="00000000" w:rsidR="00000000" w:rsidRPr="00000000">
              <w:rPr>
                <w:rFonts w:ascii="Times New Roman" w:cs="Times New Roman" w:eastAsia="Times New Roman" w:hAnsi="Times New Roman"/>
                <w:b w:val="0"/>
                <w:bCs w:val="0"/>
                <w:i w:val="0"/>
                <w:iCs w:val="0"/>
                <w:color w:val="0f172a"/>
                <w:sz w:val="17"/>
                <w:szCs w:val="17"/>
                <w:rtl w:val="0"/>
              </w:rPr>
              <w:t xml:space="preserve">)</w:t>
            </w:r>
            <w:r w:rsidDel="00000000" w:rsidR="00000000" w:rsidRPr="00000000">
              <w:rPr>
                <w:rtl w:val="0"/>
              </w:rPr>
            </w:r>
          </w:p>
        </w:tc>
        <w:tc>
          <w:tcPr/>
          <w:p w:rsidR="00000000" w:rsidDel="00000000" w:rsidP="00000000" w:rsidRDefault="00000000" w:rsidRPr="00000000" w14:paraId="0000015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Flujo continuo de trazabilidad e información técnica que vincula requisitos, parámetros, modelos CAD, corridas analíticas y decisiones a lo largo del ciclo de vida de la misión.</w:t>
            </w:r>
            <w:r w:rsidDel="00000000" w:rsidR="00000000" w:rsidRPr="00000000">
              <w:rPr>
                <w:rtl w:val="0"/>
              </w:rPr>
            </w:r>
          </w:p>
        </w:tc>
        <w:tc>
          <w:tcPr/>
          <w:p w:rsidR="00000000" w:rsidDel="00000000" w:rsidP="00000000" w:rsidRDefault="00000000" w:rsidRPr="00000000" w14:paraId="0000015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No es una base de datos centralizada monolítica que reemplaza al software especializado, sino el mecanismo integrador de versiones y metadatos.</w:t>
            </w:r>
            <w:r w:rsidDel="00000000" w:rsidR="00000000" w:rsidRPr="00000000">
              <w:rPr>
                <w:rtl w:val="0"/>
              </w:rPr>
            </w:r>
          </w:p>
        </w:tc>
        <w:tc>
          <w:tcPr/>
          <w:p w:rsidR="00000000" w:rsidDel="00000000" w:rsidP="00000000" w:rsidRDefault="00000000" w:rsidRPr="00000000" w14:paraId="0000015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Familia ECSS; Wertz et al. (2011); Bitácora (22/09/2026)</w:t>
            </w:r>
            <w:r w:rsidDel="00000000" w:rsidR="00000000" w:rsidRPr="00000000">
              <w:rPr>
                <w:rtl w:val="0"/>
              </w:rPr>
            </w:r>
          </w:p>
        </w:tc>
        <w:tc>
          <w:tcPr/>
          <w:p w:rsidR="00000000" w:rsidDel="00000000" w:rsidP="00000000" w:rsidRDefault="00000000" w:rsidRPr="00000000" w14:paraId="0000015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Sí (se debatió frente al reemplazo total tipo MBSE comercial)</w:t>
            </w:r>
            <w:r w:rsidDel="00000000" w:rsidR="00000000" w:rsidRPr="00000000">
              <w:rPr>
                <w:rtl w:val="0"/>
              </w:rPr>
            </w:r>
          </w:p>
        </w:tc>
      </w:tr>
      <w:tr>
        <w:trPr>
          <w:cantSplit w:val="1"/>
          <w:tblHeader w:val="0"/>
        </w:trPr>
        <w:tc>
          <w:tcPr/>
          <w:p w:rsidR="00000000" w:rsidDel="00000000" w:rsidP="00000000" w:rsidRDefault="00000000" w:rsidRPr="00000000" w14:paraId="0000015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Cognitive Harness</w:t>
            </w:r>
            <w:r w:rsidDel="00000000" w:rsidR="00000000" w:rsidRPr="00000000">
              <w:rPr>
                <w:rFonts w:ascii="Times New Roman" w:cs="Times New Roman" w:eastAsia="Times New Roman" w:hAnsi="Times New Roman"/>
                <w:b w:val="0"/>
                <w:bCs w:val="0"/>
                <w:i w:val="0"/>
                <w:iCs w:val="0"/>
                <w:color w:val="0f172a"/>
                <w:sz w:val="17"/>
                <w:szCs w:val="17"/>
                <w:rtl w:val="0"/>
              </w:rPr>
              <w:t xml:space="preserve"> (</w:t>
            </w:r>
            <w:r w:rsidDel="00000000" w:rsidR="00000000" w:rsidRPr="00000000">
              <w:rPr>
                <w:rFonts w:ascii="Times New Roman" w:cs="Times New Roman" w:eastAsia="Times New Roman" w:hAnsi="Times New Roman"/>
                <w:b w:val="0"/>
                <w:bCs w:val="0"/>
                <w:i w:val="1"/>
                <w:iCs w:val="1"/>
                <w:color w:val="0f172a"/>
                <w:sz w:val="17"/>
                <w:szCs w:val="17"/>
                <w:rtl w:val="0"/>
              </w:rPr>
              <w:t xml:space="preserve">Arnés Cognitivo</w:t>
            </w:r>
            <w:r w:rsidDel="00000000" w:rsidR="00000000" w:rsidRPr="00000000">
              <w:rPr>
                <w:rFonts w:ascii="Times New Roman" w:cs="Times New Roman" w:eastAsia="Times New Roman" w:hAnsi="Times New Roman"/>
                <w:b w:val="0"/>
                <w:bCs w:val="0"/>
                <w:i w:val="0"/>
                <w:iCs w:val="0"/>
                <w:color w:val="0f172a"/>
                <w:sz w:val="17"/>
                <w:szCs w:val="17"/>
                <w:rtl w:val="0"/>
              </w:rPr>
              <w:t xml:space="preserve">)</w:t>
            </w:r>
            <w:r w:rsidDel="00000000" w:rsidR="00000000" w:rsidRPr="00000000">
              <w:rPr>
                <w:rtl w:val="0"/>
              </w:rPr>
            </w:r>
          </w:p>
        </w:tc>
        <w:tc>
          <w:tcPr/>
          <w:p w:rsidR="00000000" w:rsidDel="00000000" w:rsidP="00000000" w:rsidRDefault="00000000" w:rsidRPr="00000000" w14:paraId="0000015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Capa intermedia de software basada en IA que asiste al razonamiento del ingeniero, estructurando contexto y evaluando reglas de negocio sin tomar decisiones autónomas.</w:t>
            </w:r>
            <w:r w:rsidDel="00000000" w:rsidR="00000000" w:rsidRPr="00000000">
              <w:rPr>
                <w:rtl w:val="0"/>
              </w:rPr>
            </w:r>
          </w:p>
        </w:tc>
        <w:tc>
          <w:tcPr/>
          <w:p w:rsidR="00000000" w:rsidDel="00000000" w:rsidP="00000000" w:rsidRDefault="00000000" w:rsidRPr="00000000" w14:paraId="0000015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No es un copiloto generativo libre ni una "caja negra"; opera sobre evidencia certificada con trazabilidad determinista.</w:t>
            </w:r>
            <w:r w:rsidDel="00000000" w:rsidR="00000000" w:rsidRPr="00000000">
              <w:rPr>
                <w:rtl w:val="0"/>
              </w:rPr>
            </w:r>
          </w:p>
        </w:tc>
        <w:tc>
          <w:tcPr/>
          <w:p w:rsidR="00000000" w:rsidDel="00000000" w:rsidP="00000000" w:rsidRDefault="00000000" w:rsidRPr="00000000" w14:paraId="0000015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Capítulo I (Sec. I.6 · Descripción detallada del SI); García Alarcia &amp; Golkar (2025)</w:t>
            </w:r>
            <w:r w:rsidDel="00000000" w:rsidR="00000000" w:rsidRPr="00000000">
              <w:rPr>
                <w:rtl w:val="0"/>
              </w:rPr>
            </w:r>
          </w:p>
        </w:tc>
        <w:tc>
          <w:tcPr/>
          <w:p w:rsidR="00000000" w:rsidDel="00000000" w:rsidP="00000000" w:rsidRDefault="00000000" w:rsidRPr="00000000" w14:paraId="0000016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No (eje conceptual del proyecto)</w:t>
            </w:r>
            <w:r w:rsidDel="00000000" w:rsidR="00000000" w:rsidRPr="00000000">
              <w:rPr>
                <w:rtl w:val="0"/>
              </w:rPr>
            </w:r>
          </w:p>
        </w:tc>
      </w:tr>
      <w:tr>
        <w:trPr>
          <w:cantSplit w:val="1"/>
          <w:tblHeader w:val="0"/>
        </w:trPr>
        <w:tc>
          <w:tcPr/>
          <w:p w:rsidR="00000000" w:rsidDel="00000000" w:rsidP="00000000" w:rsidRDefault="00000000" w:rsidRPr="00000000" w14:paraId="0000016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Protoflight</w:t>
            </w:r>
            <w:r w:rsidDel="00000000" w:rsidR="00000000" w:rsidRPr="00000000">
              <w:rPr>
                <w:rFonts w:ascii="Times New Roman" w:cs="Times New Roman" w:eastAsia="Times New Roman" w:hAnsi="Times New Roman"/>
                <w:b w:val="0"/>
                <w:bCs w:val="0"/>
                <w:i w:val="0"/>
                <w:iCs w:val="0"/>
                <w:color w:val="0f172a"/>
                <w:sz w:val="17"/>
                <w:szCs w:val="17"/>
                <w:rtl w:val="0"/>
              </w:rPr>
              <w:t xml:space="preserve"> (</w:t>
            </w:r>
            <w:r w:rsidDel="00000000" w:rsidR="00000000" w:rsidRPr="00000000">
              <w:rPr>
                <w:rFonts w:ascii="Times New Roman" w:cs="Times New Roman" w:eastAsia="Times New Roman" w:hAnsi="Times New Roman"/>
                <w:b w:val="0"/>
                <w:bCs w:val="0"/>
                <w:i w:val="1"/>
                <w:iCs w:val="1"/>
                <w:color w:val="0f172a"/>
                <w:sz w:val="17"/>
                <w:szCs w:val="17"/>
                <w:rtl w:val="0"/>
              </w:rPr>
              <w:t xml:space="preserve">Protovuelo</w:t>
            </w:r>
            <w:r w:rsidDel="00000000" w:rsidR="00000000" w:rsidRPr="00000000">
              <w:rPr>
                <w:rFonts w:ascii="Times New Roman" w:cs="Times New Roman" w:eastAsia="Times New Roman" w:hAnsi="Times New Roman"/>
                <w:b w:val="0"/>
                <w:bCs w:val="0"/>
                <w:i w:val="0"/>
                <w:iCs w:val="0"/>
                <w:color w:val="0f172a"/>
                <w:sz w:val="17"/>
                <w:szCs w:val="17"/>
                <w:rtl w:val="0"/>
              </w:rPr>
              <w:t xml:space="preserve">)</w:t>
            </w:r>
            <w:r w:rsidDel="00000000" w:rsidR="00000000" w:rsidRPr="00000000">
              <w:rPr>
                <w:rtl w:val="0"/>
              </w:rPr>
            </w:r>
          </w:p>
        </w:tc>
        <w:tc>
          <w:tcPr/>
          <w:p w:rsidR="00000000" w:rsidDel="00000000" w:rsidP="00000000" w:rsidRDefault="00000000" w:rsidRPr="00000000" w14:paraId="0000016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Estrategia de desarrollo donde el mismo modelo de satélite que se somete a ensayos ambientales de calificación es el que se lanza al espacio, común en CubeSats universitarios.</w:t>
            </w:r>
            <w:r w:rsidDel="00000000" w:rsidR="00000000" w:rsidRPr="00000000">
              <w:rPr>
                <w:rtl w:val="0"/>
              </w:rPr>
            </w:r>
          </w:p>
        </w:tc>
        <w:tc>
          <w:tcPr/>
          <w:p w:rsidR="00000000" w:rsidDel="00000000" w:rsidP="00000000" w:rsidRDefault="00000000" w:rsidRPr="00000000" w14:paraId="0000016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No es un prototipo desechable de laboratorio; es la unidad final de vuelo con tolerancias extremas de integridad.</w:t>
            </w:r>
            <w:r w:rsidDel="00000000" w:rsidR="00000000" w:rsidRPr="00000000">
              <w:rPr>
                <w:rtl w:val="0"/>
              </w:rPr>
            </w:r>
          </w:p>
        </w:tc>
        <w:tc>
          <w:tcPr/>
          <w:p w:rsidR="00000000" w:rsidDel="00000000" w:rsidP="00000000" w:rsidRDefault="00000000" w:rsidRPr="00000000" w14:paraId="0000016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Entrevista Sonia Botta (14/09/2026); misiones USAT-1 y Atenea</w:t>
            </w:r>
            <w:r w:rsidDel="00000000" w:rsidR="00000000" w:rsidRPr="00000000">
              <w:rPr>
                <w:rtl w:val="0"/>
              </w:rPr>
            </w:r>
          </w:p>
        </w:tc>
        <w:tc>
          <w:tcPr/>
          <w:p w:rsidR="00000000" w:rsidDel="00000000" w:rsidP="00000000" w:rsidRDefault="00000000" w:rsidRPr="00000000" w14:paraId="0000016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No (estándar operativo del CTA-UNLP)</w:t>
            </w:r>
            <w:r w:rsidDel="00000000" w:rsidR="00000000" w:rsidRPr="00000000">
              <w:rPr>
                <w:rtl w:val="0"/>
              </w:rPr>
            </w:r>
          </w:p>
        </w:tc>
      </w:tr>
    </w:tbl>
    <w:p w:rsidR="00000000" w:rsidDel="00000000" w:rsidP="00000000" w:rsidRDefault="00000000" w:rsidRPr="00000000" w14:paraId="00000166">
      <w:pPr>
        <w:pStyle w:val="Heading1"/>
        <w:rPr/>
      </w:pPr>
      <w:bookmarkStart w:colFirst="0" w:colLast="0" w:name="_1ejlqpygg1a5" w:id="23"/>
      <w:bookmarkEnd w:id="23"/>
      <w:r w:rsidDel="00000000" w:rsidR="00000000" w:rsidRPr="00000000">
        <w:rPr>
          <w:rtl w:val="0"/>
        </w:rPr>
        <w:t xml:space="preserve">III.3 · Alcance del Sistema y Alcance del Proyecto</w:t>
      </w:r>
    </w:p>
    <w:p w:rsidR="00000000" w:rsidDel="00000000" w:rsidP="00000000" w:rsidRDefault="00000000" w:rsidRPr="00000000" w14:paraId="00000167">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alcance del sistema de información CODI, concebido como producto tecnológico integral a largo plazo (</w:t>
      </w:r>
      <w:r w:rsidDel="00000000" w:rsidR="00000000" w:rsidRPr="00000000">
        <w:rPr>
          <w:rFonts w:ascii="Times New Roman" w:cs="Times New Roman" w:eastAsia="Times New Roman" w:hAnsi="Times New Roman"/>
          <w:b w:val="0"/>
          <w:bCs w:val="0"/>
          <w:i w:val="1"/>
          <w:iCs w:val="1"/>
          <w:color w:val="0f172a"/>
          <w:sz w:val="24"/>
          <w:szCs w:val="24"/>
          <w:rtl w:val="0"/>
        </w:rPr>
        <w:t xml:space="preserve">System Scope</w:t>
      </w:r>
      <w:r w:rsidDel="00000000" w:rsidR="00000000" w:rsidRPr="00000000">
        <w:rPr>
          <w:rFonts w:ascii="Times New Roman" w:cs="Times New Roman" w:eastAsia="Times New Roman" w:hAnsi="Times New Roman"/>
          <w:b w:val="0"/>
          <w:bCs w:val="0"/>
          <w:i w:val="0"/>
          <w:iCs w:val="0"/>
          <w:color w:val="0f172a"/>
          <w:sz w:val="24"/>
          <w:szCs w:val="24"/>
          <w:rtl w:val="0"/>
        </w:rPr>
        <w:t xml:space="preserve">), comprende un arnés de ingeniería cognitiva (</w:t>
      </w:r>
      <w:r w:rsidDel="00000000" w:rsidR="00000000" w:rsidRPr="00000000">
        <w:rPr>
          <w:rFonts w:ascii="Times New Roman" w:cs="Times New Roman" w:eastAsia="Times New Roman" w:hAnsi="Times New Roman"/>
          <w:b w:val="0"/>
          <w:bCs w:val="0"/>
          <w:i w:val="1"/>
          <w:iCs w:val="1"/>
          <w:color w:val="0f172a"/>
          <w:sz w:val="24"/>
          <w:szCs w:val="24"/>
          <w:rtl w:val="0"/>
        </w:rPr>
        <w:t xml:space="preserve">Cognitive Engineering Harness</w:t>
      </w:r>
      <w:r w:rsidDel="00000000" w:rsidR="00000000" w:rsidRPr="00000000">
        <w:rPr>
          <w:rFonts w:ascii="Times New Roman" w:cs="Times New Roman" w:eastAsia="Times New Roman" w:hAnsi="Times New Roman"/>
          <w:b w:val="0"/>
          <w:bCs w:val="0"/>
          <w:i w:val="0"/>
          <w:iCs w:val="0"/>
          <w:color w:val="0f172a"/>
          <w:sz w:val="24"/>
          <w:szCs w:val="24"/>
          <w:rtl w:val="0"/>
        </w:rPr>
        <w:t xml:space="preserve">) multi-misión diseñado para asistir a los equipos de ingeniería espacial a lo largo de todo el ciclo de vida satelital (Fases 0 a E según el estándar ECSS-E-ST-10C). En su visión completa, el sistema modela y correlaciona la totalidad de subsistemas de la plataforma y carga útil (potencia eléctrica EPS, control de actitud y determinación ADCS, telemetría y telecomunicaciones TTC, computadora de a bordo OBDH, control térmico y estructuras mecánicas), sincroniza bidireccionalmente los parámetros de diseño con herramientas corporativas de CAD/PLM mediante la continuidad del hilo digital (</w:t>
      </w:r>
      <w:r w:rsidDel="00000000" w:rsidR="00000000" w:rsidRPr="00000000">
        <w:rPr>
          <w:rFonts w:ascii="Times New Roman" w:cs="Times New Roman" w:eastAsia="Times New Roman" w:hAnsi="Times New Roman"/>
          <w:b w:val="0"/>
          <w:bCs w:val="0"/>
          <w:i w:val="1"/>
          <w:iCs w:val="1"/>
          <w:color w:val="0f172a"/>
          <w:sz w:val="24"/>
          <w:szCs w:val="24"/>
          <w:rtl w:val="0"/>
        </w:rPr>
        <w:t xml:space="preserve">Digital Thread</w:t>
      </w:r>
      <w:r w:rsidDel="00000000" w:rsidR="00000000" w:rsidRPr="00000000">
        <w:rPr>
          <w:rFonts w:ascii="Times New Roman" w:cs="Times New Roman" w:eastAsia="Times New Roman" w:hAnsi="Times New Roman"/>
          <w:b w:val="0"/>
          <w:bCs w:val="0"/>
          <w:i w:val="0"/>
          <w:iCs w:val="0"/>
          <w:color w:val="0f172a"/>
          <w:sz w:val="24"/>
          <w:szCs w:val="24"/>
          <w:rtl w:val="0"/>
        </w:rPr>
        <w:t xml:space="preserve">), opera en fases de vuelo recibiendo telemetría en tiempo real desde estaciones terrenas, y dispone de una interfaz conversacional multimodal con reconocimiento de voz para asistir a los operadores con manos libres dentro de salas limpias de integración (</w:t>
      </w:r>
      <w:r w:rsidDel="00000000" w:rsidR="00000000" w:rsidRPr="00000000">
        <w:rPr>
          <w:rFonts w:ascii="Times New Roman" w:cs="Times New Roman" w:eastAsia="Times New Roman" w:hAnsi="Times New Roman"/>
          <w:b w:val="0"/>
          <w:bCs w:val="0"/>
          <w:i w:val="1"/>
          <w:iCs w:val="1"/>
          <w:color w:val="0f172a"/>
          <w:sz w:val="24"/>
          <w:szCs w:val="24"/>
          <w:rtl w:val="0"/>
        </w:rPr>
        <w:t xml:space="preserve">cleanrooms</w:t>
      </w:r>
      <w:r w:rsidDel="00000000" w:rsidR="00000000" w:rsidRPr="00000000">
        <w:rPr>
          <w:rFonts w:ascii="Times New Roman" w:cs="Times New Roman" w:eastAsia="Times New Roman" w:hAnsi="Times New Roman"/>
          <w:b w:val="0"/>
          <w:bCs w:val="0"/>
          <w:i w:val="0"/>
          <w:iCs w:val="0"/>
          <w:color w:val="0f172a"/>
          <w:sz w:val="24"/>
          <w:szCs w:val="24"/>
          <w:rtl w:val="0"/>
        </w:rPr>
        <w:t xml:space="preserve">). Se evalúa implementar la totalidad de estas capacidades en la fase inicial del proyecto y se descarta debido a que el desarrollo de conectores propietarios para software CAD (USD 15.000 anuales) y el soporte simultáneo de múltiples subsistemas físicos dispersaría el esfuerzo de desarrollo, impidiendo validar la hipótesis cognitiva central sobre el subsistema crítico de potencia (Cap. I, Sec. I.6; Bitácora, 23/09/2026).</w:t>
      </w:r>
      <w:r w:rsidDel="00000000" w:rsidR="00000000" w:rsidRPr="00000000">
        <w:rPr>
          <w:rtl w:val="0"/>
        </w:rPr>
      </w:r>
    </w:p>
    <w:p w:rsidR="00000000" w:rsidDel="00000000" w:rsidP="00000000" w:rsidRDefault="00000000" w:rsidRPr="00000000" w14:paraId="00000168">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alcance del proyecto (</w:t>
      </w:r>
      <w:r w:rsidDel="00000000" w:rsidR="00000000" w:rsidRPr="00000000">
        <w:rPr>
          <w:rFonts w:ascii="Times New Roman" w:cs="Times New Roman" w:eastAsia="Times New Roman" w:hAnsi="Times New Roman"/>
          <w:b w:val="0"/>
          <w:bCs w:val="0"/>
          <w:i w:val="1"/>
          <w:iCs w:val="1"/>
          <w:color w:val="0f172a"/>
          <w:sz w:val="24"/>
          <w:szCs w:val="24"/>
          <w:rtl w:val="0"/>
        </w:rPr>
        <w:t xml:space="preserve">Project Scope</w:t>
      </w:r>
      <w:r w:rsidDel="00000000" w:rsidR="00000000" w:rsidRPr="00000000">
        <w:rPr>
          <w:rFonts w:ascii="Times New Roman" w:cs="Times New Roman" w:eastAsia="Times New Roman" w:hAnsi="Times New Roman"/>
          <w:b w:val="0"/>
          <w:bCs w:val="0"/>
          <w:i w:val="0"/>
          <w:iCs w:val="0"/>
          <w:color w:val="0f172a"/>
          <w:sz w:val="24"/>
          <w:szCs w:val="24"/>
          <w:rtl w:val="0"/>
        </w:rPr>
        <w:t xml:space="preserve">), en contraposición, delimita el compromiso técnico formal y verificable asumido por el autor para este trabajo de graduación durante el período septiembre-noviembre de 2026, concentrándose estrictamente en la construcción y validación del Producto Mínimo Viable (MVP). Este compromiso abarca la implementación de un caso de uso vertical completo centrado en el dimensionamiento preliminar y balance energético del subsistema de potencia eléctrica (EPS) para nanosatélites en factores de forma 1U y 3U en órbita baja (LEO), la ingesta y extracción semántica de parámetros desde documentos de control de interfaz (ICD) en formatos PDF/Word de 50 a 90 páginas, la detección de desincronizaciones de parámetros frente a los estándares ECSS-E-ST-20C Rev. 1 y Cal Poly CDS REV 14.1, la persistencia inmutable del árbol de razonamiento técnico en un registro de decisiones (</w:t>
      </w:r>
      <w:r w:rsidDel="00000000" w:rsidR="00000000" w:rsidRPr="00000000">
        <w:rPr>
          <w:rFonts w:ascii="Times New Roman" w:cs="Times New Roman" w:eastAsia="Times New Roman" w:hAnsi="Times New Roman"/>
          <w:b w:val="0"/>
          <w:bCs w:val="0"/>
          <w:i w:val="1"/>
          <w:iCs w:val="1"/>
          <w:color w:val="0f172a"/>
          <w:sz w:val="24"/>
          <w:szCs w:val="24"/>
          <w:rtl w:val="0"/>
        </w:rPr>
        <w:t xml:space="preserve">decision log</w:t>
      </w:r>
      <w:r w:rsidDel="00000000" w:rsidR="00000000" w:rsidRPr="00000000">
        <w:rPr>
          <w:rFonts w:ascii="Times New Roman" w:cs="Times New Roman" w:eastAsia="Times New Roman" w:hAnsi="Times New Roman"/>
          <w:b w:val="0"/>
          <w:bCs w:val="0"/>
          <w:i w:val="0"/>
          <w:iCs w:val="0"/>
          <w:color w:val="0f172a"/>
          <w:sz w:val="24"/>
          <w:szCs w:val="24"/>
          <w:rtl w:val="0"/>
        </w:rPr>
        <w:t xml:space="preserve">) con enlace explícito a evidencias, y la instrumentación de un módulo de evaluación psicométrica y objetiva de la demanda mental del usuario mediante el protocolo NASA-TLX e indicadores de interacción (tiempo de resolución y cambios de contexto). La selección del subsistema EPS como foco exclusivo del MVP se fundamenta en la evidencia empírica que demuestra que el 38,8% de las fallas tempranas en satélites pequeños a nivel internacional obedecen a colapsos en el sistema eléctrico (Swartwout, 2024; NASA S3VI) y que el 80% de los especialistas del Centro Tecnológico Aeroespacial de la UNLP se desempeñan en la disciplina electrónica (Entrevista Sonia Botta, 14/09/2026), descartándose el desarrollo de un simulador físico propio y limitando el sistema a la ingesta desacoplada de corridas numéricas externas provistas por el usuario (Cap. I, Sec. I.3.1 y I.3.3; Anexo III).</w:t>
      </w:r>
      <w:r w:rsidDel="00000000" w:rsidR="00000000" w:rsidRPr="00000000">
        <w:rPr>
          <w:rtl w:val="0"/>
        </w:rPr>
      </w:r>
    </w:p>
    <w:p w:rsidR="00000000" w:rsidDel="00000000" w:rsidP="00000000" w:rsidRDefault="00000000" w:rsidRPr="00000000" w14:paraId="00000169">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alcance del proyecto demanda un esfuerzo total estimado de 184 horas-persona de ingeniería de software, distribuidas en cuatro iteraciones de desarrollo entre las semanas 5 y 14. Este requerimiento cabe estrictamente en el presupuesto efectivo de 190 horas-persona declarado en los Capítulos V (Cronograma) y X (Recursos Humanos), derivado de una dedicación individual sostenida de 19 horas semanales a lo largo de diez semanas de trabajo de formulación e implementación. La exclusión expresa del modelado multifísico de subsistemas mecánicos y de interfaces acústicas de voz asegura una holgura operativa de 6 horas-persona (3,2% del presupuesto), garantizando la viabilidad material del MVP y la entrega del prototipo ejecutable sin comprometer el rigor metodológico ni los plazos académicos.</w:t>
      </w:r>
      <w:r w:rsidDel="00000000" w:rsidR="00000000" w:rsidRPr="00000000">
        <w:rPr>
          <w:rtl w:val="0"/>
        </w:rPr>
      </w:r>
    </w:p>
    <w:p w:rsidR="00000000" w:rsidDel="00000000" w:rsidP="00000000" w:rsidRDefault="00000000" w:rsidRPr="00000000" w14:paraId="0000016A">
      <w:pPr>
        <w:pStyle w:val="Heading3"/>
        <w:rPr/>
      </w:pPr>
      <w:r w:rsidDel="00000000" w:rsidR="00000000" w:rsidRPr="00000000">
        <w:rPr>
          <w:rtl w:val="0"/>
        </w:rPr>
        <w:t xml:space="preserve">Tabla III.5: Delimitación de Capacidades del Producto Mínimo Viable (MVP)</w:t>
      </w:r>
    </w:p>
    <w:p w:rsidR="00000000" w:rsidDel="00000000" w:rsidP="00000000" w:rsidRDefault="00000000" w:rsidRPr="00000000" w14:paraId="0000016B">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En cumplimiento del marco reglamentario del Proyecto Integrador Final (Resolución Rectoral N.º 97/23, Art. 21.º) y de la especificación rigurosa del Producto Mínimo Viable, la siguiente tabla especifica las capacidades funcionales que el producto mínimo viable incluye y aquellas que deja fuera de forma expresa, asociando cada capacidad a los requisitos funcionales del núcleo MVP derivados de las reglas de negocio del Apartado III.2 y de los módulos del Capítulo I (Sec. I.6), cuya especificación formal y criterios de aceptación se desarrollan en el Catálogo de Requisitos (Apartado III.5):</w:t>
      </w:r>
      <w:r w:rsidDel="00000000" w:rsidR="00000000" w:rsidRPr="00000000">
        <w:rPr>
          <w:rtl w:val="0"/>
        </w:rPr>
      </w:r>
    </w:p>
    <w:tbl>
      <w:tblPr>
        <w:tblStyle w:val="Table12"/>
        <w:tblW w:w="8502.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1417"/>
        <w:gridCol w:w="1417"/>
        <w:gridCol w:w="1417"/>
        <w:gridCol w:w="1417"/>
        <w:gridCol w:w="1417"/>
        <w:gridCol w:w="1417"/>
        <w:tblGridChange w:id="0">
          <w:tblGrid>
            <w:gridCol w:w="1417"/>
            <w:gridCol w:w="1417"/>
            <w:gridCol w:w="1417"/>
            <w:gridCol w:w="1417"/>
            <w:gridCol w:w="1417"/>
            <w:gridCol w:w="1417"/>
          </w:tblGrid>
        </w:tblGridChange>
      </w:tblGrid>
      <w:tr>
        <w:trPr>
          <w:cantSplit w:val="1"/>
          <w:tblHeader w:val="1"/>
        </w:trPr>
        <w:tc>
          <w:tcPr>
            <w:shd w:fill="f1f5f9" w:val="clear"/>
          </w:tcPr>
          <w:p w:rsidR="00000000" w:rsidDel="00000000" w:rsidP="00000000" w:rsidRDefault="00000000" w:rsidRPr="00000000" w14:paraId="0000016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Dimensión Funcional</w:t>
            </w:r>
            <w:r w:rsidDel="00000000" w:rsidR="00000000" w:rsidRPr="00000000">
              <w:rPr>
                <w:rtl w:val="0"/>
              </w:rPr>
            </w:r>
          </w:p>
        </w:tc>
        <w:tc>
          <w:tcPr>
            <w:shd w:fill="f1f5f9" w:val="clear"/>
          </w:tcPr>
          <w:p w:rsidR="00000000" w:rsidDel="00000000" w:rsidP="00000000" w:rsidRDefault="00000000" w:rsidRPr="00000000" w14:paraId="0000016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Capacidades Incluidas en el MVP (Alcance del Proyecto)</w:t>
            </w:r>
            <w:r w:rsidDel="00000000" w:rsidR="00000000" w:rsidRPr="00000000">
              <w:rPr>
                <w:rtl w:val="0"/>
              </w:rPr>
            </w:r>
          </w:p>
        </w:tc>
        <w:tc>
          <w:tcPr>
            <w:shd w:fill="f1f5f9" w:val="clear"/>
          </w:tcPr>
          <w:p w:rsidR="00000000" w:rsidDel="00000000" w:rsidP="00000000" w:rsidRDefault="00000000" w:rsidRPr="00000000" w14:paraId="0000016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Requisitos Asociados (Must)</w:t>
            </w:r>
            <w:r w:rsidDel="00000000" w:rsidR="00000000" w:rsidRPr="00000000">
              <w:rPr>
                <w:rtl w:val="0"/>
              </w:rPr>
            </w:r>
          </w:p>
        </w:tc>
        <w:tc>
          <w:tcPr>
            <w:shd w:fill="f1f5f9" w:val="clear"/>
          </w:tcPr>
          <w:p w:rsidR="00000000" w:rsidDel="00000000" w:rsidP="00000000" w:rsidRDefault="00000000" w:rsidRPr="00000000" w14:paraId="0000016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Capacidades Excluidas del MVP (Alcance del Sistema)</w:t>
            </w:r>
            <w:r w:rsidDel="00000000" w:rsidR="00000000" w:rsidRPr="00000000">
              <w:rPr>
                <w:rtl w:val="0"/>
              </w:rPr>
            </w:r>
          </w:p>
        </w:tc>
        <w:tc>
          <w:tcPr>
            <w:shd w:fill="f1f5f9" w:val="clear"/>
          </w:tcPr>
          <w:p w:rsidR="00000000" w:rsidDel="00000000" w:rsidP="00000000" w:rsidRDefault="00000000" w:rsidRPr="00000000" w14:paraId="0000017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Criterio de Descarte y Justificación</w:t>
            </w:r>
            <w:r w:rsidDel="00000000" w:rsidR="00000000" w:rsidRPr="00000000">
              <w:rPr>
                <w:rtl w:val="0"/>
              </w:rPr>
            </w:r>
          </w:p>
        </w:tc>
        <w:tc>
          <w:tcPr>
            <w:shd w:fill="f1f5f9" w:val="clear"/>
          </w:tcPr>
          <w:p w:rsidR="00000000" w:rsidDel="00000000" w:rsidP="00000000" w:rsidRDefault="00000000" w:rsidRPr="00000000" w14:paraId="0000017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Iteración Prevista</w:t>
            </w:r>
            <w:r w:rsidDel="00000000" w:rsidR="00000000" w:rsidRPr="00000000">
              <w:rPr>
                <w:rtl w:val="0"/>
              </w:rPr>
            </w:r>
          </w:p>
        </w:tc>
      </w:tr>
      <w:tr>
        <w:trPr>
          <w:cantSplit w:val="1"/>
          <w:tblHeader w:val="0"/>
        </w:trPr>
        <w:tc>
          <w:tcPr/>
          <w:p w:rsidR="00000000" w:rsidDel="00000000" w:rsidP="00000000" w:rsidRDefault="00000000" w:rsidRPr="00000000" w14:paraId="0000017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Gestión de Misión y Fuentes</w:t>
            </w:r>
            <w:r w:rsidDel="00000000" w:rsidR="00000000" w:rsidRPr="00000000">
              <w:rPr>
                <w:rtl w:val="0"/>
              </w:rPr>
            </w:r>
          </w:p>
        </w:tc>
        <w:tc>
          <w:tcPr/>
          <w:p w:rsidR="00000000" w:rsidDel="00000000" w:rsidP="00000000" w:rsidRDefault="00000000" w:rsidRPr="00000000" w14:paraId="0000017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Inicialización del Cuaderno de Misión (factor de forma 1U/3U/6U y órbita base) e ingesta estructurada en Repositorio de Fuentes (ICDs y hojas COTS).</w:t>
            </w:r>
            <w:r w:rsidDel="00000000" w:rsidR="00000000" w:rsidRPr="00000000">
              <w:rPr>
                <w:rtl w:val="0"/>
              </w:rPr>
            </w:r>
          </w:p>
        </w:tc>
        <w:tc>
          <w:tcPr/>
          <w:p w:rsidR="00000000" w:rsidDel="00000000" w:rsidP="00000000" w:rsidRDefault="00000000" w:rsidRPr="00000000" w14:paraId="0000017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RF-00, RF-01</w:t>
            </w:r>
            <w:r w:rsidDel="00000000" w:rsidR="00000000" w:rsidRPr="00000000">
              <w:rPr>
                <w:rtl w:val="0"/>
              </w:rPr>
            </w:r>
          </w:p>
        </w:tc>
        <w:tc>
          <w:tcPr/>
          <w:p w:rsidR="00000000" w:rsidDel="00000000" w:rsidP="00000000" w:rsidRDefault="00000000" w:rsidRPr="00000000" w14:paraId="0000017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Sincronización continua y directa con APIs propietarias de Valispace o gestores PLM comerciales.</w:t>
            </w:r>
            <w:r w:rsidDel="00000000" w:rsidR="00000000" w:rsidRPr="00000000">
              <w:rPr>
                <w:rtl w:val="0"/>
              </w:rPr>
            </w:r>
          </w:p>
        </w:tc>
        <w:tc>
          <w:tcPr/>
          <w:p w:rsidR="00000000" w:rsidDel="00000000" w:rsidP="00000000" w:rsidRDefault="00000000" w:rsidRPr="00000000" w14:paraId="0000017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Licenciamiento prohibitivo (USD 1.500/año); se adopta el Cuaderno de Misión autocontenido con formatos neutros (JSON/CSV).</w:t>
            </w:r>
            <w:r w:rsidDel="00000000" w:rsidR="00000000" w:rsidRPr="00000000">
              <w:rPr>
                <w:rtl w:val="0"/>
              </w:rPr>
            </w:r>
          </w:p>
        </w:tc>
        <w:tc>
          <w:tcPr/>
          <w:p w:rsidR="00000000" w:rsidDel="00000000" w:rsidP="00000000" w:rsidRDefault="00000000" w:rsidRPr="00000000" w14:paraId="0000017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Post-PIF (Fase 3)</w:t>
            </w:r>
            <w:r w:rsidDel="00000000" w:rsidR="00000000" w:rsidRPr="00000000">
              <w:rPr>
                <w:rtl w:val="0"/>
              </w:rPr>
            </w:r>
          </w:p>
        </w:tc>
      </w:tr>
      <w:tr>
        <w:trPr>
          <w:cantSplit w:val="1"/>
          <w:tblHeader w:val="0"/>
        </w:trPr>
        <w:tc>
          <w:tcPr/>
          <w:p w:rsidR="00000000" w:rsidDel="00000000" w:rsidP="00000000" w:rsidRDefault="00000000" w:rsidRPr="00000000" w14:paraId="0000017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Ingeniería de Subsistemas</w:t>
            </w:r>
            <w:r w:rsidDel="00000000" w:rsidR="00000000" w:rsidRPr="00000000">
              <w:rPr>
                <w:rtl w:val="0"/>
              </w:rPr>
            </w:r>
          </w:p>
        </w:tc>
        <w:tc>
          <w:tcPr/>
          <w:p w:rsidR="00000000" w:rsidDel="00000000" w:rsidP="00000000" w:rsidRDefault="00000000" w:rsidRPr="00000000" w14:paraId="0000017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Dimensionamiento analítico y balance de potencia EPS para nanosatélites en órbita LEO circular (P_sa, P_ecl, DoD, Margen_EOL) y curva de descarga.</w:t>
            </w:r>
            <w:r w:rsidDel="00000000" w:rsidR="00000000" w:rsidRPr="00000000">
              <w:rPr>
                <w:rtl w:val="0"/>
              </w:rPr>
            </w:r>
          </w:p>
        </w:tc>
        <w:tc>
          <w:tcPr/>
          <w:p w:rsidR="00000000" w:rsidDel="00000000" w:rsidP="00000000" w:rsidRDefault="00000000" w:rsidRPr="00000000" w14:paraId="0000017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RF-02, RF-03, RF-04</w:t>
            </w:r>
            <w:r w:rsidDel="00000000" w:rsidR="00000000" w:rsidRPr="00000000">
              <w:rPr>
                <w:rtl w:val="0"/>
              </w:rPr>
            </w:r>
          </w:p>
        </w:tc>
        <w:tc>
          <w:tcPr/>
          <w:p w:rsidR="00000000" w:rsidDel="00000000" w:rsidP="00000000" w:rsidRDefault="00000000" w:rsidRPr="00000000" w14:paraId="0000017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Modelado multifísico térmico detallado, análisis modal estructural y simulación dinámica de actitud (ADCS).</w:t>
            </w:r>
            <w:r w:rsidDel="00000000" w:rsidR="00000000" w:rsidRPr="00000000">
              <w:rPr>
                <w:rtl w:val="0"/>
              </w:rPr>
            </w:r>
          </w:p>
        </w:tc>
        <w:tc>
          <w:tcPr/>
          <w:p w:rsidR="00000000" w:rsidDel="00000000" w:rsidP="00000000" w:rsidRDefault="00000000" w:rsidRPr="00000000" w14:paraId="0000017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Dispersión de esfuerzo fuera del cuello de botella crítico de potencia; el 80% del equipo del socio opera en electrónica (Botta, 2026).</w:t>
            </w:r>
            <w:r w:rsidDel="00000000" w:rsidR="00000000" w:rsidRPr="00000000">
              <w:rPr>
                <w:rtl w:val="0"/>
              </w:rPr>
            </w:r>
          </w:p>
        </w:tc>
        <w:tc>
          <w:tcPr/>
          <w:p w:rsidR="00000000" w:rsidDel="00000000" w:rsidP="00000000" w:rsidRDefault="00000000" w:rsidRPr="00000000" w14:paraId="0000017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Post-PIF (Fase 2)</w:t>
            </w:r>
            <w:r w:rsidDel="00000000" w:rsidR="00000000" w:rsidRPr="00000000">
              <w:rPr>
                <w:rtl w:val="0"/>
              </w:rPr>
            </w:r>
          </w:p>
        </w:tc>
      </w:tr>
      <w:tr>
        <w:trPr>
          <w:cantSplit w:val="1"/>
          <w:tblHeader w:val="0"/>
        </w:trPr>
        <w:tc>
          <w:tcPr/>
          <w:p w:rsidR="00000000" w:rsidDel="00000000" w:rsidP="00000000" w:rsidRDefault="00000000" w:rsidRPr="00000000" w14:paraId="0000017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Simulación y Cálculo</w:t>
            </w:r>
            <w:r w:rsidDel="00000000" w:rsidR="00000000" w:rsidRPr="00000000">
              <w:rPr>
                <w:rtl w:val="0"/>
              </w:rPr>
            </w:r>
          </w:p>
        </w:tc>
        <w:tc>
          <w:tcPr/>
          <w:p w:rsidR="00000000" w:rsidDel="00000000" w:rsidP="00000000" w:rsidRDefault="00000000" w:rsidRPr="00000000" w14:paraId="0000017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Ingesta desacoplada de corridas numéricas externas (formatos CSV/JSON desde MATLAB o scripts Python) como evidencia analítica.</w:t>
            </w:r>
            <w:r w:rsidDel="00000000" w:rsidR="00000000" w:rsidRPr="00000000">
              <w:rPr>
                <w:rtl w:val="0"/>
              </w:rPr>
            </w:r>
          </w:p>
        </w:tc>
        <w:tc>
          <w:tcPr/>
          <w:p w:rsidR="00000000" w:rsidDel="00000000" w:rsidP="00000000" w:rsidRDefault="00000000" w:rsidRPr="00000000" w14:paraId="0000018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RF-08</w:t>
            </w:r>
            <w:r w:rsidDel="00000000" w:rsidR="00000000" w:rsidRPr="00000000">
              <w:rPr>
                <w:rtl w:val="0"/>
              </w:rPr>
            </w:r>
          </w:p>
        </w:tc>
        <w:tc>
          <w:tcPr/>
          <w:p w:rsidR="00000000" w:rsidDel="00000000" w:rsidP="00000000" w:rsidRDefault="00000000" w:rsidRPr="00000000" w14:paraId="0000018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Motor propio de simulación física orbital multifísica de alta fidelidad.</w:t>
            </w:r>
            <w:r w:rsidDel="00000000" w:rsidR="00000000" w:rsidRPr="00000000">
              <w:rPr>
                <w:rtl w:val="0"/>
              </w:rPr>
            </w:r>
          </w:p>
        </w:tc>
        <w:tc>
          <w:tcPr/>
          <w:p w:rsidR="00000000" w:rsidDel="00000000" w:rsidP="00000000" w:rsidRDefault="00000000" w:rsidRPr="00000000" w14:paraId="0000018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Descartado para evitar duplicar herramientas especializadas maduras y sobrecostos en el presupuesto horario.</w:t>
            </w:r>
            <w:r w:rsidDel="00000000" w:rsidR="00000000" w:rsidRPr="00000000">
              <w:rPr>
                <w:rtl w:val="0"/>
              </w:rPr>
            </w:r>
          </w:p>
        </w:tc>
        <w:tc>
          <w:tcPr/>
          <w:p w:rsidR="00000000" w:rsidDel="00000000" w:rsidP="00000000" w:rsidRDefault="00000000" w:rsidRPr="00000000" w14:paraId="0000018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Post-PIF (Fase 2)</w:t>
            </w:r>
            <w:r w:rsidDel="00000000" w:rsidR="00000000" w:rsidRPr="00000000">
              <w:rPr>
                <w:rtl w:val="0"/>
              </w:rPr>
            </w:r>
          </w:p>
        </w:tc>
      </w:tr>
      <w:tr>
        <w:trPr>
          <w:cantSplit w:val="1"/>
          <w:tblHeader w:val="0"/>
        </w:trPr>
        <w:tc>
          <w:tcPr/>
          <w:p w:rsidR="00000000" w:rsidDel="00000000" w:rsidP="00000000" w:rsidRDefault="00000000" w:rsidRPr="00000000" w14:paraId="0000018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Verificación Normativa</w:t>
            </w:r>
            <w:r w:rsidDel="00000000" w:rsidR="00000000" w:rsidRPr="00000000">
              <w:rPr>
                <w:rtl w:val="0"/>
              </w:rPr>
            </w:r>
          </w:p>
        </w:tc>
        <w:tc>
          <w:tcPr/>
          <w:p w:rsidR="00000000" w:rsidDel="00000000" w:rsidP="00000000" w:rsidRDefault="00000000" w:rsidRPr="00000000" w14:paraId="00000185">
            <w:pPr>
              <w:spacing w:after="20" w:before="20" w:line="252.00000000000003" w:lineRule="auto"/>
              <w:rPr/>
            </w:pPr>
            <w:r w:rsidDel="00000000" w:rsidR="00000000" w:rsidRPr="00000000">
              <w:rPr>
                <w:rFonts w:ascii="Gungsuh" w:cs="Gungsuh" w:eastAsia="Gungsuh" w:hAnsi="Gungsuh"/>
                <w:b w:val="0"/>
                <w:bCs w:val="0"/>
                <w:i w:val="0"/>
                <w:iCs w:val="0"/>
                <w:color w:val="0f172a"/>
                <w:sz w:val="17"/>
                <w:szCs w:val="17"/>
                <w:rtl w:val="0"/>
              </w:rPr>
              <w:t xml:space="preserve">Validación de restricciones de diseño frente a estándares ECSS-E-ST-20C Rev. 1 (DoD ≤ 30%, Margen ≥ 20%) y Cal Poly CDS REV 14.1.</w:t>
            </w:r>
            <w:r w:rsidDel="00000000" w:rsidR="00000000" w:rsidRPr="00000000">
              <w:rPr>
                <w:rtl w:val="0"/>
              </w:rPr>
            </w:r>
          </w:p>
        </w:tc>
        <w:tc>
          <w:tcPr/>
          <w:p w:rsidR="00000000" w:rsidDel="00000000" w:rsidP="00000000" w:rsidRDefault="00000000" w:rsidRPr="00000000" w14:paraId="0000018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RF-03, RF-04, RF-05</w:t>
            </w:r>
            <w:r w:rsidDel="00000000" w:rsidR="00000000" w:rsidRPr="00000000">
              <w:rPr>
                <w:rtl w:val="0"/>
              </w:rPr>
            </w:r>
          </w:p>
        </w:tc>
        <w:tc>
          <w:tcPr/>
          <w:p w:rsidR="00000000" w:rsidDel="00000000" w:rsidP="00000000" w:rsidRDefault="00000000" w:rsidRPr="00000000" w14:paraId="0000018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Certificación regulatoria de vuelo y aprobación automática de lanzador espacial.</w:t>
            </w:r>
            <w:r w:rsidDel="00000000" w:rsidR="00000000" w:rsidRPr="00000000">
              <w:rPr>
                <w:rtl w:val="0"/>
              </w:rPr>
            </w:r>
          </w:p>
        </w:tc>
        <w:tc>
          <w:tcPr/>
          <w:p w:rsidR="00000000" w:rsidDel="00000000" w:rsidP="00000000" w:rsidRDefault="00000000" w:rsidRPr="00000000" w14:paraId="0000018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La certificación formal de vuelo corresponde exclusivamente a agencias y comités de aseguramiento de misión (</w:t>
            </w:r>
            <w:r w:rsidDel="00000000" w:rsidR="00000000" w:rsidRPr="00000000">
              <w:rPr>
                <w:rFonts w:ascii="Times New Roman" w:cs="Times New Roman" w:eastAsia="Times New Roman" w:hAnsi="Times New Roman"/>
                <w:b w:val="0"/>
                <w:bCs w:val="0"/>
                <w:i w:val="1"/>
                <w:iCs w:val="1"/>
                <w:color w:val="0f172a"/>
                <w:sz w:val="17"/>
                <w:szCs w:val="17"/>
                <w:rtl w:val="0"/>
              </w:rPr>
              <w:t xml:space="preserve">Human-in-the-Loop</w:t>
            </w:r>
            <w:r w:rsidDel="00000000" w:rsidR="00000000" w:rsidRPr="00000000">
              <w:rPr>
                <w:rFonts w:ascii="Times New Roman" w:cs="Times New Roman" w:eastAsia="Times New Roman" w:hAnsi="Times New Roman"/>
                <w:b w:val="0"/>
                <w:bCs w:val="0"/>
                <w:i w:val="0"/>
                <w:iCs w:val="0"/>
                <w:color w:val="0f172a"/>
                <w:sz w:val="17"/>
                <w:szCs w:val="17"/>
                <w:rtl w:val="0"/>
              </w:rPr>
              <w:t xml:space="preserve">).</w:t>
            </w:r>
            <w:r w:rsidDel="00000000" w:rsidR="00000000" w:rsidRPr="00000000">
              <w:rPr>
                <w:rtl w:val="0"/>
              </w:rPr>
            </w:r>
          </w:p>
        </w:tc>
        <w:tc>
          <w:tcPr/>
          <w:p w:rsidR="00000000" w:rsidDel="00000000" w:rsidP="00000000" w:rsidRDefault="00000000" w:rsidRPr="00000000" w14:paraId="0000018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Fuera de alcance</w:t>
            </w:r>
            <w:r w:rsidDel="00000000" w:rsidR="00000000" w:rsidRPr="00000000">
              <w:rPr>
                <w:rtl w:val="0"/>
              </w:rPr>
            </w:r>
          </w:p>
        </w:tc>
      </w:tr>
      <w:tr>
        <w:trPr>
          <w:cantSplit w:val="1"/>
          <w:tblHeader w:val="0"/>
        </w:trPr>
        <w:tc>
          <w:tcPr/>
          <w:p w:rsidR="00000000" w:rsidDel="00000000" w:rsidP="00000000" w:rsidRDefault="00000000" w:rsidRPr="00000000" w14:paraId="0000018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Trazabilidad y Razonamiento</w:t>
            </w:r>
            <w:r w:rsidDel="00000000" w:rsidR="00000000" w:rsidRPr="00000000">
              <w:rPr>
                <w:rtl w:val="0"/>
              </w:rPr>
            </w:r>
          </w:p>
        </w:tc>
        <w:tc>
          <w:tcPr/>
          <w:p w:rsidR="00000000" w:rsidDel="00000000" w:rsidP="00000000" w:rsidRDefault="00000000" w:rsidRPr="00000000" w14:paraId="0000018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Generación de árboles de decisión estructurados (</w:t>
            </w:r>
            <w:r w:rsidDel="00000000" w:rsidR="00000000" w:rsidRPr="00000000">
              <w:rPr>
                <w:rFonts w:ascii="Times New Roman" w:cs="Times New Roman" w:eastAsia="Times New Roman" w:hAnsi="Times New Roman"/>
                <w:b w:val="0"/>
                <w:bCs w:val="0"/>
                <w:i w:val="1"/>
                <w:iCs w:val="1"/>
                <w:color w:val="0f172a"/>
                <w:sz w:val="17"/>
                <w:szCs w:val="17"/>
                <w:rtl w:val="0"/>
              </w:rPr>
              <w:t xml:space="preserve">Decision Log</w:t>
            </w:r>
            <w:r w:rsidDel="00000000" w:rsidR="00000000" w:rsidRPr="00000000">
              <w:rPr>
                <w:rFonts w:ascii="Times New Roman" w:cs="Times New Roman" w:eastAsia="Times New Roman" w:hAnsi="Times New Roman"/>
                <w:b w:val="0"/>
                <w:bCs w:val="0"/>
                <w:i w:val="0"/>
                <w:iCs w:val="0"/>
                <w:color w:val="0f172a"/>
                <w:sz w:val="17"/>
                <w:szCs w:val="17"/>
                <w:rtl w:val="0"/>
              </w:rPr>
              <w:t xml:space="preserve">) inmutables con autoría formal (</w:t>
            </w:r>
            <w:r w:rsidDel="00000000" w:rsidR="00000000" w:rsidRPr="00000000">
              <w:rPr>
                <w:rFonts w:ascii="Consolas" w:cs="Consolas" w:eastAsia="Consolas" w:hAnsi="Consolas"/>
                <w:b w:val="0"/>
                <w:bCs w:val="0"/>
                <w:i w:val="0"/>
                <w:iCs w:val="0"/>
                <w:color w:val="334155"/>
                <w:sz w:val="14"/>
                <w:szCs w:val="14"/>
                <w:rtl w:val="0"/>
              </w:rPr>
              <w:t xml:space="preserve">PerfilIngeniero</w:t>
            </w:r>
            <w:r w:rsidDel="00000000" w:rsidR="00000000" w:rsidRPr="00000000">
              <w:rPr>
                <w:rFonts w:ascii="Times New Roman" w:cs="Times New Roman" w:eastAsia="Times New Roman" w:hAnsi="Times New Roman"/>
                <w:b w:val="0"/>
                <w:bCs w:val="0"/>
                <w:i w:val="0"/>
                <w:iCs w:val="0"/>
                <w:color w:val="0f172a"/>
                <w:sz w:val="17"/>
                <w:szCs w:val="17"/>
                <w:rtl w:val="0"/>
              </w:rPr>
              <w:t xml:space="preserve">), supuestos y fuentes documentales.</w:t>
            </w:r>
            <w:r w:rsidDel="00000000" w:rsidR="00000000" w:rsidRPr="00000000">
              <w:rPr>
                <w:rtl w:val="0"/>
              </w:rPr>
            </w:r>
          </w:p>
        </w:tc>
        <w:tc>
          <w:tcPr/>
          <w:p w:rsidR="00000000" w:rsidDel="00000000" w:rsidP="00000000" w:rsidRDefault="00000000" w:rsidRPr="00000000" w14:paraId="0000018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RF-06, RF-09</w:t>
            </w:r>
            <w:r w:rsidDel="00000000" w:rsidR="00000000" w:rsidRPr="00000000">
              <w:rPr>
                <w:rtl w:val="0"/>
              </w:rPr>
            </w:r>
          </w:p>
        </w:tc>
        <w:tc>
          <w:tcPr/>
          <w:p w:rsidR="00000000" w:rsidDel="00000000" w:rsidP="00000000" w:rsidRDefault="00000000" w:rsidRPr="00000000" w14:paraId="0000018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Ejecución autónoma de decisiones de diseño sin supervisión humana autorizada.</w:t>
            </w:r>
            <w:r w:rsidDel="00000000" w:rsidR="00000000" w:rsidRPr="00000000">
              <w:rPr>
                <w:rtl w:val="0"/>
              </w:rPr>
            </w:r>
          </w:p>
        </w:tc>
        <w:tc>
          <w:tcPr/>
          <w:p w:rsidR="00000000" w:rsidDel="00000000" w:rsidP="00000000" w:rsidRDefault="00000000" w:rsidRPr="00000000" w14:paraId="0000018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Riesgo normativo y regulatorio de pérdida de control sobre supuestos críticos; arquitectura cerrada a la firma profesional humana.</w:t>
            </w:r>
            <w:r w:rsidDel="00000000" w:rsidR="00000000" w:rsidRPr="00000000">
              <w:rPr>
                <w:rtl w:val="0"/>
              </w:rPr>
            </w:r>
          </w:p>
        </w:tc>
        <w:tc>
          <w:tcPr/>
          <w:p w:rsidR="00000000" w:rsidDel="00000000" w:rsidP="00000000" w:rsidRDefault="00000000" w:rsidRPr="00000000" w14:paraId="0000018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Fuera de alcance</w:t>
            </w:r>
            <w:r w:rsidDel="00000000" w:rsidR="00000000" w:rsidRPr="00000000">
              <w:rPr>
                <w:rtl w:val="0"/>
              </w:rPr>
            </w:r>
          </w:p>
        </w:tc>
      </w:tr>
      <w:tr>
        <w:trPr>
          <w:cantSplit w:val="1"/>
          <w:tblHeader w:val="0"/>
        </w:trPr>
        <w:tc>
          <w:tcPr/>
          <w:p w:rsidR="00000000" w:rsidDel="00000000" w:rsidP="00000000" w:rsidRDefault="00000000" w:rsidRPr="00000000" w14:paraId="0000019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Factores Humanos y Cognición</w:t>
            </w:r>
            <w:r w:rsidDel="00000000" w:rsidR="00000000" w:rsidRPr="00000000">
              <w:rPr>
                <w:rtl w:val="0"/>
              </w:rPr>
            </w:r>
          </w:p>
        </w:tc>
        <w:tc>
          <w:tcPr/>
          <w:p w:rsidR="00000000" w:rsidDel="00000000" w:rsidP="00000000" w:rsidRDefault="00000000" w:rsidRPr="00000000" w14:paraId="00000191">
            <w:pPr>
              <w:spacing w:after="20" w:before="20" w:line="252.00000000000003" w:lineRule="auto"/>
              <w:rPr/>
            </w:pPr>
            <w:r w:rsidDel="00000000" w:rsidR="00000000" w:rsidRPr="00000000">
              <w:rPr>
                <w:rFonts w:ascii="Gungsuh" w:cs="Gungsuh" w:eastAsia="Gungsuh" w:hAnsi="Gungsuh"/>
                <w:b w:val="0"/>
                <w:bCs w:val="0"/>
                <w:i w:val="0"/>
                <w:iCs w:val="0"/>
                <w:color w:val="0f172a"/>
                <w:sz w:val="17"/>
                <w:szCs w:val="17"/>
                <w:rtl w:val="0"/>
              </w:rPr>
              <w:t xml:space="preserve">Chat de Hilo Digital con doble agente y adaptación dinámica de respuesta según carga NASA-TLX (≥ 60 TLX: visual/sintético vs. &lt; 60 TLX: explicativo).</w:t>
            </w:r>
            <w:r w:rsidDel="00000000" w:rsidR="00000000" w:rsidRPr="00000000">
              <w:rPr>
                <w:rtl w:val="0"/>
              </w:rPr>
            </w:r>
          </w:p>
        </w:tc>
        <w:tc>
          <w:tcPr/>
          <w:p w:rsidR="00000000" w:rsidDel="00000000" w:rsidP="00000000" w:rsidRDefault="00000000" w:rsidRPr="00000000" w14:paraId="0000019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RF-07, RF-12</w:t>
            </w:r>
            <w:r w:rsidDel="00000000" w:rsidR="00000000" w:rsidRPr="00000000">
              <w:rPr>
                <w:rtl w:val="0"/>
              </w:rPr>
            </w:r>
          </w:p>
        </w:tc>
        <w:tc>
          <w:tcPr/>
          <w:p w:rsidR="00000000" w:rsidDel="00000000" w:rsidP="00000000" w:rsidRDefault="00000000" w:rsidRPr="00000000" w14:paraId="0000019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Asistencia mediante agente de procesamiento de voz en lenguaje natural en tiempo real para salas limpias (</w:t>
            </w:r>
            <w:r w:rsidDel="00000000" w:rsidR="00000000" w:rsidRPr="00000000">
              <w:rPr>
                <w:rFonts w:ascii="Times New Roman" w:cs="Times New Roman" w:eastAsia="Times New Roman" w:hAnsi="Times New Roman"/>
                <w:b w:val="0"/>
                <w:bCs w:val="0"/>
                <w:i w:val="1"/>
                <w:iCs w:val="1"/>
                <w:color w:val="0f172a"/>
                <w:sz w:val="17"/>
                <w:szCs w:val="17"/>
                <w:rtl w:val="0"/>
              </w:rPr>
              <w:t xml:space="preserve">cleanrooms</w:t>
            </w:r>
            <w:r w:rsidDel="00000000" w:rsidR="00000000" w:rsidRPr="00000000">
              <w:rPr>
                <w:rFonts w:ascii="Times New Roman" w:cs="Times New Roman" w:eastAsia="Times New Roman" w:hAnsi="Times New Roman"/>
                <w:b w:val="0"/>
                <w:bCs w:val="0"/>
                <w:i w:val="0"/>
                <w:iCs w:val="0"/>
                <w:color w:val="0f172a"/>
                <w:sz w:val="17"/>
                <w:szCs w:val="17"/>
                <w:rtl w:val="0"/>
              </w:rPr>
              <w:t xml:space="preserve">).</w:t>
            </w:r>
            <w:r w:rsidDel="00000000" w:rsidR="00000000" w:rsidRPr="00000000">
              <w:rPr>
                <w:rtl w:val="0"/>
              </w:rPr>
            </w:r>
          </w:p>
        </w:tc>
        <w:tc>
          <w:tcPr/>
          <w:p w:rsidR="00000000" w:rsidDel="00000000" w:rsidP="00000000" w:rsidRDefault="00000000" w:rsidRPr="00000000" w14:paraId="0000019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Descartado del MVP por latencia de cómputo en sala y riesgo de alucinación fonética; se mantiene el </w:t>
            </w:r>
            <w:r w:rsidDel="00000000" w:rsidR="00000000" w:rsidRPr="00000000">
              <w:rPr>
                <w:rFonts w:ascii="Times New Roman" w:cs="Times New Roman" w:eastAsia="Times New Roman" w:hAnsi="Times New Roman"/>
                <w:b w:val="0"/>
                <w:bCs w:val="0"/>
                <w:i w:val="1"/>
                <w:iCs w:val="1"/>
                <w:color w:val="0f172a"/>
                <w:sz w:val="17"/>
                <w:szCs w:val="17"/>
                <w:rtl w:val="0"/>
              </w:rPr>
              <w:t xml:space="preserve">Book of Shapes</w:t>
            </w:r>
            <w:r w:rsidDel="00000000" w:rsidR="00000000" w:rsidRPr="00000000">
              <w:rPr>
                <w:rFonts w:ascii="Times New Roman" w:cs="Times New Roman" w:eastAsia="Times New Roman" w:hAnsi="Times New Roman"/>
                <w:b w:val="0"/>
                <w:bCs w:val="0"/>
                <w:i w:val="0"/>
                <w:iCs w:val="0"/>
                <w:color w:val="0f172a"/>
                <w:sz w:val="17"/>
                <w:szCs w:val="17"/>
                <w:rtl w:val="0"/>
              </w:rPr>
              <w:t xml:space="preserve"> como indicador de razonamiento.</w:t>
            </w:r>
            <w:r w:rsidDel="00000000" w:rsidR="00000000" w:rsidRPr="00000000">
              <w:rPr>
                <w:rtl w:val="0"/>
              </w:rPr>
            </w:r>
          </w:p>
        </w:tc>
        <w:tc>
          <w:tcPr/>
          <w:p w:rsidR="00000000" w:rsidDel="00000000" w:rsidP="00000000" w:rsidRDefault="00000000" w:rsidRPr="00000000" w14:paraId="0000019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Post-PIF (Fase 3)</w:t>
            </w:r>
            <w:r w:rsidDel="00000000" w:rsidR="00000000" w:rsidRPr="00000000">
              <w:rPr>
                <w:rtl w:val="0"/>
              </w:rPr>
            </w:r>
          </w:p>
        </w:tc>
      </w:tr>
    </w:tbl>
    <w:p w:rsidR="00000000" w:rsidDel="00000000" w:rsidP="00000000" w:rsidRDefault="00000000" w:rsidRPr="00000000" w14:paraId="00000196">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Nota. Elaboración propia sobre el relevamiento del Capítulo I (Sec. I.6), las reglas de negocio del Apartado III.2 y las pautas metodológicas de cátedra.</w:t>
      </w:r>
      <w:r w:rsidDel="00000000" w:rsidR="00000000" w:rsidRPr="00000000">
        <w:rPr>
          <w:rtl w:val="0"/>
        </w:rPr>
      </w:r>
    </w:p>
    <w:p w:rsidR="00000000" w:rsidDel="00000000" w:rsidP="00000000" w:rsidRDefault="00000000" w:rsidRPr="00000000" w14:paraId="00000197">
      <w:pPr>
        <w:pStyle w:val="Heading1"/>
        <w:rPr/>
      </w:pPr>
      <w:bookmarkStart w:colFirst="0" w:colLast="0" w:name="_h54lqzuaj3f0" w:id="24"/>
      <w:bookmarkEnd w:id="24"/>
      <w:r w:rsidDel="00000000" w:rsidR="00000000" w:rsidRPr="00000000">
        <w:rPr>
          <w:rtl w:val="0"/>
        </w:rPr>
        <w:t xml:space="preserve">III.4 · Límites del Sistema</w:t>
      </w:r>
    </w:p>
    <w:p w:rsidR="00000000" w:rsidDel="00000000" w:rsidP="00000000" w:rsidRDefault="00000000" w:rsidRPr="00000000" w14:paraId="00000198">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La delimitación de los límites del sistema de información constituye una decisión estratégica de ingeniería de software orientada a gobernar la complejidad arquitectónica y salvaguardar la viabilidad del proyecto, distinguiéndose conceptualmente de una renuncia o reducción pasiva de capacidades. Una exclusión técnica formulada en soledad por el desarrollador representa únicamente una hipótesis no contrastada; por el contrario, cuando dicha frontera es debatida, validada con la autoridad técnica de la organización usuaria y asentada formalmente en acta de reunión, adquiere el carácter de un límite de ingeniería vinculante y auditable. En CODI, la definición de la frontera operativa responde al principio de concentración del esfuerzo en el punto crítico del problema: el arnés cognitivo asume aquellas funciones de ingesta documental, balance energético analítico y preservación de memoria técnica donde el relevamiento de los Capítulos I y II constató el cuello de botella del Centro Tecnológico Aeroespacial (CTA-UNLP), excluyendo de forma deliberada el desarrollo de motores físicos redundantes o la adquisición de herramientas privativas de costo incompatible con el ámbito universitario.</w:t>
      </w:r>
      <w:r w:rsidDel="00000000" w:rsidR="00000000" w:rsidRPr="00000000">
        <w:rPr>
          <w:rtl w:val="0"/>
        </w:rPr>
      </w:r>
    </w:p>
    <w:p w:rsidR="00000000" w:rsidDel="00000000" w:rsidP="00000000" w:rsidRDefault="00000000" w:rsidRPr="00000000" w14:paraId="00000199">
      <w:pPr>
        <w:pStyle w:val="Heading3"/>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Tabla III.6: Límites del Sistema de Información</w:t>
      </w:r>
      <w:r w:rsidDel="00000000" w:rsidR="00000000" w:rsidRPr="00000000">
        <w:rPr>
          <w:rtl w:val="0"/>
        </w:rPr>
      </w:r>
    </w:p>
    <w:p w:rsidR="00000000" w:rsidDel="00000000" w:rsidP="00000000" w:rsidRDefault="00000000" w:rsidRPr="00000000" w14:paraId="0000019A">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En cumplimiento del marco reglamentario del Proyecto Integrador Final (Resolución Rectoral N.º 97/23, Art. 21.º) y de la regla metodológica de simetría funcional, la siguiente tabla formaliza las capacidades que quedan estrictamente fuera de la frontera de CODI y de su Producto Mínimo Viable (MVP), declarando el criterio técnico de descarte, el referente que validó la exclusión y la constancia documental de respaldo:</w:t>
      </w:r>
      <w:r w:rsidDel="00000000" w:rsidR="00000000" w:rsidRPr="00000000">
        <w:rPr>
          <w:rtl w:val="0"/>
        </w:rPr>
      </w:r>
    </w:p>
    <w:tbl>
      <w:tblPr>
        <w:tblStyle w:val="Table13"/>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2126"/>
        <w:gridCol w:w="2126"/>
        <w:gridCol w:w="2126"/>
        <w:gridCol w:w="2126"/>
        <w:tblGridChange w:id="0">
          <w:tblGrid>
            <w:gridCol w:w="2126"/>
            <w:gridCol w:w="2126"/>
            <w:gridCol w:w="2126"/>
            <w:gridCol w:w="2126"/>
          </w:tblGrid>
        </w:tblGridChange>
      </w:tblGrid>
      <w:tr>
        <w:trPr>
          <w:cantSplit w:val="1"/>
          <w:tblHeader w:val="1"/>
        </w:trPr>
        <w:tc>
          <w:tcPr>
            <w:shd w:fill="f1f5f9" w:val="clear"/>
          </w:tcPr>
          <w:p w:rsidR="00000000" w:rsidDel="00000000" w:rsidP="00000000" w:rsidRDefault="00000000" w:rsidRPr="00000000" w14:paraId="0000019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Qué queda fuera del sistema</w:t>
            </w:r>
            <w:r w:rsidDel="00000000" w:rsidR="00000000" w:rsidRPr="00000000">
              <w:rPr>
                <w:rtl w:val="0"/>
              </w:rPr>
            </w:r>
          </w:p>
        </w:tc>
        <w:tc>
          <w:tcPr>
            <w:shd w:fill="f1f5f9" w:val="clear"/>
          </w:tcPr>
          <w:p w:rsidR="00000000" w:rsidDel="00000000" w:rsidP="00000000" w:rsidRDefault="00000000" w:rsidRPr="00000000" w14:paraId="0000019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Por qué motivo técnico (Criterio de descarte)</w:t>
            </w:r>
            <w:r w:rsidDel="00000000" w:rsidR="00000000" w:rsidRPr="00000000">
              <w:rPr>
                <w:rtl w:val="0"/>
              </w:rPr>
            </w:r>
          </w:p>
        </w:tc>
        <w:tc>
          <w:tcPr>
            <w:shd w:fill="f1f5f9" w:val="clear"/>
          </w:tcPr>
          <w:p w:rsidR="00000000" w:rsidDel="00000000" w:rsidP="00000000" w:rsidRDefault="00000000" w:rsidRPr="00000000" w14:paraId="0000019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Quién lo validó (Referente y Rol)</w:t>
            </w:r>
            <w:r w:rsidDel="00000000" w:rsidR="00000000" w:rsidRPr="00000000">
              <w:rPr>
                <w:rtl w:val="0"/>
              </w:rPr>
            </w:r>
          </w:p>
        </w:tc>
        <w:tc>
          <w:tcPr>
            <w:shd w:fill="f1f5f9" w:val="clear"/>
          </w:tcPr>
          <w:p w:rsidR="00000000" w:rsidDel="00000000" w:rsidP="00000000" w:rsidRDefault="00000000" w:rsidRPr="00000000" w14:paraId="0000019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Estado y constancia</w:t>
            </w:r>
            <w:r w:rsidDel="00000000" w:rsidR="00000000" w:rsidRPr="00000000">
              <w:rPr>
                <w:rtl w:val="0"/>
              </w:rPr>
            </w:r>
          </w:p>
        </w:tc>
      </w:tr>
      <w:tr>
        <w:trPr>
          <w:cantSplit w:val="1"/>
          <w:tblHeader w:val="0"/>
        </w:trPr>
        <w:tc>
          <w:tcPr/>
          <w:p w:rsidR="00000000" w:rsidDel="00000000" w:rsidP="00000000" w:rsidRDefault="00000000" w:rsidRPr="00000000" w14:paraId="0000019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Motor propio de simulación física y orbital multifísica de alta fidelidad</w:t>
            </w:r>
            <w:r w:rsidDel="00000000" w:rsidR="00000000" w:rsidRPr="00000000">
              <w:rPr>
                <w:rtl w:val="0"/>
              </w:rPr>
            </w:r>
          </w:p>
        </w:tc>
        <w:tc>
          <w:tcPr/>
          <w:p w:rsidR="00000000" w:rsidDel="00000000" w:rsidP="00000000" w:rsidRDefault="00000000" w:rsidRPr="00000000" w14:paraId="000001A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Evitar la duplicación de capacidades provistas por herramientas analíticas maduras y especializadas del sector (MATLAB, STK, OpenFOAM). CODI opera mediante la ingesta desacoplada de corridas numéricas provistas por el usuario como evidencia técnica para el razonamiento cognitivo (Capítulo I, Sec. I.6).</w:t>
            </w:r>
            <w:r w:rsidDel="00000000" w:rsidR="00000000" w:rsidRPr="00000000">
              <w:rPr>
                <w:rtl w:val="0"/>
              </w:rPr>
            </w:r>
          </w:p>
        </w:tc>
        <w:tc>
          <w:tcPr/>
          <w:p w:rsidR="00000000" w:rsidDel="00000000" w:rsidP="00000000" w:rsidRDefault="00000000" w:rsidRPr="00000000" w14:paraId="000001A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Ing. Sonia Botta (Coordinadora de Proyectos USAT, CTA-UNLP)</w:t>
            </w:r>
            <w:r w:rsidDel="00000000" w:rsidR="00000000" w:rsidRPr="00000000">
              <w:rPr>
                <w:rtl w:val="0"/>
              </w:rPr>
            </w:r>
          </w:p>
        </w:tc>
        <w:tc>
          <w:tcPr/>
          <w:p w:rsidR="00000000" w:rsidDel="00000000" w:rsidP="00000000" w:rsidRDefault="00000000" w:rsidRPr="00000000" w14:paraId="000001A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Validado</w:t>
            </w:r>
            <w:r w:rsidDel="00000000" w:rsidR="00000000" w:rsidRPr="00000000">
              <w:rPr>
                <w:rFonts w:ascii="Times New Roman" w:cs="Times New Roman" w:eastAsia="Times New Roman" w:hAnsi="Times New Roman"/>
                <w:b w:val="0"/>
                <w:bCs w:val="0"/>
                <w:i w:val="0"/>
                <w:iCs w:val="0"/>
                <w:color w:val="0f172a"/>
                <w:sz w:val="18"/>
                <w:szCs w:val="18"/>
                <w:rtl w:val="0"/>
              </w:rPr>
              <w:t xml:space="preserve"> · Acta de reunión técnica del 14/09/2026 (Min 00:35:50). Resuelto de forma definitiva.</w:t>
            </w:r>
            <w:r w:rsidDel="00000000" w:rsidR="00000000" w:rsidRPr="00000000">
              <w:rPr>
                <w:rtl w:val="0"/>
              </w:rPr>
            </w:r>
          </w:p>
        </w:tc>
      </w:tr>
      <w:tr>
        <w:trPr>
          <w:cantSplit w:val="1"/>
          <w:tblHeader w:val="0"/>
        </w:trPr>
        <w:tc>
          <w:tcPr/>
          <w:p w:rsidR="00000000" w:rsidDel="00000000" w:rsidP="00000000" w:rsidRDefault="00000000" w:rsidRPr="00000000" w14:paraId="000001A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Modelado multifísico de subsistemas mecánicos, térmicos y control de actitud (ADCS)</w:t>
            </w:r>
            <w:r w:rsidDel="00000000" w:rsidR="00000000" w:rsidRPr="00000000">
              <w:rPr>
                <w:rtl w:val="0"/>
              </w:rPr>
            </w:r>
          </w:p>
        </w:tc>
        <w:tc>
          <w:tcPr/>
          <w:p w:rsidR="00000000" w:rsidDel="00000000" w:rsidP="00000000" w:rsidRDefault="00000000" w:rsidRPr="00000000" w14:paraId="000001A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Prevenir la dispersión de esfuerzos de desarrollo fuera del área que concentra el 80% del personal técnico del equipo universitario (electrónica y potencia) y donde se origina el 38,8% de las pérdidas tempranas de satélites en órbita LEO (Swartwout, 2024).</w:t>
            </w:r>
            <w:r w:rsidDel="00000000" w:rsidR="00000000" w:rsidRPr="00000000">
              <w:rPr>
                <w:rtl w:val="0"/>
              </w:rPr>
            </w:r>
          </w:p>
        </w:tc>
        <w:tc>
          <w:tcPr/>
          <w:p w:rsidR="00000000" w:rsidDel="00000000" w:rsidP="00000000" w:rsidRDefault="00000000" w:rsidRPr="00000000" w14:paraId="000001A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Ing. Sonia Botta (Coordinadora de Proyectos USAT, CTA-UNLP)</w:t>
            </w:r>
            <w:r w:rsidDel="00000000" w:rsidR="00000000" w:rsidRPr="00000000">
              <w:rPr>
                <w:rtl w:val="0"/>
              </w:rPr>
            </w:r>
          </w:p>
        </w:tc>
        <w:tc>
          <w:tcPr/>
          <w:p w:rsidR="00000000" w:rsidDel="00000000" w:rsidP="00000000" w:rsidRDefault="00000000" w:rsidRPr="00000000" w14:paraId="000001A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Validado</w:t>
            </w:r>
            <w:r w:rsidDel="00000000" w:rsidR="00000000" w:rsidRPr="00000000">
              <w:rPr>
                <w:rFonts w:ascii="Times New Roman" w:cs="Times New Roman" w:eastAsia="Times New Roman" w:hAnsi="Times New Roman"/>
                <w:b w:val="0"/>
                <w:bCs w:val="0"/>
                <w:i w:val="0"/>
                <w:iCs w:val="0"/>
                <w:color w:val="0f172a"/>
                <w:sz w:val="18"/>
                <w:szCs w:val="18"/>
                <w:rtl w:val="0"/>
              </w:rPr>
              <w:t xml:space="preserve"> · Acta de reunión técnica del 14/09/2026 (Min 00:21:39). Instancia de resolución: Roadmap evolutivo post-PIF (Fase 2).</w:t>
            </w:r>
            <w:r w:rsidDel="00000000" w:rsidR="00000000" w:rsidRPr="00000000">
              <w:rPr>
                <w:rtl w:val="0"/>
              </w:rPr>
            </w:r>
          </w:p>
        </w:tc>
      </w:tr>
      <w:tr>
        <w:trPr>
          <w:cantSplit w:val="1"/>
          <w:tblHeader w:val="0"/>
        </w:trPr>
        <w:tc>
          <w:tcPr/>
          <w:p w:rsidR="00000000" w:rsidDel="00000000" w:rsidP="00000000" w:rsidRDefault="00000000" w:rsidRPr="00000000" w14:paraId="000001A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Plugins comerciales directos para CAD corporativo (SolidWorks/Catia) y APIs de Valispace</w:t>
            </w:r>
            <w:r w:rsidDel="00000000" w:rsidR="00000000" w:rsidRPr="00000000">
              <w:rPr>
                <w:rtl w:val="0"/>
              </w:rPr>
            </w:r>
          </w:p>
        </w:tc>
        <w:tc>
          <w:tcPr/>
          <w:p w:rsidR="00000000" w:rsidDel="00000000" w:rsidP="00000000" w:rsidRDefault="00000000" w:rsidRPr="00000000" w14:paraId="000001A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Costos prohibitivos de licenciamiento anual (USD 1.500 por usuario en Valispace y USD 15.000 por módulo CAD propietario), incompatibles con el presupuesto de proyectos académicos. La interoperabilidad se resuelve mediante el hilo digital (</w:t>
            </w:r>
            <w:r w:rsidDel="00000000" w:rsidR="00000000" w:rsidRPr="00000000">
              <w:rPr>
                <w:rFonts w:ascii="Times New Roman" w:cs="Times New Roman" w:eastAsia="Times New Roman" w:hAnsi="Times New Roman"/>
                <w:b w:val="0"/>
                <w:bCs w:val="0"/>
                <w:i w:val="1"/>
                <w:iCs w:val="1"/>
                <w:color w:val="0f172a"/>
                <w:sz w:val="18"/>
                <w:szCs w:val="18"/>
                <w:rtl w:val="0"/>
              </w:rPr>
              <w:t xml:space="preserve">Digital Thread</w:t>
            </w:r>
            <w:r w:rsidDel="00000000" w:rsidR="00000000" w:rsidRPr="00000000">
              <w:rPr>
                <w:rFonts w:ascii="Times New Roman" w:cs="Times New Roman" w:eastAsia="Times New Roman" w:hAnsi="Times New Roman"/>
                <w:b w:val="0"/>
                <w:bCs w:val="0"/>
                <w:i w:val="0"/>
                <w:iCs w:val="0"/>
                <w:color w:val="0f172a"/>
                <w:sz w:val="18"/>
                <w:szCs w:val="18"/>
                <w:rtl w:val="0"/>
              </w:rPr>
              <w:t xml:space="preserve">) con formatos neutros abiertos (STEP/CSV/JSON) sin acoplamiento a código cerrado.</w:t>
            </w:r>
            <w:r w:rsidDel="00000000" w:rsidR="00000000" w:rsidRPr="00000000">
              <w:rPr>
                <w:rtl w:val="0"/>
              </w:rPr>
            </w:r>
          </w:p>
        </w:tc>
        <w:tc>
          <w:tcPr/>
          <w:p w:rsidR="00000000" w:rsidDel="00000000" w:rsidP="00000000" w:rsidRDefault="00000000" w:rsidRPr="00000000" w14:paraId="000001A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Ing. Sonia Botta (Coordinadora de Proyectos USAT, CTA-UNLP)</w:t>
            </w:r>
            <w:r w:rsidDel="00000000" w:rsidR="00000000" w:rsidRPr="00000000">
              <w:rPr>
                <w:rtl w:val="0"/>
              </w:rPr>
            </w:r>
          </w:p>
        </w:tc>
        <w:tc>
          <w:tcPr/>
          <w:p w:rsidR="00000000" w:rsidDel="00000000" w:rsidP="00000000" w:rsidRDefault="00000000" w:rsidRPr="00000000" w14:paraId="000001A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Validado</w:t>
            </w:r>
            <w:r w:rsidDel="00000000" w:rsidR="00000000" w:rsidRPr="00000000">
              <w:rPr>
                <w:rFonts w:ascii="Times New Roman" w:cs="Times New Roman" w:eastAsia="Times New Roman" w:hAnsi="Times New Roman"/>
                <w:b w:val="0"/>
                <w:bCs w:val="0"/>
                <w:i w:val="0"/>
                <w:iCs w:val="0"/>
                <w:color w:val="0f172a"/>
                <w:sz w:val="18"/>
                <w:szCs w:val="18"/>
                <w:rtl w:val="0"/>
              </w:rPr>
              <w:t xml:space="preserve"> · Acta de reunión técnica del 14/09/2026 (Min 00:27:32). Resuelto de forma definitiva mediante estándares abiertos.</w:t>
            </w:r>
            <w:r w:rsidDel="00000000" w:rsidR="00000000" w:rsidRPr="00000000">
              <w:rPr>
                <w:rtl w:val="0"/>
              </w:rPr>
            </w:r>
          </w:p>
        </w:tc>
      </w:tr>
      <w:tr>
        <w:trPr>
          <w:cantSplit w:val="1"/>
          <w:tblHeader w:val="0"/>
        </w:trPr>
        <w:tc>
          <w:tcPr/>
          <w:p w:rsidR="00000000" w:rsidDel="00000000" w:rsidP="00000000" w:rsidRDefault="00000000" w:rsidRPr="00000000" w14:paraId="000001A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Agente de asistencia conversacional por voz en tiempo real para salas limpias (*cleanrooms*)</w:t>
            </w:r>
            <w:r w:rsidDel="00000000" w:rsidR="00000000" w:rsidRPr="00000000">
              <w:rPr>
                <w:rtl w:val="0"/>
              </w:rPr>
            </w:r>
          </w:p>
        </w:tc>
        <w:tc>
          <w:tcPr/>
          <w:p w:rsidR="00000000" w:rsidDel="00000000" w:rsidP="00000000" w:rsidRDefault="00000000" w:rsidRPr="00000000" w14:paraId="000001A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Elevada latencia de procesamiento acústico en sala y riesgo de alucinación fonética frente a terminología técnica crítica y parámetros numéricos de diseño. Se prioriza la exactitud visual y tabular del balance de potencia y la rigidez de las reglas de negocio sobre la interacción manos libres.</w:t>
            </w:r>
            <w:r w:rsidDel="00000000" w:rsidR="00000000" w:rsidRPr="00000000">
              <w:rPr>
                <w:rtl w:val="0"/>
              </w:rPr>
            </w:r>
          </w:p>
        </w:tc>
        <w:tc>
          <w:tcPr/>
          <w:p w:rsidR="00000000" w:rsidDel="00000000" w:rsidP="00000000" w:rsidRDefault="00000000" w:rsidRPr="00000000" w14:paraId="000001A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Ing. Sonia Botta (Coordinadora de Proyectos USAT, CTA-UNLP)</w:t>
            </w:r>
            <w:r w:rsidDel="00000000" w:rsidR="00000000" w:rsidRPr="00000000">
              <w:rPr>
                <w:rtl w:val="0"/>
              </w:rPr>
            </w:r>
          </w:p>
        </w:tc>
        <w:tc>
          <w:tcPr/>
          <w:p w:rsidR="00000000" w:rsidDel="00000000" w:rsidP="00000000" w:rsidRDefault="00000000" w:rsidRPr="00000000" w14:paraId="000001A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Validado</w:t>
            </w:r>
            <w:r w:rsidDel="00000000" w:rsidR="00000000" w:rsidRPr="00000000">
              <w:rPr>
                <w:rFonts w:ascii="Times New Roman" w:cs="Times New Roman" w:eastAsia="Times New Roman" w:hAnsi="Times New Roman"/>
                <w:b w:val="0"/>
                <w:bCs w:val="0"/>
                <w:i w:val="0"/>
                <w:iCs w:val="0"/>
                <w:color w:val="0f172a"/>
                <w:sz w:val="18"/>
                <w:szCs w:val="18"/>
                <w:rtl w:val="0"/>
              </w:rPr>
              <w:t xml:space="preserve"> · Acta de reunión técnica del 14/09/2026 (Min 01:10:45). Instancia de resolución: Prototipo experimental post-PIF (Fase 3).</w:t>
            </w:r>
            <w:r w:rsidDel="00000000" w:rsidR="00000000" w:rsidRPr="00000000">
              <w:rPr>
                <w:rtl w:val="0"/>
              </w:rPr>
            </w:r>
          </w:p>
        </w:tc>
      </w:tr>
      <w:tr>
        <w:trPr>
          <w:cantSplit w:val="1"/>
          <w:tblHeader w:val="0"/>
        </w:trPr>
        <w:tc>
          <w:tcPr/>
          <w:p w:rsidR="00000000" w:rsidDel="00000000" w:rsidP="00000000" w:rsidRDefault="00000000" w:rsidRPr="00000000" w14:paraId="000001A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Operación satelital en órbita y procesamiento de telemetría en tiempo real (Fase E)</w:t>
            </w:r>
            <w:r w:rsidDel="00000000" w:rsidR="00000000" w:rsidRPr="00000000">
              <w:rPr>
                <w:rtl w:val="0"/>
              </w:rPr>
            </w:r>
          </w:p>
        </w:tc>
        <w:tc>
          <w:tcPr/>
          <w:p w:rsidR="00000000" w:rsidDel="00000000" w:rsidP="00000000" w:rsidRDefault="00000000" w:rsidRPr="00000000" w14:paraId="000001B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alcance del sistema y del proyecto se restringe rigurosamente a las fases conceptuales y de diseño preliminar de la misión (Fases 0 a B según estándar ECSS-E-ST-10C / Pre-Fase A a Fase B según NASA SP-20230000806 Rev. 3), anterior a la fabricación y lanzamiento del satélite.</w:t>
            </w:r>
            <w:r w:rsidDel="00000000" w:rsidR="00000000" w:rsidRPr="00000000">
              <w:rPr>
                <w:rtl w:val="0"/>
              </w:rPr>
            </w:r>
          </w:p>
        </w:tc>
        <w:tc>
          <w:tcPr/>
          <w:p w:rsidR="00000000" w:rsidDel="00000000" w:rsidP="00000000" w:rsidRDefault="00000000" w:rsidRPr="00000000" w14:paraId="000001B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Ing. Sonia Botta (Coordinadora de Proyectos USAT, CTA-UNLP)</w:t>
            </w:r>
            <w:r w:rsidDel="00000000" w:rsidR="00000000" w:rsidRPr="00000000">
              <w:rPr>
                <w:rtl w:val="0"/>
              </w:rPr>
            </w:r>
          </w:p>
        </w:tc>
        <w:tc>
          <w:tcPr/>
          <w:p w:rsidR="00000000" w:rsidDel="00000000" w:rsidP="00000000" w:rsidRDefault="00000000" w:rsidRPr="00000000" w14:paraId="000001B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Validado</w:t>
            </w:r>
            <w:r w:rsidDel="00000000" w:rsidR="00000000" w:rsidRPr="00000000">
              <w:rPr>
                <w:rFonts w:ascii="Times New Roman" w:cs="Times New Roman" w:eastAsia="Times New Roman" w:hAnsi="Times New Roman"/>
                <w:b w:val="0"/>
                <w:bCs w:val="0"/>
                <w:i w:val="0"/>
                <w:iCs w:val="0"/>
                <w:color w:val="0f172a"/>
                <w:sz w:val="18"/>
                <w:szCs w:val="18"/>
                <w:rtl w:val="0"/>
              </w:rPr>
              <w:t xml:space="preserve"> · Sesión de delimitación del 14/09/2026; Capítulo I (Sec. I.6). Resuelto de forma definitiva.</w:t>
            </w:r>
            <w:r w:rsidDel="00000000" w:rsidR="00000000" w:rsidRPr="00000000">
              <w:rPr>
                <w:rtl w:val="0"/>
              </w:rPr>
            </w:r>
          </w:p>
        </w:tc>
      </w:tr>
      <w:tr>
        <w:trPr>
          <w:cantSplit w:val="1"/>
          <w:tblHeader w:val="0"/>
        </w:trPr>
        <w:tc>
          <w:tcPr/>
          <w:p w:rsidR="00000000" w:rsidDel="00000000" w:rsidP="00000000" w:rsidRDefault="00000000" w:rsidRPr="00000000" w14:paraId="000001B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Certificación regulatoria de vuelo y aprobación autónoma de misión espacial</w:t>
            </w:r>
            <w:r w:rsidDel="00000000" w:rsidR="00000000" w:rsidRPr="00000000">
              <w:rPr>
                <w:rtl w:val="0"/>
              </w:rPr>
            </w:r>
          </w:p>
        </w:tc>
        <w:tc>
          <w:tcPr/>
          <w:p w:rsidR="00000000" w:rsidDel="00000000" w:rsidP="00000000" w:rsidRDefault="00000000" w:rsidRPr="00000000" w14:paraId="000001B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La certificación formal de componentes espaciales y la autorización de vuelo corresponden con exclusividad a comités de revisión técnica institucional (PDR/CDR) y agencias espaciales oficiales bajo normas de aseguramiento de calidad (ECSS-Q-ST-80C). CODI asiste bajo el principio </w:t>
            </w:r>
            <w:r w:rsidDel="00000000" w:rsidR="00000000" w:rsidRPr="00000000">
              <w:rPr>
                <w:rFonts w:ascii="Times New Roman" w:cs="Times New Roman" w:eastAsia="Times New Roman" w:hAnsi="Times New Roman"/>
                <w:b w:val="0"/>
                <w:bCs w:val="0"/>
                <w:i w:val="1"/>
                <w:iCs w:val="1"/>
                <w:color w:val="0f172a"/>
                <w:sz w:val="18"/>
                <w:szCs w:val="18"/>
                <w:rtl w:val="0"/>
              </w:rPr>
              <w:t xml:space="preserve">Human-in-the-Loop</w:t>
            </w:r>
            <w:r w:rsidDel="00000000" w:rsidR="00000000" w:rsidRPr="00000000">
              <w:rPr>
                <w:rFonts w:ascii="Times New Roman" w:cs="Times New Roman" w:eastAsia="Times New Roman" w:hAnsi="Times New Roman"/>
                <w:b w:val="0"/>
                <w:bCs w:val="0"/>
                <w:i w:val="0"/>
                <w:iCs w:val="0"/>
                <w:color w:val="0f172a"/>
                <w:sz w:val="18"/>
                <w:szCs w:val="18"/>
                <w:rtl w:val="0"/>
              </w:rPr>
              <w:t xml:space="preserve"> sin delegar la firma profesional responsable.</w:t>
            </w:r>
            <w:r w:rsidDel="00000000" w:rsidR="00000000" w:rsidRPr="00000000">
              <w:rPr>
                <w:rtl w:val="0"/>
              </w:rPr>
            </w:r>
          </w:p>
        </w:tc>
        <w:tc>
          <w:tcPr/>
          <w:p w:rsidR="00000000" w:rsidDel="00000000" w:rsidP="00000000" w:rsidRDefault="00000000" w:rsidRPr="00000000" w14:paraId="000001B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Estándar ECSS-Q-ST-80C; NASA SE Handbook</w:t>
            </w:r>
            <w:r w:rsidDel="00000000" w:rsidR="00000000" w:rsidRPr="00000000">
              <w:rPr>
                <w:rtl w:val="0"/>
              </w:rPr>
            </w:r>
          </w:p>
        </w:tc>
        <w:tc>
          <w:tcPr/>
          <w:p w:rsidR="00000000" w:rsidDel="00000000" w:rsidP="00000000" w:rsidRDefault="00000000" w:rsidRPr="00000000" w14:paraId="000001B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Validado</w:t>
            </w:r>
            <w:r w:rsidDel="00000000" w:rsidR="00000000" w:rsidRPr="00000000">
              <w:rPr>
                <w:rFonts w:ascii="Times New Roman" w:cs="Times New Roman" w:eastAsia="Times New Roman" w:hAnsi="Times New Roman"/>
                <w:b w:val="0"/>
                <w:bCs w:val="0"/>
                <w:i w:val="0"/>
                <w:iCs w:val="0"/>
                <w:color w:val="0f172a"/>
                <w:sz w:val="18"/>
                <w:szCs w:val="18"/>
                <w:rtl w:val="0"/>
              </w:rPr>
              <w:t xml:space="preserve"> · Marco regulatorio sectorial; Capítulo I (Sec. I.6). Resuelto de forma definitiva.</w:t>
            </w:r>
            <w:r w:rsidDel="00000000" w:rsidR="00000000" w:rsidRPr="00000000">
              <w:rPr>
                <w:rtl w:val="0"/>
              </w:rPr>
            </w:r>
          </w:p>
        </w:tc>
      </w:tr>
    </w:tbl>
    <w:p w:rsidR="00000000" w:rsidDel="00000000" w:rsidP="00000000" w:rsidRDefault="00000000" w:rsidRPr="00000000" w14:paraId="000001B7">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Nota. Elaboración propia sobre el relevamiento del Capítulo I (Sec. I.6), el acta de reunión técnica del 14/09/2026 y los estándares de ingeniería de sistemas.</w:t>
      </w:r>
      <w:r w:rsidDel="00000000" w:rsidR="00000000" w:rsidRPr="00000000">
        <w:rPr>
          <w:rtl w:val="0"/>
        </w:rPr>
      </w:r>
    </w:p>
    <w:p w:rsidR="00000000" w:rsidDel="00000000" w:rsidP="00000000" w:rsidRDefault="00000000" w:rsidRPr="00000000" w14:paraId="000001B8">
      <w:pPr>
        <w:pStyle w:val="Heading1"/>
        <w:rPr/>
      </w:pPr>
      <w:bookmarkStart w:colFirst="0" w:colLast="0" w:name="_wk0hwl8uqi0f" w:id="25"/>
      <w:bookmarkEnd w:id="25"/>
      <w:r w:rsidDel="00000000" w:rsidR="00000000" w:rsidRPr="00000000">
        <w:rPr>
          <w:rtl w:val="0"/>
        </w:rPr>
        <w:t xml:space="preserve">III.5 · Catálogo de Requisitos</w:t>
      </w:r>
    </w:p>
    <w:p w:rsidR="00000000" w:rsidDel="00000000" w:rsidP="00000000" w:rsidRDefault="00000000" w:rsidRPr="00000000" w14:paraId="000001B9">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presente catálogo de requisitos formaliza las capacidades funcionales y las restricciones de ingeniería del sistema CODI (</w:t>
      </w:r>
      <w:r w:rsidDel="00000000" w:rsidR="00000000" w:rsidRPr="00000000">
        <w:rPr>
          <w:rFonts w:ascii="Times New Roman" w:cs="Times New Roman" w:eastAsia="Times New Roman" w:hAnsi="Times New Roman"/>
          <w:b w:val="0"/>
          <w:bCs w:val="0"/>
          <w:i w:val="1"/>
          <w:iCs w:val="1"/>
          <w:color w:val="0f172a"/>
          <w:sz w:val="24"/>
          <w:szCs w:val="24"/>
          <w:rtl w:val="0"/>
        </w:rPr>
        <w:t xml:space="preserve">Cognitive Operations &amp; Decision Intelligence</w:t>
      </w:r>
      <w:r w:rsidDel="00000000" w:rsidR="00000000" w:rsidRPr="00000000">
        <w:rPr>
          <w:rFonts w:ascii="Times New Roman" w:cs="Times New Roman" w:eastAsia="Times New Roman" w:hAnsi="Times New Roman"/>
          <w:b w:val="0"/>
          <w:bCs w:val="0"/>
          <w:i w:val="0"/>
          <w:iCs w:val="0"/>
          <w:color w:val="0f172a"/>
          <w:sz w:val="24"/>
          <w:szCs w:val="24"/>
          <w:rtl w:val="0"/>
        </w:rPr>
        <w:t xml:space="preserve">). Su especificación se fundamenta en la derivación directa del relevamiento empírico realizado en el Centro Tecnológico Aeroespacial de la Universidad Nacional de La Plata (CTA-UNLP), el análisis bibliográfico normalizado de misiones de satélites pequeños (CubeSats) y los estándares sectoriales vigentes (ECSS-E-ST-20C Rev. 1, CubeSat Design Specification REV 14.1, ISO/IEC/IEEE 29148:2018 y la Teoría de Carga Cognitiva de Sweller). El catálogo comprende un total de dieciocho (18) requisitos normativos, clasificados en doce (12) Requisitos Funcionales (RF-00 a RF-12) y seis (6) Requisitos No Funcionales (RNF-01 a RNF-06).</w:t>
      </w:r>
      <w:r w:rsidDel="00000000" w:rsidR="00000000" w:rsidRPr="00000000">
        <w:rPr>
          <w:rtl w:val="0"/>
        </w:rPr>
      </w:r>
    </w:p>
    <w:p w:rsidR="00000000" w:rsidDel="00000000" w:rsidP="00000000" w:rsidRDefault="00000000" w:rsidRPr="00000000" w14:paraId="000001BA">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Bajo la técnica de priorización MoSCoW, el conjunto se distribuye en dieciséis (16) requisitos categorizados como </w:t>
      </w:r>
      <w:r w:rsidDel="00000000" w:rsidR="00000000" w:rsidRPr="00000000">
        <w:rPr>
          <w:rFonts w:ascii="Times New Roman" w:cs="Times New Roman" w:eastAsia="Times New Roman" w:hAnsi="Times New Roman"/>
          <w:b w:val="0"/>
          <w:bCs w:val="0"/>
          <w:i w:val="1"/>
          <w:iCs w:val="1"/>
          <w:color w:val="0f172a"/>
          <w:sz w:val="24"/>
          <w:szCs w:val="24"/>
          <w:rtl w:val="0"/>
        </w:rPr>
        <w:t xml:space="preserve">Must Have</w:t>
      </w:r>
      <w:r w:rsidDel="00000000" w:rsidR="00000000" w:rsidRPr="00000000">
        <w:rPr>
          <w:rFonts w:ascii="Times New Roman" w:cs="Times New Roman" w:eastAsia="Times New Roman" w:hAnsi="Times New Roman"/>
          <w:b w:val="0"/>
          <w:bCs w:val="0"/>
          <w:i w:val="0"/>
          <w:iCs w:val="0"/>
          <w:color w:val="0f172a"/>
          <w:sz w:val="24"/>
          <w:szCs w:val="24"/>
          <w:rtl w:val="0"/>
        </w:rPr>
        <w:t xml:space="preserve"> (88,89%) y dos (2) requisitos como </w:t>
      </w:r>
      <w:r w:rsidDel="00000000" w:rsidR="00000000" w:rsidRPr="00000000">
        <w:rPr>
          <w:rFonts w:ascii="Times New Roman" w:cs="Times New Roman" w:eastAsia="Times New Roman" w:hAnsi="Times New Roman"/>
          <w:b w:val="0"/>
          <w:bCs w:val="0"/>
          <w:i w:val="1"/>
          <w:iCs w:val="1"/>
          <w:color w:val="0f172a"/>
          <w:sz w:val="24"/>
          <w:szCs w:val="24"/>
          <w:rtl w:val="0"/>
        </w:rPr>
        <w:t xml:space="preserve">Should Have</w:t>
      </w:r>
      <w:r w:rsidDel="00000000" w:rsidR="00000000" w:rsidRPr="00000000">
        <w:rPr>
          <w:rFonts w:ascii="Times New Roman" w:cs="Times New Roman" w:eastAsia="Times New Roman" w:hAnsi="Times New Roman"/>
          <w:b w:val="0"/>
          <w:bCs w:val="0"/>
          <w:i w:val="0"/>
          <w:iCs w:val="0"/>
          <w:color w:val="0f172a"/>
          <w:sz w:val="24"/>
          <w:szCs w:val="24"/>
          <w:rtl w:val="0"/>
        </w:rPr>
        <w:t xml:space="preserve"> (11,11%); las capacidades desestimadas (</w:t>
      </w:r>
      <w:r w:rsidDel="00000000" w:rsidR="00000000" w:rsidRPr="00000000">
        <w:rPr>
          <w:rFonts w:ascii="Times New Roman" w:cs="Times New Roman" w:eastAsia="Times New Roman" w:hAnsi="Times New Roman"/>
          <w:b w:val="0"/>
          <w:bCs w:val="0"/>
          <w:i w:val="1"/>
          <w:iCs w:val="1"/>
          <w:color w:val="0f172a"/>
          <w:sz w:val="24"/>
          <w:szCs w:val="24"/>
          <w:rtl w:val="0"/>
        </w:rPr>
        <w:t xml:space="preserve">Won't Have</w:t>
      </w:r>
      <w:r w:rsidDel="00000000" w:rsidR="00000000" w:rsidRPr="00000000">
        <w:rPr>
          <w:rFonts w:ascii="Times New Roman" w:cs="Times New Roman" w:eastAsia="Times New Roman" w:hAnsi="Times New Roman"/>
          <w:b w:val="0"/>
          <w:bCs w:val="0"/>
          <w:i w:val="0"/>
          <w:iCs w:val="0"/>
          <w:color w:val="0f172a"/>
          <w:sz w:val="24"/>
          <w:szCs w:val="24"/>
          <w:rtl w:val="0"/>
        </w:rPr>
        <w:t xml:space="preserve">) se encuentran formalizadas de manera taxativa en la tabla de Límites del Sistema (Sec. III.4). El 100% de los requisitos cuenta con validación técnica acreditada mediante la sesión de relevamiento con la referente de dominio del CTA-UNLP y el diagnóstico de línea de base de los Capítulos I y II. Asimismo, el conjunto de requisitos clasificados como </w:t>
      </w:r>
      <w:r w:rsidDel="00000000" w:rsidR="00000000" w:rsidRPr="00000000">
        <w:rPr>
          <w:rFonts w:ascii="Times New Roman" w:cs="Times New Roman" w:eastAsia="Times New Roman" w:hAnsi="Times New Roman"/>
          <w:b w:val="0"/>
          <w:bCs w:val="0"/>
          <w:i w:val="1"/>
          <w:iCs w:val="1"/>
          <w:color w:val="0f172a"/>
          <w:sz w:val="24"/>
          <w:szCs w:val="24"/>
          <w:rtl w:val="0"/>
        </w:rPr>
        <w:t xml:space="preserve">Must Have</w:t>
      </w:r>
      <w:r w:rsidDel="00000000" w:rsidR="00000000" w:rsidRPr="00000000">
        <w:rPr>
          <w:rFonts w:ascii="Times New Roman" w:cs="Times New Roman" w:eastAsia="Times New Roman" w:hAnsi="Times New Roman"/>
          <w:b w:val="0"/>
          <w:bCs w:val="0"/>
          <w:i w:val="0"/>
          <w:iCs w:val="0"/>
          <w:color w:val="0f172a"/>
          <w:sz w:val="24"/>
          <w:szCs w:val="24"/>
          <w:rtl w:val="0"/>
        </w:rPr>
        <w:t xml:space="preserve"> coincide de forma unívoca y rigurosa con el alcance comprometido para el Producto Mínimo Viable (MVP) delimitado en la Sección III.3, encuadrándose dentro del presupuesto efectivo de 184 horas-persona de demanda técnica.</w:t>
      </w:r>
      <w:r w:rsidDel="00000000" w:rsidR="00000000" w:rsidRPr="00000000">
        <w:rPr>
          <w:rtl w:val="0"/>
        </w:rPr>
      </w:r>
    </w:p>
    <w:p w:rsidR="00000000" w:rsidDel="00000000" w:rsidP="00000000" w:rsidRDefault="00000000" w:rsidRPr="00000000" w14:paraId="000001BB">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A fin de garantizar máxima legibilidad, completitud y auditabilidad en la documentación de ingeniería, cada requisito se formaliza como una </w:t>
      </w:r>
      <w:r w:rsidDel="00000000" w:rsidR="00000000" w:rsidRPr="00000000">
        <w:rPr>
          <w:rFonts w:ascii="Times New Roman" w:cs="Times New Roman" w:eastAsia="Times New Roman" w:hAnsi="Times New Roman"/>
          <w:b w:val="1"/>
          <w:bCs w:val="1"/>
          <w:i w:val="0"/>
          <w:iCs w:val="0"/>
          <w:color w:val="0f172a"/>
          <w:sz w:val="24"/>
          <w:szCs w:val="24"/>
          <w:rtl w:val="0"/>
        </w:rPr>
        <w:t xml:space="preserve">Ficha Técnica Individual de Requisito</w:t>
      </w:r>
      <w:r w:rsidDel="00000000" w:rsidR="00000000" w:rsidRPr="00000000">
        <w:rPr>
          <w:rFonts w:ascii="Times New Roman" w:cs="Times New Roman" w:eastAsia="Times New Roman" w:hAnsi="Times New Roman"/>
          <w:b w:val="0"/>
          <w:bCs w:val="0"/>
          <w:i w:val="0"/>
          <w:iCs w:val="0"/>
          <w:color w:val="0f172a"/>
          <w:sz w:val="24"/>
          <w:szCs w:val="24"/>
          <w:rtl w:val="0"/>
        </w:rPr>
        <w:t xml:space="preserve">, articulando su identificador, enunciado formal, subcategoría, prioridad MoSCoW, criterio de aceptación observable y trazabilidad empírica de respaldo.</w:t>
      </w:r>
      <w:r w:rsidDel="00000000" w:rsidR="00000000" w:rsidRPr="00000000">
        <w:rPr>
          <w:rtl w:val="0"/>
        </w:rPr>
      </w:r>
    </w:p>
    <w:p w:rsidR="00000000" w:rsidDel="00000000" w:rsidP="00000000" w:rsidRDefault="00000000" w:rsidRPr="00000000" w14:paraId="000001BC">
      <w:pPr>
        <w:pStyle w:val="Heading2"/>
        <w:rPr/>
      </w:pPr>
      <w:bookmarkStart w:colFirst="0" w:colLast="0" w:name="_uv3f2unk71dv" w:id="26"/>
      <w:bookmarkEnd w:id="26"/>
      <w:r w:rsidDel="00000000" w:rsidR="00000000" w:rsidRPr="00000000">
        <w:rPr>
          <w:rtl w:val="0"/>
        </w:rPr>
        <w:t xml:space="preserve">Requisitos Funcionales del Sistema de Información</w:t>
      </w:r>
    </w:p>
    <w:p w:rsidR="00000000" w:rsidDel="00000000" w:rsidP="00000000" w:rsidRDefault="00000000" w:rsidRPr="00000000" w14:paraId="000001BD">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Los Requisitos Funcionales se estructuran según los cuatro módulos operativos de CODI y se vinculan de forma directa con las Reglas de Negocio del dominio (RN-01 a RN-07):</w:t>
      </w:r>
      <w:r w:rsidDel="00000000" w:rsidR="00000000" w:rsidRPr="00000000">
        <w:rPr>
          <w:rtl w:val="0"/>
        </w:rPr>
      </w:r>
    </w:p>
    <w:p w:rsidR="00000000" w:rsidDel="00000000" w:rsidP="00000000" w:rsidRDefault="00000000" w:rsidRPr="00000000" w14:paraId="000001BE">
      <w:pPr>
        <w:pStyle w:val="Heading3"/>
        <w:rPr/>
      </w:pPr>
      <w:bookmarkStart w:colFirst="0" w:colLast="0" w:name="_sr7rkx3wxnb6" w:id="27"/>
      <w:bookmarkEnd w:id="27"/>
      <w:r w:rsidDel="00000000" w:rsidR="00000000" w:rsidRPr="00000000">
        <w:rPr>
          <w:rtl w:val="0"/>
        </w:rPr>
        <w:t xml:space="preserve">Módulo 1: Partida, Configuración de Misión y Repositorio de Fuentes</w:t>
      </w:r>
    </w:p>
    <w:p w:rsidR="00000000" w:rsidDel="00000000" w:rsidP="00000000" w:rsidRDefault="00000000" w:rsidRPr="00000000" w14:paraId="000001BF">
      <w:pPr>
        <w:pStyle w:val="Heading3"/>
        <w:rPr/>
      </w:pPr>
      <w:bookmarkStart w:colFirst="0" w:colLast="0" w:name="_kx3kebo3glsk" w:id="28"/>
      <w:bookmarkEnd w:id="28"/>
      <w:r w:rsidDel="00000000" w:rsidR="00000000" w:rsidRPr="00000000">
        <w:rPr>
          <w:rtl w:val="0"/>
        </w:rPr>
        <w:t xml:space="preserve">Ficha Técnica · RF-00: Inicialización del Cuaderno de Misión</w:t>
      </w:r>
    </w:p>
    <w:tbl>
      <w:tblPr>
        <w:tblStyle w:val="Table14"/>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1C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1C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del Requisito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C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Identificador</w:t>
            </w:r>
            <w:r w:rsidDel="00000000" w:rsidR="00000000" w:rsidRPr="00000000">
              <w:rPr>
                <w:rtl w:val="0"/>
              </w:rPr>
            </w:r>
          </w:p>
        </w:tc>
        <w:tc>
          <w:tcPr/>
          <w:p w:rsidR="00000000" w:rsidDel="00000000" w:rsidP="00000000" w:rsidRDefault="00000000" w:rsidRPr="00000000" w14:paraId="000001C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RF-00</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C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Enunciado</w:t>
            </w:r>
            <w:r w:rsidDel="00000000" w:rsidR="00000000" w:rsidRPr="00000000">
              <w:rPr>
                <w:rtl w:val="0"/>
              </w:rPr>
            </w:r>
          </w:p>
        </w:tc>
        <w:tc>
          <w:tcPr/>
          <w:p w:rsidR="00000000" w:rsidDel="00000000" w:rsidP="00000000" w:rsidRDefault="00000000" w:rsidRPr="00000000" w14:paraId="000001C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sistema inicializa un nuevo Cuaderno de Misión Espacial permitiendo configurar el nombre de la misión, el factor de forma CubeSat (1U, 3U o 6U), la altitud orbital LEO circular y la inclinación de referencia.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C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Tipo y Subcategoría</w:t>
            </w:r>
            <w:r w:rsidDel="00000000" w:rsidR="00000000" w:rsidRPr="00000000">
              <w:rPr>
                <w:rtl w:val="0"/>
              </w:rPr>
            </w:r>
          </w:p>
        </w:tc>
        <w:tc>
          <w:tcPr/>
          <w:p w:rsidR="00000000" w:rsidDel="00000000" w:rsidP="00000000" w:rsidRDefault="00000000" w:rsidRPr="00000000" w14:paraId="000001C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Funcional · Configuración inicial</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C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Prioridad MoSCoW</w:t>
            </w:r>
            <w:r w:rsidDel="00000000" w:rsidR="00000000" w:rsidRPr="00000000">
              <w:rPr>
                <w:rtl w:val="0"/>
              </w:rPr>
            </w:r>
          </w:p>
        </w:tc>
        <w:tc>
          <w:tcPr/>
          <w:p w:rsidR="00000000" w:rsidDel="00000000" w:rsidP="00000000" w:rsidRDefault="00000000" w:rsidRPr="00000000" w14:paraId="000001C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Must Have</w:t>
            </w:r>
            <w:r w:rsidDel="00000000" w:rsidR="00000000" w:rsidRPr="00000000">
              <w:rPr>
                <w:rFonts w:ascii="Times New Roman" w:cs="Times New Roman" w:eastAsia="Times New Roman" w:hAnsi="Times New Roman"/>
                <w:b w:val="0"/>
                <w:bCs w:val="0"/>
                <w:i w:val="0"/>
                <w:iCs w:val="0"/>
                <w:color w:val="0f172a"/>
                <w:sz w:val="18"/>
                <w:szCs w:val="18"/>
                <w:rtl w:val="0"/>
              </w:rPr>
              <w:t xml:space="preserve"> · Define el punto de partida y contexto físico del satélite para alimentar todas las reglas analíticas del arnés.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C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Criterio de Aceptación</w:t>
            </w:r>
            <w:r w:rsidDel="00000000" w:rsidR="00000000" w:rsidRPr="00000000">
              <w:rPr>
                <w:rtl w:val="0"/>
              </w:rPr>
            </w:r>
          </w:p>
        </w:tc>
        <w:tc>
          <w:tcPr/>
          <w:p w:rsidR="00000000" w:rsidDel="00000000" w:rsidP="00000000" w:rsidRDefault="00000000" w:rsidRPr="00000000" w14:paraId="000001C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Dado un operador autenticado con rol </w:t>
            </w:r>
            <w:r w:rsidDel="00000000" w:rsidR="00000000" w:rsidRPr="00000000">
              <w:rPr>
                <w:rFonts w:ascii="Consolas" w:cs="Consolas" w:eastAsia="Consolas" w:hAnsi="Consolas"/>
                <w:b w:val="0"/>
                <w:bCs w:val="0"/>
                <w:i w:val="0"/>
                <w:iCs w:val="0"/>
                <w:color w:val="334155"/>
                <w:sz w:val="15"/>
                <w:szCs w:val="15"/>
                <w:rtl w:val="0"/>
              </w:rPr>
              <w:t xml:space="preserve">PerfilIngeniero</w:t>
            </w:r>
            <w:r w:rsidDel="00000000" w:rsidR="00000000" w:rsidRPr="00000000">
              <w:rPr>
                <w:rFonts w:ascii="Times New Roman" w:cs="Times New Roman" w:eastAsia="Times New Roman" w:hAnsi="Times New Roman"/>
                <w:b w:val="0"/>
                <w:bCs w:val="0"/>
                <w:i w:val="0"/>
                <w:iCs w:val="0"/>
                <w:color w:val="0f172a"/>
                <w:sz w:val="18"/>
                <w:szCs w:val="18"/>
                <w:rtl w:val="0"/>
              </w:rPr>
              <w:t xml:space="preserve">, cuando ingresa nombre «LUMEN-1», factor «3U», altitud «500 km» e inclinación «97,5°», el sistema crea el proyecto en menos de 1,0 segundo, inicializa el árbol de subsistemas y fija los parámetros base en el espacio de trabajo.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C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Trazabilidad</w:t>
            </w:r>
            <w:r w:rsidDel="00000000" w:rsidR="00000000" w:rsidRPr="00000000">
              <w:rPr>
                <w:rtl w:val="0"/>
              </w:rPr>
            </w:r>
          </w:p>
        </w:tc>
        <w:tc>
          <w:tcPr/>
          <w:p w:rsidR="00000000" w:rsidDel="00000000" w:rsidP="00000000" w:rsidRDefault="00000000" w:rsidRPr="00000000" w14:paraId="000001C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Capítulo I (Sec. I.6); Acta CTA-UNLP (14/09/2026, Min 01:32:21)</w:t>
            </w:r>
            <w:r w:rsidDel="00000000" w:rsidR="00000000" w:rsidRPr="00000000">
              <w:rPr>
                <w:rtl w:val="0"/>
              </w:rPr>
            </w:r>
          </w:p>
        </w:tc>
      </w:tr>
    </w:tbl>
    <w:p w:rsidR="00000000" w:rsidDel="00000000" w:rsidP="00000000" w:rsidRDefault="00000000" w:rsidRPr="00000000" w14:paraId="000001CE">
      <w:pPr>
        <w:pStyle w:val="Heading3"/>
        <w:rPr/>
      </w:pPr>
      <w:bookmarkStart w:colFirst="0" w:colLast="0" w:name="_prbs0lfa0twb" w:id="29"/>
      <w:bookmarkEnd w:id="29"/>
      <w:r w:rsidDel="00000000" w:rsidR="00000000" w:rsidRPr="00000000">
        <w:rPr>
          <w:rtl w:val="0"/>
        </w:rPr>
        <w:t xml:space="preserve">Ficha Técnica · RF-01: Ingesta Estructurada de Documentos de Interfaz (ICD)</w:t>
      </w:r>
    </w:p>
    <w:tbl>
      <w:tblPr>
        <w:tblStyle w:val="Table15"/>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1C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1D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del Requisito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D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Identificador</w:t>
            </w:r>
            <w:r w:rsidDel="00000000" w:rsidR="00000000" w:rsidRPr="00000000">
              <w:rPr>
                <w:rtl w:val="0"/>
              </w:rPr>
            </w:r>
          </w:p>
        </w:tc>
        <w:tc>
          <w:tcPr/>
          <w:p w:rsidR="00000000" w:rsidDel="00000000" w:rsidP="00000000" w:rsidRDefault="00000000" w:rsidRPr="00000000" w14:paraId="000001D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RF-01</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D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Enunciado</w:t>
            </w:r>
            <w:r w:rsidDel="00000000" w:rsidR="00000000" w:rsidRPr="00000000">
              <w:rPr>
                <w:rtl w:val="0"/>
              </w:rPr>
            </w:r>
          </w:p>
        </w:tc>
        <w:tc>
          <w:tcPr/>
          <w:p w:rsidR="00000000" w:rsidDel="00000000" w:rsidP="00000000" w:rsidRDefault="00000000" w:rsidRPr="00000000" w14:paraId="000001D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sistema procesa, parsea e incorpora al Repositorio de Conocimiento de la misión documentos de control de interfaz (ICD) estructurados y hojas de datos COTS en formatos JSON, CSV o YAML.</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D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Tipo y Subcategoría</w:t>
            </w:r>
            <w:r w:rsidDel="00000000" w:rsidR="00000000" w:rsidRPr="00000000">
              <w:rPr>
                <w:rtl w:val="0"/>
              </w:rPr>
            </w:r>
          </w:p>
        </w:tc>
        <w:tc>
          <w:tcPr/>
          <w:p w:rsidR="00000000" w:rsidDel="00000000" w:rsidP="00000000" w:rsidRDefault="00000000" w:rsidRPr="00000000" w14:paraId="000001D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Funcional · Ingesta de fuentes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D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Prioridad MoSCoW</w:t>
            </w:r>
            <w:r w:rsidDel="00000000" w:rsidR="00000000" w:rsidRPr="00000000">
              <w:rPr>
                <w:rtl w:val="0"/>
              </w:rPr>
            </w:r>
          </w:p>
        </w:tc>
        <w:tc>
          <w:tcPr/>
          <w:p w:rsidR="00000000" w:rsidDel="00000000" w:rsidP="00000000" w:rsidRDefault="00000000" w:rsidRPr="00000000" w14:paraId="000001D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Must Have</w:t>
            </w:r>
            <w:r w:rsidDel="00000000" w:rsidR="00000000" w:rsidRPr="00000000">
              <w:rPr>
                <w:rFonts w:ascii="Times New Roman" w:cs="Times New Roman" w:eastAsia="Times New Roman" w:hAnsi="Times New Roman"/>
                <w:b w:val="0"/>
                <w:bCs w:val="0"/>
                <w:i w:val="0"/>
                <w:iCs w:val="0"/>
                <w:color w:val="0f172a"/>
                <w:sz w:val="18"/>
                <w:szCs w:val="18"/>
                <w:rtl w:val="0"/>
              </w:rPr>
              <w:t xml:space="preserve"> · Indispensable para sustituir la transcripción manual de parámetros de 50 a 90 páginas de documentos de proveedores.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D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Criterio de Aceptación</w:t>
            </w:r>
            <w:r w:rsidDel="00000000" w:rsidR="00000000" w:rsidRPr="00000000">
              <w:rPr>
                <w:rtl w:val="0"/>
              </w:rPr>
            </w:r>
          </w:p>
        </w:tc>
        <w:tc>
          <w:tcPr/>
          <w:p w:rsidR="00000000" w:rsidDel="00000000" w:rsidP="00000000" w:rsidRDefault="00000000" w:rsidRPr="00000000" w14:paraId="000001DA">
            <w:pPr>
              <w:spacing w:after="20" w:before="20" w:line="252.00000000000003" w:lineRule="auto"/>
              <w:rPr/>
            </w:pPr>
            <w:r w:rsidDel="00000000" w:rsidR="00000000" w:rsidRPr="00000000">
              <w:rPr>
                <w:rFonts w:ascii="Gungsuh" w:cs="Gungsuh" w:eastAsia="Gungsuh" w:hAnsi="Gungsuh"/>
                <w:b w:val="0"/>
                <w:bCs w:val="0"/>
                <w:i w:val="0"/>
                <w:iCs w:val="0"/>
                <w:color w:val="0f172a"/>
                <w:sz w:val="18"/>
                <w:szCs w:val="18"/>
                <w:rtl w:val="0"/>
              </w:rPr>
              <w:t xml:space="preserve">Dado un archivo ICD en formato JSON con 20 parámetros de componentes (tensión, corriente, masa, volumen), cuando el usuario ejecuta la importación, el sistema extrae e incorpora a la base de datos el 100% de los campos válidos en un tiempo ≤ 2,0 segundos, emitiendo un reporte de parseo con cero pérdidas de atributos obligatorios.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D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Trazabilidad</w:t>
            </w:r>
            <w:r w:rsidDel="00000000" w:rsidR="00000000" w:rsidRPr="00000000">
              <w:rPr>
                <w:rtl w:val="0"/>
              </w:rPr>
            </w:r>
          </w:p>
        </w:tc>
        <w:tc>
          <w:tcPr/>
          <w:p w:rsidR="00000000" w:rsidDel="00000000" w:rsidP="00000000" w:rsidRDefault="00000000" w:rsidRPr="00000000" w14:paraId="000001D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Capítulo I (Sec. I.3.1); Acta CTA-UNLP (14/09/2026, Min 00:27:32)</w:t>
            </w:r>
            <w:r w:rsidDel="00000000" w:rsidR="00000000" w:rsidRPr="00000000">
              <w:rPr>
                <w:rtl w:val="0"/>
              </w:rPr>
            </w:r>
          </w:p>
        </w:tc>
      </w:tr>
    </w:tbl>
    <w:p w:rsidR="00000000" w:rsidDel="00000000" w:rsidP="00000000" w:rsidRDefault="00000000" w:rsidRPr="00000000" w14:paraId="000001DD">
      <w:pPr>
        <w:pStyle w:val="Heading3"/>
        <w:rPr/>
      </w:pPr>
      <w:bookmarkStart w:colFirst="0" w:colLast="0" w:name="_iw8iccwzvwl1" w:id="30"/>
      <w:bookmarkEnd w:id="30"/>
      <w:r w:rsidDel="00000000" w:rsidR="00000000" w:rsidRPr="00000000">
        <w:rPr>
          <w:rtl w:val="0"/>
        </w:rPr>
        <w:t xml:space="preserve">Ficha Técnica · RF-11: Grafo Interactivo de Relaciones del Hilo Digital</w:t>
      </w:r>
    </w:p>
    <w:tbl>
      <w:tblPr>
        <w:tblStyle w:val="Table16"/>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1D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1D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del Requisito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E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Identificador</w:t>
            </w:r>
            <w:r w:rsidDel="00000000" w:rsidR="00000000" w:rsidRPr="00000000">
              <w:rPr>
                <w:rtl w:val="0"/>
              </w:rPr>
            </w:r>
          </w:p>
        </w:tc>
        <w:tc>
          <w:tcPr/>
          <w:p w:rsidR="00000000" w:rsidDel="00000000" w:rsidP="00000000" w:rsidRDefault="00000000" w:rsidRPr="00000000" w14:paraId="000001E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RF-11</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E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Enunciado</w:t>
            </w:r>
            <w:r w:rsidDel="00000000" w:rsidR="00000000" w:rsidRPr="00000000">
              <w:rPr>
                <w:rtl w:val="0"/>
              </w:rPr>
            </w:r>
          </w:p>
        </w:tc>
        <w:tc>
          <w:tcPr/>
          <w:p w:rsidR="00000000" w:rsidDel="00000000" w:rsidP="00000000" w:rsidRDefault="00000000" w:rsidRPr="00000000" w14:paraId="000001E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sistema genera y visualiza de forma interactiva el Grafo de Relaciones entre fuentes documentales, normas, requisitos, subsistemas y parámetros de diseño de la misión.</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E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Tipo y Subcategoría</w:t>
            </w:r>
            <w:r w:rsidDel="00000000" w:rsidR="00000000" w:rsidRPr="00000000">
              <w:rPr>
                <w:rtl w:val="0"/>
              </w:rPr>
            </w:r>
          </w:p>
        </w:tc>
        <w:tc>
          <w:tcPr/>
          <w:p w:rsidR="00000000" w:rsidDel="00000000" w:rsidP="00000000" w:rsidRDefault="00000000" w:rsidRPr="00000000" w14:paraId="000001E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Funcional · Visualización relacional</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E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Prioridad MoSCoW</w:t>
            </w:r>
            <w:r w:rsidDel="00000000" w:rsidR="00000000" w:rsidRPr="00000000">
              <w:rPr>
                <w:rtl w:val="0"/>
              </w:rPr>
            </w:r>
          </w:p>
        </w:tc>
        <w:tc>
          <w:tcPr/>
          <w:p w:rsidR="00000000" w:rsidDel="00000000" w:rsidP="00000000" w:rsidRDefault="00000000" w:rsidRPr="00000000" w14:paraId="000001E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Should Have</w:t>
            </w:r>
            <w:r w:rsidDel="00000000" w:rsidR="00000000" w:rsidRPr="00000000">
              <w:rPr>
                <w:rFonts w:ascii="Times New Roman" w:cs="Times New Roman" w:eastAsia="Times New Roman" w:hAnsi="Times New Roman"/>
                <w:b w:val="0"/>
                <w:bCs w:val="0"/>
                <w:i w:val="0"/>
                <w:iCs w:val="0"/>
                <w:color w:val="0f172a"/>
                <w:sz w:val="18"/>
                <w:szCs w:val="18"/>
                <w:rtl w:val="0"/>
              </w:rPr>
              <w:t xml:space="preserve"> · Facilita la comprensión global del hilo digital y la navegación contextual de dependencias entre subsistemas.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E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Criterio de Aceptación</w:t>
            </w:r>
            <w:r w:rsidDel="00000000" w:rsidR="00000000" w:rsidRPr="00000000">
              <w:rPr>
                <w:rtl w:val="0"/>
              </w:rPr>
            </w:r>
          </w:p>
        </w:tc>
        <w:tc>
          <w:tcPr/>
          <w:p w:rsidR="00000000" w:rsidDel="00000000" w:rsidP="00000000" w:rsidRDefault="00000000" w:rsidRPr="00000000" w14:paraId="000001E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Dado un proyecto con al menos 3 documentos cargados y 15 parámetros interrelacionados, cuando el usuario accede a la pestaña «Grafo de Relaciones», el sistema renderiza en menos de 2,0 segundos una red de nodos y enlaces diferenciados por tipo, permitiendo filtrar por subsistema e inspeccionar dependencias.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E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Trazabilidad</w:t>
            </w:r>
            <w:r w:rsidDel="00000000" w:rsidR="00000000" w:rsidRPr="00000000">
              <w:rPr>
                <w:rtl w:val="0"/>
              </w:rPr>
            </w:r>
          </w:p>
        </w:tc>
        <w:tc>
          <w:tcPr/>
          <w:p w:rsidR="00000000" w:rsidDel="00000000" w:rsidP="00000000" w:rsidRDefault="00000000" w:rsidRPr="00000000" w14:paraId="000001E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Capítulo I (Sec. I.6); Wireframe v0.1 (</w:t>
            </w:r>
            <w:r w:rsidDel="00000000" w:rsidR="00000000" w:rsidRPr="00000000">
              <w:rPr>
                <w:rFonts w:ascii="Consolas" w:cs="Consolas" w:eastAsia="Consolas" w:hAnsi="Consolas"/>
                <w:b w:val="0"/>
                <w:bCs w:val="0"/>
                <w:i w:val="0"/>
                <w:iCs w:val="0"/>
                <w:color w:val="334155"/>
                <w:sz w:val="15"/>
                <w:szCs w:val="15"/>
                <w:rtl w:val="0"/>
              </w:rPr>
              <w:t xml:space="preserve">toggleGraphModal</w:t>
            </w:r>
            <w:r w:rsidDel="00000000" w:rsidR="00000000" w:rsidRPr="00000000">
              <w:rPr>
                <w:rFonts w:ascii="Times New Roman" w:cs="Times New Roman" w:eastAsia="Times New Roman" w:hAnsi="Times New Roman"/>
                <w:b w:val="0"/>
                <w:bCs w:val="0"/>
                <w:i w:val="0"/>
                <w:iCs w:val="0"/>
                <w:color w:val="0f172a"/>
                <w:sz w:val="18"/>
                <w:szCs w:val="18"/>
                <w:rtl w:val="0"/>
              </w:rPr>
              <w:t xml:space="preserve">); Acta CTA-UNLP (Min 01:34:59)</w:t>
            </w:r>
            <w:r w:rsidDel="00000000" w:rsidR="00000000" w:rsidRPr="00000000">
              <w:rPr>
                <w:rtl w:val="0"/>
              </w:rPr>
            </w:r>
          </w:p>
        </w:tc>
      </w:tr>
    </w:tbl>
    <w:p w:rsidR="00000000" w:rsidDel="00000000" w:rsidP="00000000" w:rsidRDefault="00000000" w:rsidRPr="00000000" w14:paraId="000001EC">
      <w:pPr>
        <w:pStyle w:val="Heading3"/>
        <w:rPr/>
      </w:pPr>
      <w:bookmarkStart w:colFirst="0" w:colLast="0" w:name="_xejif0e4w76e" w:id="31"/>
      <w:bookmarkEnd w:id="31"/>
      <w:r w:rsidDel="00000000" w:rsidR="00000000" w:rsidRPr="00000000">
        <w:rPr>
          <w:rtl w:val="0"/>
        </w:rPr>
        <w:t xml:space="preserve">Módulo 2: Motor Determinístico EPS y Geometría Orbital</w:t>
      </w:r>
    </w:p>
    <w:p w:rsidR="00000000" w:rsidDel="00000000" w:rsidP="00000000" w:rsidRDefault="00000000" w:rsidRPr="00000000" w14:paraId="000001ED">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Técnica · RF-02: Derivación Analítica de Geometría Orbital LEO</w:t>
      </w:r>
      <w:r w:rsidDel="00000000" w:rsidR="00000000" w:rsidRPr="00000000">
        <w:rPr>
          <w:rtl w:val="0"/>
        </w:rPr>
      </w:r>
    </w:p>
    <w:tbl>
      <w:tblPr>
        <w:tblStyle w:val="Table17"/>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1E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1E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del Requisito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F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Identificador</w:t>
            </w:r>
            <w:r w:rsidDel="00000000" w:rsidR="00000000" w:rsidRPr="00000000">
              <w:rPr>
                <w:rtl w:val="0"/>
              </w:rPr>
            </w:r>
          </w:p>
        </w:tc>
        <w:tc>
          <w:tcPr/>
          <w:p w:rsidR="00000000" w:rsidDel="00000000" w:rsidP="00000000" w:rsidRDefault="00000000" w:rsidRPr="00000000" w14:paraId="000001F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RF-02</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F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Enunciado</w:t>
            </w:r>
            <w:r w:rsidDel="00000000" w:rsidR="00000000" w:rsidRPr="00000000">
              <w:rPr>
                <w:rtl w:val="0"/>
              </w:rPr>
            </w:r>
          </w:p>
        </w:tc>
        <w:tc>
          <w:tcPr/>
          <w:p w:rsidR="00000000" w:rsidDel="00000000" w:rsidP="00000000" w:rsidRDefault="00000000" w:rsidRPr="00000000" w14:paraId="000001F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sistema calcula analíticamente el período orbital, la fracción de eclipse y la duración de la sombra terrestre para órbitas circulares bajas (LEO) en función de la altitud y el ángulo beta solar.</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F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Tipo y Subcategoría</w:t>
            </w:r>
            <w:r w:rsidDel="00000000" w:rsidR="00000000" w:rsidRPr="00000000">
              <w:rPr>
                <w:rtl w:val="0"/>
              </w:rPr>
            </w:r>
          </w:p>
        </w:tc>
        <w:tc>
          <w:tcPr/>
          <w:p w:rsidR="00000000" w:rsidDel="00000000" w:rsidP="00000000" w:rsidRDefault="00000000" w:rsidRPr="00000000" w14:paraId="000001F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Funcional · Geometría orbital analítica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F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Prioridad MoSCoW</w:t>
            </w:r>
            <w:r w:rsidDel="00000000" w:rsidR="00000000" w:rsidRPr="00000000">
              <w:rPr>
                <w:rtl w:val="0"/>
              </w:rPr>
            </w:r>
          </w:p>
        </w:tc>
        <w:tc>
          <w:tcPr/>
          <w:p w:rsidR="00000000" w:rsidDel="00000000" w:rsidP="00000000" w:rsidRDefault="00000000" w:rsidRPr="00000000" w14:paraId="000001F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Must Have</w:t>
            </w:r>
            <w:r w:rsidDel="00000000" w:rsidR="00000000" w:rsidRPr="00000000">
              <w:rPr>
                <w:rFonts w:ascii="Times New Roman" w:cs="Times New Roman" w:eastAsia="Times New Roman" w:hAnsi="Times New Roman"/>
                <w:b w:val="0"/>
                <w:bCs w:val="0"/>
                <w:i w:val="0"/>
                <w:iCs w:val="0"/>
                <w:color w:val="0f172a"/>
                <w:sz w:val="18"/>
                <w:szCs w:val="18"/>
                <w:rtl w:val="0"/>
              </w:rPr>
              <w:t xml:space="preserve"> · Parámetro físico primario indispensable para alimentar el balance de potencia de la batería (Regla RN-03).</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F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Criterio de Aceptación</w:t>
            </w:r>
            <w:r w:rsidDel="00000000" w:rsidR="00000000" w:rsidRPr="00000000">
              <w:rPr>
                <w:rtl w:val="0"/>
              </w:rPr>
            </w:r>
          </w:p>
        </w:tc>
        <w:tc>
          <w:tcPr/>
          <w:p w:rsidR="00000000" w:rsidDel="00000000" w:rsidP="00000000" w:rsidRDefault="00000000" w:rsidRPr="00000000" w14:paraId="000001F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Dada una altitud orbital circular h = 500 km y un ángulo beta β = 0°, cuando se ejecuta el cálculo orbital, el sistema deriva un período T_orb = 94,6 ± 0,2 min y una fracción de eclipse f_ecl = 0,375 ± 0,005 (T_ecl = 35,5 ± 0,5 min), presentando los valores intermedios y las fórmulas keplerianas empleadas.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F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Trazabilidad</w:t>
            </w:r>
            <w:r w:rsidDel="00000000" w:rsidR="00000000" w:rsidRPr="00000000">
              <w:rPr>
                <w:rtl w:val="0"/>
              </w:rPr>
            </w:r>
          </w:p>
        </w:tc>
        <w:tc>
          <w:tcPr/>
          <w:p w:rsidR="00000000" w:rsidDel="00000000" w:rsidP="00000000" w:rsidRDefault="00000000" w:rsidRPr="00000000" w14:paraId="000001F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Regla RN-03; New SMAD (Wertz et al., 2011); El Hachimi et al. (2025)</w:t>
            </w:r>
            <w:r w:rsidDel="00000000" w:rsidR="00000000" w:rsidRPr="00000000">
              <w:rPr>
                <w:rtl w:val="0"/>
              </w:rPr>
            </w:r>
          </w:p>
        </w:tc>
      </w:tr>
    </w:tbl>
    <w:p w:rsidR="00000000" w:rsidDel="00000000" w:rsidP="00000000" w:rsidRDefault="00000000" w:rsidRPr="00000000" w14:paraId="000001FC">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Técnica · RF-03: Verificación de Profundidad de Descarga de Baterías (DoD)</w:t>
      </w:r>
      <w:r w:rsidDel="00000000" w:rsidR="00000000" w:rsidRPr="00000000">
        <w:rPr>
          <w:rtl w:val="0"/>
        </w:rPr>
      </w:r>
    </w:p>
    <w:tbl>
      <w:tblPr>
        <w:tblStyle w:val="Table18"/>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1F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1F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del Requisito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1F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Identificador</w:t>
            </w:r>
            <w:r w:rsidDel="00000000" w:rsidR="00000000" w:rsidRPr="00000000">
              <w:rPr>
                <w:rtl w:val="0"/>
              </w:rPr>
            </w:r>
          </w:p>
        </w:tc>
        <w:tc>
          <w:tcPr/>
          <w:p w:rsidR="00000000" w:rsidDel="00000000" w:rsidP="00000000" w:rsidRDefault="00000000" w:rsidRPr="00000000" w14:paraId="0000020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RF-03</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0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Enunciado</w:t>
            </w:r>
            <w:r w:rsidDel="00000000" w:rsidR="00000000" w:rsidRPr="00000000">
              <w:rPr>
                <w:rtl w:val="0"/>
              </w:rPr>
            </w:r>
          </w:p>
        </w:tc>
        <w:tc>
          <w:tcPr/>
          <w:p w:rsidR="00000000" w:rsidDel="00000000" w:rsidP="00000000" w:rsidRDefault="00000000" w:rsidRPr="00000000" w14:paraId="0000020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sistema calcula la profundidad de descarga cíclica de la batería (DoD) en período de eclipse, despliega la curva temporal de descarga y restringe que no supere el umbral máximo del 30% en modos operativos nominales.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0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Tipo y Subcategoría</w:t>
            </w:r>
            <w:r w:rsidDel="00000000" w:rsidR="00000000" w:rsidRPr="00000000">
              <w:rPr>
                <w:rtl w:val="0"/>
              </w:rPr>
            </w:r>
          </w:p>
        </w:tc>
        <w:tc>
          <w:tcPr/>
          <w:p w:rsidR="00000000" w:rsidDel="00000000" w:rsidP="00000000" w:rsidRDefault="00000000" w:rsidRPr="00000000" w14:paraId="0000020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Funcional · Balance energético y visualización</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0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Prioridad MoSCoW</w:t>
            </w:r>
            <w:r w:rsidDel="00000000" w:rsidR="00000000" w:rsidRPr="00000000">
              <w:rPr>
                <w:rtl w:val="0"/>
              </w:rPr>
            </w:r>
          </w:p>
        </w:tc>
        <w:tc>
          <w:tcPr/>
          <w:p w:rsidR="00000000" w:rsidDel="00000000" w:rsidP="00000000" w:rsidRDefault="00000000" w:rsidRPr="00000000" w14:paraId="0000020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Must Have</w:t>
            </w:r>
            <w:r w:rsidDel="00000000" w:rsidR="00000000" w:rsidRPr="00000000">
              <w:rPr>
                <w:rFonts w:ascii="Times New Roman" w:cs="Times New Roman" w:eastAsia="Times New Roman" w:hAnsi="Times New Roman"/>
                <w:b w:val="0"/>
                <w:bCs w:val="0"/>
                <w:i w:val="0"/>
                <w:iCs w:val="0"/>
                <w:color w:val="0f172a"/>
                <w:sz w:val="18"/>
                <w:szCs w:val="18"/>
                <w:rtl w:val="0"/>
              </w:rPr>
              <w:t xml:space="preserve"> · Mitiga el colapso prematuro de batería en LEO, causante del 38,8% de pérdidas tempranas en CubeSats (Regla RN-01).</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0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Criterio de Aceptación</w:t>
            </w:r>
            <w:r w:rsidDel="00000000" w:rsidR="00000000" w:rsidRPr="00000000">
              <w:rPr>
                <w:rtl w:val="0"/>
              </w:rPr>
            </w:r>
          </w:p>
        </w:tc>
        <w:tc>
          <w:tcPr/>
          <w:p w:rsidR="00000000" w:rsidDel="00000000" w:rsidP="00000000" w:rsidRDefault="00000000" w:rsidRPr="00000000" w14:paraId="0000020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Dada una batería de capacidad nominal C_bat = 40 Wh, una potencia de consumo en eclipse P_ecl = 15 W y un tiempo de sombra T_ecl = 0,59 h (energía demandada 8,85 Wh), cuando el sistema evalúa la condición, calcula un DoD = 22,13%, renderiza la curva gráfica con el punto de descarga y emite estado «Conforme»; si la potencia asciende a 25 W (DoD = 36,88%), el sistema marca estado «No Conforme», bloquea la consolidación y alerta la violación de RN-01.</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0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Trazabilidad</w:t>
            </w:r>
            <w:r w:rsidDel="00000000" w:rsidR="00000000" w:rsidRPr="00000000">
              <w:rPr>
                <w:rtl w:val="0"/>
              </w:rPr>
            </w:r>
          </w:p>
        </w:tc>
        <w:tc>
          <w:tcPr/>
          <w:p w:rsidR="00000000" w:rsidDel="00000000" w:rsidP="00000000" w:rsidRDefault="00000000" w:rsidRPr="00000000" w14:paraId="0000020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Regla RN-01; ECSS-E-ST-20C Rev. 1 (Sec. 5.3.4); Swartwout (2024); Wireframe v0.1</w:t>
            </w:r>
            <w:r w:rsidDel="00000000" w:rsidR="00000000" w:rsidRPr="00000000">
              <w:rPr>
                <w:rtl w:val="0"/>
              </w:rPr>
            </w:r>
          </w:p>
        </w:tc>
      </w:tr>
    </w:tbl>
    <w:p w:rsidR="00000000" w:rsidDel="00000000" w:rsidP="00000000" w:rsidRDefault="00000000" w:rsidRPr="00000000" w14:paraId="0000020B">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Técnica · RF-04: Balance de Generación Solar y Margen a Fin de Vida (EOL)</w:t>
      </w:r>
      <w:r w:rsidDel="00000000" w:rsidR="00000000" w:rsidRPr="00000000">
        <w:rPr>
          <w:rtl w:val="0"/>
        </w:rPr>
      </w:r>
    </w:p>
    <w:tbl>
      <w:tblPr>
        <w:tblStyle w:val="Table19"/>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20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20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del Requisito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0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Identificador</w:t>
            </w:r>
            <w:r w:rsidDel="00000000" w:rsidR="00000000" w:rsidRPr="00000000">
              <w:rPr>
                <w:rtl w:val="0"/>
              </w:rPr>
            </w:r>
          </w:p>
        </w:tc>
        <w:tc>
          <w:tcPr/>
          <w:p w:rsidR="00000000" w:rsidDel="00000000" w:rsidP="00000000" w:rsidRDefault="00000000" w:rsidRPr="00000000" w14:paraId="0000020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RF-04</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1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Enunciado</w:t>
            </w:r>
            <w:r w:rsidDel="00000000" w:rsidR="00000000" w:rsidRPr="00000000">
              <w:rPr>
                <w:rtl w:val="0"/>
              </w:rPr>
            </w:r>
          </w:p>
        </w:tc>
        <w:tc>
          <w:tcPr/>
          <w:p w:rsidR="00000000" w:rsidDel="00000000" w:rsidP="00000000" w:rsidRDefault="00000000" w:rsidRPr="00000000" w14:paraId="0000021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sistema calcula la potencia media generada por el arreglo solar a fin de vida (P_sa,EOL) y verifica que el margen de generación respecto al consumo total sea igual o superior al 20%.</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1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Tipo y Subcategoría</w:t>
            </w:r>
            <w:r w:rsidDel="00000000" w:rsidR="00000000" w:rsidRPr="00000000">
              <w:rPr>
                <w:rtl w:val="0"/>
              </w:rPr>
            </w:r>
          </w:p>
        </w:tc>
        <w:tc>
          <w:tcPr/>
          <w:p w:rsidR="00000000" w:rsidDel="00000000" w:rsidP="00000000" w:rsidRDefault="00000000" w:rsidRPr="00000000" w14:paraId="0000021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Funcional · Balance de generación solar</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1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Prioridad MoSCoW</w:t>
            </w:r>
            <w:r w:rsidDel="00000000" w:rsidR="00000000" w:rsidRPr="00000000">
              <w:rPr>
                <w:rtl w:val="0"/>
              </w:rPr>
            </w:r>
          </w:p>
        </w:tc>
        <w:tc>
          <w:tcPr/>
          <w:p w:rsidR="00000000" w:rsidDel="00000000" w:rsidP="00000000" w:rsidRDefault="00000000" w:rsidRPr="00000000" w14:paraId="0000021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Must Have</w:t>
            </w:r>
            <w:r w:rsidDel="00000000" w:rsidR="00000000" w:rsidRPr="00000000">
              <w:rPr>
                <w:rFonts w:ascii="Times New Roman" w:cs="Times New Roman" w:eastAsia="Times New Roman" w:hAnsi="Times New Roman"/>
                <w:b w:val="0"/>
                <w:bCs w:val="0"/>
                <w:i w:val="0"/>
                <w:iCs w:val="0"/>
                <w:color w:val="0f172a"/>
                <w:sz w:val="18"/>
                <w:szCs w:val="18"/>
                <w:rtl w:val="0"/>
              </w:rPr>
              <w:t xml:space="preserve"> · Garantiza la supervivencia energética ante la degradación fotovoltaica por radiación en LEO (Regla RN-02).</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1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Criterio de Aceptación</w:t>
            </w:r>
            <w:r w:rsidDel="00000000" w:rsidR="00000000" w:rsidRPr="00000000">
              <w:rPr>
                <w:rtl w:val="0"/>
              </w:rPr>
            </w:r>
          </w:p>
        </w:tc>
        <w:tc>
          <w:tcPr/>
          <w:p w:rsidR="00000000" w:rsidDel="00000000" w:rsidP="00000000" w:rsidRDefault="00000000" w:rsidRPr="00000000" w14:paraId="0000021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Dados los parámetros solares iniciales, una degradación anual del 3,75%, una vida útil de diseño de 2 años y una demanda media de plataforma de 10,0 W, cuando se ejecuta el balance EOL, el sistema calcula P_sa,EOL = 12,8 W, determinando un margen de +28,0% y declarando conformidad; si el margen resulta inferior al +20,0%, el sistema emite advertencia de rediseño de área o celda solar.</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1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Trazabilidad</w:t>
            </w:r>
            <w:r w:rsidDel="00000000" w:rsidR="00000000" w:rsidRPr="00000000">
              <w:rPr>
                <w:rtl w:val="0"/>
              </w:rPr>
            </w:r>
          </w:p>
        </w:tc>
        <w:tc>
          <w:tcPr/>
          <w:p w:rsidR="00000000" w:rsidDel="00000000" w:rsidP="00000000" w:rsidRDefault="00000000" w:rsidRPr="00000000" w14:paraId="0000021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Regla RN-02; ECSS-E-ST-20C Rev. 1; New SMAD (Cap. 11)</w:t>
            </w:r>
            <w:r w:rsidDel="00000000" w:rsidR="00000000" w:rsidRPr="00000000">
              <w:rPr>
                <w:rtl w:val="0"/>
              </w:rPr>
            </w:r>
          </w:p>
        </w:tc>
      </w:tr>
    </w:tbl>
    <w:p w:rsidR="00000000" w:rsidDel="00000000" w:rsidP="00000000" w:rsidRDefault="00000000" w:rsidRPr="00000000" w14:paraId="0000021A">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Técnica · RF-05: Validación de Envolvente Geométrica y Másica CubeSat</w:t>
      </w:r>
      <w:r w:rsidDel="00000000" w:rsidR="00000000" w:rsidRPr="00000000">
        <w:rPr>
          <w:rtl w:val="0"/>
        </w:rPr>
      </w:r>
    </w:p>
    <w:tbl>
      <w:tblPr>
        <w:tblStyle w:val="Table20"/>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21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21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del Requisito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1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Identificador</w:t>
            </w:r>
            <w:r w:rsidDel="00000000" w:rsidR="00000000" w:rsidRPr="00000000">
              <w:rPr>
                <w:rtl w:val="0"/>
              </w:rPr>
            </w:r>
          </w:p>
        </w:tc>
        <w:tc>
          <w:tcPr/>
          <w:p w:rsidR="00000000" w:rsidDel="00000000" w:rsidP="00000000" w:rsidRDefault="00000000" w:rsidRPr="00000000" w14:paraId="0000021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RF-05</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1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Enunciado</w:t>
            </w:r>
            <w:r w:rsidDel="00000000" w:rsidR="00000000" w:rsidRPr="00000000">
              <w:rPr>
                <w:rtl w:val="0"/>
              </w:rPr>
            </w:r>
          </w:p>
        </w:tc>
        <w:tc>
          <w:tcPr/>
          <w:p w:rsidR="00000000" w:rsidDel="00000000" w:rsidP="00000000" w:rsidRDefault="00000000" w:rsidRPr="00000000" w14:paraId="0000022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sistema valida que los parámetros de volumen y masa de los componentes cumplan con la envolvente geométrica y másica estandarizada para factores de forma CubeSat (1U, 3U y 6U).</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2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Tipo y Subcategoría</w:t>
            </w:r>
            <w:r w:rsidDel="00000000" w:rsidR="00000000" w:rsidRPr="00000000">
              <w:rPr>
                <w:rtl w:val="0"/>
              </w:rPr>
            </w:r>
          </w:p>
        </w:tc>
        <w:tc>
          <w:tcPr/>
          <w:p w:rsidR="00000000" w:rsidDel="00000000" w:rsidP="00000000" w:rsidRDefault="00000000" w:rsidRPr="00000000" w14:paraId="0000022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Funcional · Verificación de restricciones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2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Prioridad MoSCoW</w:t>
            </w:r>
            <w:r w:rsidDel="00000000" w:rsidR="00000000" w:rsidRPr="00000000">
              <w:rPr>
                <w:rtl w:val="0"/>
              </w:rPr>
            </w:r>
          </w:p>
        </w:tc>
        <w:tc>
          <w:tcPr/>
          <w:p w:rsidR="00000000" w:rsidDel="00000000" w:rsidP="00000000" w:rsidRDefault="00000000" w:rsidRPr="00000000" w14:paraId="0000022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Must Have</w:t>
            </w:r>
            <w:r w:rsidDel="00000000" w:rsidR="00000000" w:rsidRPr="00000000">
              <w:rPr>
                <w:rFonts w:ascii="Times New Roman" w:cs="Times New Roman" w:eastAsia="Times New Roman" w:hAnsi="Times New Roman"/>
                <w:b w:val="0"/>
                <w:bCs w:val="0"/>
                <w:i w:val="0"/>
                <w:iCs w:val="0"/>
                <w:color w:val="0f172a"/>
                <w:sz w:val="18"/>
                <w:szCs w:val="18"/>
                <w:rtl w:val="0"/>
              </w:rPr>
              <w:t xml:space="preserve"> · Bloquea la consolidación de diseños que violen físicamente el estándar del dispensador orbital (Regla RN-05).</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2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Criterio de Aceptación</w:t>
            </w:r>
            <w:r w:rsidDel="00000000" w:rsidR="00000000" w:rsidRPr="00000000">
              <w:rPr>
                <w:rtl w:val="0"/>
              </w:rPr>
            </w:r>
          </w:p>
        </w:tc>
        <w:tc>
          <w:tcPr/>
          <w:p w:rsidR="00000000" w:rsidDel="00000000" w:rsidP="00000000" w:rsidRDefault="00000000" w:rsidRPr="00000000" w14:paraId="00000226">
            <w:pPr>
              <w:spacing w:after="20" w:before="20" w:line="252.00000000000003" w:lineRule="auto"/>
              <w:rPr/>
            </w:pPr>
            <w:r w:rsidDel="00000000" w:rsidR="00000000" w:rsidRPr="00000000">
              <w:rPr>
                <w:rFonts w:ascii="Gungsuh" w:cs="Gungsuh" w:eastAsia="Gungsuh" w:hAnsi="Gungsuh"/>
                <w:b w:val="0"/>
                <w:bCs w:val="0"/>
                <w:i w:val="0"/>
                <w:iCs w:val="0"/>
                <w:color w:val="0f172a"/>
                <w:sz w:val="18"/>
                <w:szCs w:val="18"/>
                <w:rtl w:val="0"/>
              </w:rPr>
              <w:t xml:space="preserve">Dadas las dimensiones declaradas de un subsistema (X, Y, Z en milímetros) y su masa (M en gramos), cuando el usuario solicita la verificación de factor de forma 1U, el sistema comprueba que X ≤ 100 mm, Y ≤ 100 mm, Z ≤ 100 mm y M ≤ 1330 g; si algún valor excede el umbral, el sistema genera una alerta bloqueante con el exceso exacto en porcentaje y milímetros/gramos.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2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Trazabilidad</w:t>
            </w:r>
            <w:r w:rsidDel="00000000" w:rsidR="00000000" w:rsidRPr="00000000">
              <w:rPr>
                <w:rtl w:val="0"/>
              </w:rPr>
            </w:r>
          </w:p>
        </w:tc>
        <w:tc>
          <w:tcPr/>
          <w:p w:rsidR="00000000" w:rsidDel="00000000" w:rsidP="00000000" w:rsidRDefault="00000000" w:rsidRPr="00000000" w14:paraId="0000022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Regla RN-05; CDS REV 14.1 (Cal Poly, 2024); Matriz Fila 20</w:t>
            </w:r>
            <w:r w:rsidDel="00000000" w:rsidR="00000000" w:rsidRPr="00000000">
              <w:rPr>
                <w:rtl w:val="0"/>
              </w:rPr>
            </w:r>
          </w:p>
        </w:tc>
      </w:tr>
    </w:tbl>
    <w:p w:rsidR="00000000" w:rsidDel="00000000" w:rsidP="00000000" w:rsidRDefault="00000000" w:rsidRPr="00000000" w14:paraId="00000229">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Módulo 3: Arnés Cognitivo, Chat de Hilo Digital y Adaptación Dinámica</w:t>
      </w:r>
      <w:r w:rsidDel="00000000" w:rsidR="00000000" w:rsidRPr="00000000">
        <w:rPr>
          <w:rtl w:val="0"/>
        </w:rPr>
      </w:r>
    </w:p>
    <w:p w:rsidR="00000000" w:rsidDel="00000000" w:rsidP="00000000" w:rsidRDefault="00000000" w:rsidRPr="00000000" w14:paraId="0000022A">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Técnica · RF-06: Asistencia Cognitiva RAG Normativa con Citas Certificadas</w:t>
      </w:r>
      <w:r w:rsidDel="00000000" w:rsidR="00000000" w:rsidRPr="00000000">
        <w:rPr>
          <w:rtl w:val="0"/>
        </w:rPr>
      </w:r>
    </w:p>
    <w:tbl>
      <w:tblPr>
        <w:tblStyle w:val="Table21"/>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22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22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del Requisito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2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Identificador</w:t>
            </w:r>
            <w:r w:rsidDel="00000000" w:rsidR="00000000" w:rsidRPr="00000000">
              <w:rPr>
                <w:rtl w:val="0"/>
              </w:rPr>
            </w:r>
          </w:p>
        </w:tc>
        <w:tc>
          <w:tcPr/>
          <w:p w:rsidR="00000000" w:rsidDel="00000000" w:rsidP="00000000" w:rsidRDefault="00000000" w:rsidRPr="00000000" w14:paraId="0000022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RF-06</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2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Enunciado</w:t>
            </w:r>
            <w:r w:rsidDel="00000000" w:rsidR="00000000" w:rsidRPr="00000000">
              <w:rPr>
                <w:rtl w:val="0"/>
              </w:rPr>
            </w:r>
          </w:p>
        </w:tc>
        <w:tc>
          <w:tcPr/>
          <w:p w:rsidR="00000000" w:rsidDel="00000000" w:rsidP="00000000" w:rsidRDefault="00000000" w:rsidRPr="00000000" w14:paraId="0000023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sistema asiste al razonamiento del ingeniero recuperando de forma contextual y certificada citas exactas de normas espaciales y justificaciones de diseño previas.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3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Tipo y Subcategoría</w:t>
            </w:r>
            <w:r w:rsidDel="00000000" w:rsidR="00000000" w:rsidRPr="00000000">
              <w:rPr>
                <w:rtl w:val="0"/>
              </w:rPr>
            </w:r>
          </w:p>
        </w:tc>
        <w:tc>
          <w:tcPr/>
          <w:p w:rsidR="00000000" w:rsidDel="00000000" w:rsidP="00000000" w:rsidRDefault="00000000" w:rsidRPr="00000000" w14:paraId="0000023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Funcional · Arnés cognitivo / RAG</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3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Prioridad MoSCoW</w:t>
            </w:r>
            <w:r w:rsidDel="00000000" w:rsidR="00000000" w:rsidRPr="00000000">
              <w:rPr>
                <w:rtl w:val="0"/>
              </w:rPr>
            </w:r>
          </w:p>
        </w:tc>
        <w:tc>
          <w:tcPr/>
          <w:p w:rsidR="00000000" w:rsidDel="00000000" w:rsidP="00000000" w:rsidRDefault="00000000" w:rsidRPr="00000000" w14:paraId="0000023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Must Have</w:t>
            </w:r>
            <w:r w:rsidDel="00000000" w:rsidR="00000000" w:rsidRPr="00000000">
              <w:rPr>
                <w:rFonts w:ascii="Times New Roman" w:cs="Times New Roman" w:eastAsia="Times New Roman" w:hAnsi="Times New Roman"/>
                <w:b w:val="0"/>
                <w:bCs w:val="0"/>
                <w:i w:val="0"/>
                <w:iCs w:val="0"/>
                <w:color w:val="0f172a"/>
                <w:sz w:val="18"/>
                <w:szCs w:val="18"/>
                <w:rtl w:val="0"/>
              </w:rPr>
              <w:t xml:space="preserve"> · Reduce la dispersión documental y evita que los ingenieros adopten parámetros sin justificación normativa (Regla RN-04).</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3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Criterio de Aceptación</w:t>
            </w:r>
            <w:r w:rsidDel="00000000" w:rsidR="00000000" w:rsidRPr="00000000">
              <w:rPr>
                <w:rtl w:val="0"/>
              </w:rPr>
            </w:r>
          </w:p>
        </w:tc>
        <w:tc>
          <w:tcPr/>
          <w:p w:rsidR="00000000" w:rsidDel="00000000" w:rsidP="00000000" w:rsidRDefault="00000000" w:rsidRPr="00000000" w14:paraId="0000023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Dado un parámetro en disputa (ej. coeficiente de degradación solar), cuando el usuario formula una consulta técnica sobre su origen, el sistema devuelve en menos de 3,0 segundos la cita textual del estándar aplicable (ECSS o NASA Handbook), el número de sección, la página y el fragmento del acta institucional donde fue validado, sin alucinaciones de texto no respaldado.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3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Trazabilidad</w:t>
            </w:r>
            <w:r w:rsidDel="00000000" w:rsidR="00000000" w:rsidRPr="00000000">
              <w:rPr>
                <w:rtl w:val="0"/>
              </w:rPr>
            </w:r>
          </w:p>
        </w:tc>
        <w:tc>
          <w:tcPr/>
          <w:p w:rsidR="00000000" w:rsidDel="00000000" w:rsidP="00000000" w:rsidRDefault="00000000" w:rsidRPr="00000000" w14:paraId="0000023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Regla RN-04; Capítulo I (Sec. I.6); García Alarcia &amp; Golkar (2025)</w:t>
            </w:r>
            <w:r w:rsidDel="00000000" w:rsidR="00000000" w:rsidRPr="00000000">
              <w:rPr>
                <w:rtl w:val="0"/>
              </w:rPr>
            </w:r>
          </w:p>
        </w:tc>
      </w:tr>
    </w:tbl>
    <w:p w:rsidR="00000000" w:rsidDel="00000000" w:rsidP="00000000" w:rsidRDefault="00000000" w:rsidRPr="00000000" w14:paraId="00000239">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Técnica · RF-07: Instrumentación Psicométrica de Sobrecarga Mental (NASA-TLX)</w:t>
      </w:r>
      <w:r w:rsidDel="00000000" w:rsidR="00000000" w:rsidRPr="00000000">
        <w:rPr>
          <w:rtl w:val="0"/>
        </w:rPr>
      </w:r>
    </w:p>
    <w:tbl>
      <w:tblPr>
        <w:tblStyle w:val="Table22"/>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23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23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del Requisito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3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Identificador</w:t>
            </w:r>
            <w:r w:rsidDel="00000000" w:rsidR="00000000" w:rsidRPr="00000000">
              <w:rPr>
                <w:rtl w:val="0"/>
              </w:rPr>
            </w:r>
          </w:p>
        </w:tc>
        <w:tc>
          <w:tcPr/>
          <w:p w:rsidR="00000000" w:rsidDel="00000000" w:rsidP="00000000" w:rsidRDefault="00000000" w:rsidRPr="00000000" w14:paraId="0000023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RF-07</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3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Enunciado</w:t>
            </w:r>
            <w:r w:rsidDel="00000000" w:rsidR="00000000" w:rsidRPr="00000000">
              <w:rPr>
                <w:rtl w:val="0"/>
              </w:rPr>
            </w:r>
          </w:p>
        </w:tc>
        <w:tc>
          <w:tcPr/>
          <w:p w:rsidR="00000000" w:rsidDel="00000000" w:rsidP="00000000" w:rsidRDefault="00000000" w:rsidRPr="00000000" w14:paraId="0000023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sistema instrumenta y calcula el índice de carga cognitiva global (TLX_global) mediante la evaluación de las seis subescalas de demanda y las quince comparaciones pareadas de NASA-TLX.</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4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Tipo y Subcategoría</w:t>
            </w:r>
            <w:r w:rsidDel="00000000" w:rsidR="00000000" w:rsidRPr="00000000">
              <w:rPr>
                <w:rtl w:val="0"/>
              </w:rPr>
            </w:r>
          </w:p>
        </w:tc>
        <w:tc>
          <w:tcPr/>
          <w:p w:rsidR="00000000" w:rsidDel="00000000" w:rsidP="00000000" w:rsidRDefault="00000000" w:rsidRPr="00000000" w14:paraId="0000024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Funcional · Medición psicométrica cognitiva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4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Prioridad MoSCoW</w:t>
            </w:r>
            <w:r w:rsidDel="00000000" w:rsidR="00000000" w:rsidRPr="00000000">
              <w:rPr>
                <w:rtl w:val="0"/>
              </w:rPr>
            </w:r>
          </w:p>
        </w:tc>
        <w:tc>
          <w:tcPr/>
          <w:p w:rsidR="00000000" w:rsidDel="00000000" w:rsidP="00000000" w:rsidRDefault="00000000" w:rsidRPr="00000000" w14:paraId="0000024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Must Have</w:t>
            </w:r>
            <w:r w:rsidDel="00000000" w:rsidR="00000000" w:rsidRPr="00000000">
              <w:rPr>
                <w:rFonts w:ascii="Times New Roman" w:cs="Times New Roman" w:eastAsia="Times New Roman" w:hAnsi="Times New Roman"/>
                <w:b w:val="0"/>
                <w:bCs w:val="0"/>
                <w:i w:val="0"/>
                <w:iCs w:val="0"/>
                <w:color w:val="0f172a"/>
                <w:sz w:val="18"/>
                <w:szCs w:val="18"/>
                <w:rtl w:val="0"/>
              </w:rPr>
              <w:t xml:space="preserve"> · Mecanismo probatorio exigido por el proyecto para verificar empíricamente la reducción de la sobrecarga mental del ingeniero (Regla RN-06).</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4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Criterio de Aceptación</w:t>
            </w:r>
            <w:r w:rsidDel="00000000" w:rsidR="00000000" w:rsidRPr="00000000">
              <w:rPr>
                <w:rtl w:val="0"/>
              </w:rPr>
            </w:r>
          </w:p>
        </w:tc>
        <w:tc>
          <w:tcPr/>
          <w:p w:rsidR="00000000" w:rsidDel="00000000" w:rsidP="00000000" w:rsidRDefault="00000000" w:rsidRPr="00000000" w14:paraId="00000245">
            <w:pPr>
              <w:spacing w:after="20" w:before="20" w:line="252.00000000000003" w:lineRule="auto"/>
              <w:rPr/>
            </w:pPr>
            <w:r w:rsidDel="00000000" w:rsidR="00000000" w:rsidRPr="00000000">
              <w:rPr>
                <w:rFonts w:ascii="Gungsuh" w:cs="Gungsuh" w:eastAsia="Gungsuh" w:hAnsi="Gungsuh"/>
                <w:b w:val="0"/>
                <w:bCs w:val="0"/>
                <w:i w:val="0"/>
                <w:iCs w:val="0"/>
                <w:color w:val="0f172a"/>
                <w:sz w:val="18"/>
                <w:szCs w:val="18"/>
                <w:rtl w:val="0"/>
              </w:rPr>
              <w:t xml:space="preserve">Dados los seis puntajes asignados en escala continua [0, 100] y la matriz de 15 comparaciones pareadas completada por el operador, cuando se solicita la consolidación, el sistema calcula los pesos ponderados w_i, deriva el índice global TLX_global ∈ [0, 100] y registra la sesión con fecha y duración en la base de datos psicométrica.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4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Trazabilidad</w:t>
            </w:r>
            <w:r w:rsidDel="00000000" w:rsidR="00000000" w:rsidRPr="00000000">
              <w:rPr>
                <w:rtl w:val="0"/>
              </w:rPr>
            </w:r>
          </w:p>
        </w:tc>
        <w:tc>
          <w:tcPr/>
          <w:p w:rsidR="00000000" w:rsidDel="00000000" w:rsidP="00000000" w:rsidRDefault="00000000" w:rsidRPr="00000000" w14:paraId="0000024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Regla RN-06; Hart &amp; Staveland (1988); NTP 544 (INSST, 2001)</w:t>
            </w:r>
            <w:r w:rsidDel="00000000" w:rsidR="00000000" w:rsidRPr="00000000">
              <w:rPr>
                <w:rtl w:val="0"/>
              </w:rPr>
            </w:r>
          </w:p>
        </w:tc>
      </w:tr>
    </w:tbl>
    <w:p w:rsidR="00000000" w:rsidDel="00000000" w:rsidP="00000000" w:rsidRDefault="00000000" w:rsidRPr="00000000" w14:paraId="00000248">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Técnica · RF-08: Detección Temprana de Incompatibilidades Eléctricas</w:t>
      </w:r>
      <w:r w:rsidDel="00000000" w:rsidR="00000000" w:rsidRPr="00000000">
        <w:rPr>
          <w:rtl w:val="0"/>
        </w:rPr>
      </w:r>
    </w:p>
    <w:tbl>
      <w:tblPr>
        <w:tblStyle w:val="Table23"/>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24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24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del Requisito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4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Identificador</w:t>
            </w:r>
            <w:r w:rsidDel="00000000" w:rsidR="00000000" w:rsidRPr="00000000">
              <w:rPr>
                <w:rtl w:val="0"/>
              </w:rPr>
            </w:r>
          </w:p>
        </w:tc>
        <w:tc>
          <w:tcPr/>
          <w:p w:rsidR="00000000" w:rsidDel="00000000" w:rsidP="00000000" w:rsidRDefault="00000000" w:rsidRPr="00000000" w14:paraId="0000024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RF-08</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4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Enunciado</w:t>
            </w:r>
            <w:r w:rsidDel="00000000" w:rsidR="00000000" w:rsidRPr="00000000">
              <w:rPr>
                <w:rtl w:val="0"/>
              </w:rPr>
            </w:r>
          </w:p>
        </w:tc>
        <w:tc>
          <w:tcPr/>
          <w:p w:rsidR="00000000" w:rsidDel="00000000" w:rsidP="00000000" w:rsidRDefault="00000000" w:rsidRPr="00000000" w14:paraId="0000024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sistema detecta incompatibilidades de acoplamiento eléctrico y restricciones de bus de alimentación entre los subsistemas declarados en los ICDs.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4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Tipo y Subcategoría</w:t>
            </w:r>
            <w:r w:rsidDel="00000000" w:rsidR="00000000" w:rsidRPr="00000000">
              <w:rPr>
                <w:rtl w:val="0"/>
              </w:rPr>
            </w:r>
          </w:p>
        </w:tc>
        <w:tc>
          <w:tcPr/>
          <w:p w:rsidR="00000000" w:rsidDel="00000000" w:rsidP="00000000" w:rsidRDefault="00000000" w:rsidRPr="00000000" w14:paraId="0000025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Funcional · Detección de incompatibilidades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5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Prioridad MoSCoW</w:t>
            </w:r>
            <w:r w:rsidDel="00000000" w:rsidR="00000000" w:rsidRPr="00000000">
              <w:rPr>
                <w:rtl w:val="0"/>
              </w:rPr>
            </w:r>
          </w:p>
        </w:tc>
        <w:tc>
          <w:tcPr/>
          <w:p w:rsidR="00000000" w:rsidDel="00000000" w:rsidP="00000000" w:rsidRDefault="00000000" w:rsidRPr="00000000" w14:paraId="0000025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Must Have</w:t>
            </w:r>
            <w:r w:rsidDel="00000000" w:rsidR="00000000" w:rsidRPr="00000000">
              <w:rPr>
                <w:rFonts w:ascii="Times New Roman" w:cs="Times New Roman" w:eastAsia="Times New Roman" w:hAnsi="Times New Roman"/>
                <w:b w:val="0"/>
                <w:bCs w:val="0"/>
                <w:i w:val="0"/>
                <w:iCs w:val="0"/>
                <w:color w:val="0f172a"/>
                <w:sz w:val="18"/>
                <w:szCs w:val="18"/>
                <w:rtl w:val="0"/>
              </w:rPr>
              <w:t xml:space="preserve"> · Elimina la detección tardía de discrepancias de interfaz a 72 horas de los ensayos de integración física (Misión Atenea).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5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Criterio de Aceptación</w:t>
            </w:r>
            <w:r w:rsidDel="00000000" w:rsidR="00000000" w:rsidRPr="00000000">
              <w:rPr>
                <w:rtl w:val="0"/>
              </w:rPr>
            </w:r>
          </w:p>
        </w:tc>
        <w:tc>
          <w:tcPr/>
          <w:p w:rsidR="00000000" w:rsidDel="00000000" w:rsidP="00000000" w:rsidRDefault="00000000" w:rsidRPr="00000000" w14:paraId="0000025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Dado un subsistema emisor con bus no regulado de 6,0 a 8,4 V y una carga útil que exige 5,0 V ± 1% regulado sin convertidor DC/DC intermedio, cuando se ejecuta el análisis de acoplamiento, el sistema emite una alerta crítica de incompatibilidad eléctrica con indicación del punto de falla antes de autorizar la integración en el modelo lógico.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5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Trazabilidad</w:t>
            </w:r>
            <w:r w:rsidDel="00000000" w:rsidR="00000000" w:rsidRPr="00000000">
              <w:rPr>
                <w:rtl w:val="0"/>
              </w:rPr>
            </w:r>
          </w:p>
        </w:tc>
        <w:tc>
          <w:tcPr/>
          <w:p w:rsidR="00000000" w:rsidDel="00000000" w:rsidP="00000000" w:rsidRDefault="00000000" w:rsidRPr="00000000" w14:paraId="0000025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Capítulo I (Sec. I.3.1); Acta CTA-UNLP (14/09/2026, Min 00:27:32)</w:t>
            </w:r>
            <w:r w:rsidDel="00000000" w:rsidR="00000000" w:rsidRPr="00000000">
              <w:rPr>
                <w:rtl w:val="0"/>
              </w:rPr>
            </w:r>
          </w:p>
        </w:tc>
      </w:tr>
    </w:tbl>
    <w:p w:rsidR="00000000" w:rsidDel="00000000" w:rsidP="00000000" w:rsidRDefault="00000000" w:rsidRPr="00000000" w14:paraId="00000257">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Técnica · RF-12: Chat Adaptativo de Hilo Digital con Arquitectura Doble Agente</w:t>
      </w:r>
      <w:r w:rsidDel="00000000" w:rsidR="00000000" w:rsidRPr="00000000">
        <w:rPr>
          <w:rtl w:val="0"/>
        </w:rPr>
      </w:r>
    </w:p>
    <w:tbl>
      <w:tblPr>
        <w:tblStyle w:val="Table24"/>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25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25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del Requisito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5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Identificador</w:t>
            </w:r>
            <w:r w:rsidDel="00000000" w:rsidR="00000000" w:rsidRPr="00000000">
              <w:rPr>
                <w:rtl w:val="0"/>
              </w:rPr>
            </w:r>
          </w:p>
        </w:tc>
        <w:tc>
          <w:tcPr/>
          <w:p w:rsidR="00000000" w:rsidDel="00000000" w:rsidP="00000000" w:rsidRDefault="00000000" w:rsidRPr="00000000" w14:paraId="0000025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RF-12</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5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Enunciado</w:t>
            </w:r>
            <w:r w:rsidDel="00000000" w:rsidR="00000000" w:rsidRPr="00000000">
              <w:rPr>
                <w:rtl w:val="0"/>
              </w:rPr>
            </w:r>
          </w:p>
        </w:tc>
        <w:tc>
          <w:tcPr/>
          <w:p w:rsidR="00000000" w:rsidDel="00000000" w:rsidP="00000000" w:rsidRDefault="00000000" w:rsidRPr="00000000" w14:paraId="0000025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sistema provee un Chat de Hilo Digital conversacional con arquitectura de doble agente que adapta dinámicamente la modalidad de respuesta según el índice NASA-TLX del operador (Regla RN-07).</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5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Tipo y Subcategoría</w:t>
            </w:r>
            <w:r w:rsidDel="00000000" w:rsidR="00000000" w:rsidRPr="00000000">
              <w:rPr>
                <w:rtl w:val="0"/>
              </w:rPr>
            </w:r>
          </w:p>
        </w:tc>
        <w:tc>
          <w:tcPr/>
          <w:p w:rsidR="00000000" w:rsidDel="00000000" w:rsidP="00000000" w:rsidRDefault="00000000" w:rsidRPr="00000000" w14:paraId="0000025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Funcional · Chat de hilo digital adaptativo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6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Prioridad MoSCoW</w:t>
            </w:r>
            <w:r w:rsidDel="00000000" w:rsidR="00000000" w:rsidRPr="00000000">
              <w:rPr>
                <w:rtl w:val="0"/>
              </w:rPr>
            </w:r>
          </w:p>
        </w:tc>
        <w:tc>
          <w:tcPr/>
          <w:p w:rsidR="00000000" w:rsidDel="00000000" w:rsidP="00000000" w:rsidRDefault="00000000" w:rsidRPr="00000000" w14:paraId="0000026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Must Have</w:t>
            </w:r>
            <w:r w:rsidDel="00000000" w:rsidR="00000000" w:rsidRPr="00000000">
              <w:rPr>
                <w:rFonts w:ascii="Times New Roman" w:cs="Times New Roman" w:eastAsia="Times New Roman" w:hAnsi="Times New Roman"/>
                <w:b w:val="0"/>
                <w:bCs w:val="0"/>
                <w:i w:val="0"/>
                <w:iCs w:val="0"/>
                <w:color w:val="0f172a"/>
                <w:sz w:val="18"/>
                <w:szCs w:val="18"/>
                <w:rtl w:val="0"/>
              </w:rPr>
              <w:t xml:space="preserve"> · Reduce la fatiga y la sobrecarga cognitiva en momentos de alta exigencia mental mediante presentación visual y sintética.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6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Criterio de Aceptación</w:t>
            </w:r>
            <w:r w:rsidDel="00000000" w:rsidR="00000000" w:rsidRPr="00000000">
              <w:rPr>
                <w:rtl w:val="0"/>
              </w:rPr>
            </w:r>
          </w:p>
        </w:tc>
        <w:tc>
          <w:tcPr/>
          <w:p w:rsidR="00000000" w:rsidDel="00000000" w:rsidP="00000000" w:rsidRDefault="00000000" w:rsidRPr="00000000" w14:paraId="00000263">
            <w:pPr>
              <w:spacing w:after="20" w:before="20" w:line="252.00000000000003" w:lineRule="auto"/>
              <w:rPr/>
            </w:pPr>
            <w:r w:rsidDel="00000000" w:rsidR="00000000" w:rsidRPr="00000000">
              <w:rPr>
                <w:rFonts w:ascii="Gungsuh" w:cs="Gungsuh" w:eastAsia="Gungsuh" w:hAnsi="Gungsuh"/>
                <w:b w:val="0"/>
                <w:bCs w:val="0"/>
                <w:i w:val="0"/>
                <w:iCs w:val="0"/>
                <w:color w:val="0f172a"/>
                <w:sz w:val="18"/>
                <w:szCs w:val="18"/>
                <w:rtl w:val="0"/>
              </w:rPr>
              <w:t xml:space="preserve">Dado un operador con TLX_global ≥ 60 que formula una consulta técnica en el chat, el sistema procesa la solicitud mediante el Agente Especialista y la reformula a través del Agente Adaptador en menos de 2,5 segundos, desplegando tarjetas numéricas destacadas, semáforos de margen y viñetas telegráficas, incorporando un control explícito para alternar a la «Vista Técnica Completa Original»; si TLX_global &lt; 60, despliega directamente la deducción analítica exhaustiva.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6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Trazabilidad</w:t>
            </w:r>
            <w:r w:rsidDel="00000000" w:rsidR="00000000" w:rsidRPr="00000000">
              <w:rPr>
                <w:rtl w:val="0"/>
              </w:rPr>
            </w:r>
          </w:p>
        </w:tc>
        <w:tc>
          <w:tcPr/>
          <w:p w:rsidR="00000000" w:rsidDel="00000000" w:rsidP="00000000" w:rsidRDefault="00000000" w:rsidRPr="00000000" w14:paraId="0000026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Regla RN-07; Sweller (1988); Wireframe v0.1 (Acordeón de razonamiento y Book of Shapes)</w:t>
            </w:r>
            <w:r w:rsidDel="00000000" w:rsidR="00000000" w:rsidRPr="00000000">
              <w:rPr>
                <w:rtl w:val="0"/>
              </w:rPr>
            </w:r>
          </w:p>
        </w:tc>
      </w:tr>
    </w:tbl>
    <w:p w:rsidR="00000000" w:rsidDel="00000000" w:rsidP="00000000" w:rsidRDefault="00000000" w:rsidRPr="00000000" w14:paraId="00000266">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Módulo 4: Trazabilidad, Pista de Auditoría y Memoria Técnica</w:t>
      </w:r>
      <w:r w:rsidDel="00000000" w:rsidR="00000000" w:rsidRPr="00000000">
        <w:rPr>
          <w:rtl w:val="0"/>
        </w:rPr>
      </w:r>
    </w:p>
    <w:p w:rsidR="00000000" w:rsidDel="00000000" w:rsidP="00000000" w:rsidRDefault="00000000" w:rsidRPr="00000000" w14:paraId="00000267">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Técnica · RF-09: Registro Inmutable de Decisiones Técnicas (DecisionLog)</w:t>
      </w:r>
      <w:r w:rsidDel="00000000" w:rsidR="00000000" w:rsidRPr="00000000">
        <w:rPr>
          <w:rtl w:val="0"/>
        </w:rPr>
      </w:r>
    </w:p>
    <w:tbl>
      <w:tblPr>
        <w:tblStyle w:val="Table25"/>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26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26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del Requisito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6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Identificador</w:t>
            </w:r>
            <w:r w:rsidDel="00000000" w:rsidR="00000000" w:rsidRPr="00000000">
              <w:rPr>
                <w:rtl w:val="0"/>
              </w:rPr>
            </w:r>
          </w:p>
        </w:tc>
        <w:tc>
          <w:tcPr/>
          <w:p w:rsidR="00000000" w:rsidDel="00000000" w:rsidP="00000000" w:rsidRDefault="00000000" w:rsidRPr="00000000" w14:paraId="0000026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RF-09</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6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Enunciado</w:t>
            </w:r>
            <w:r w:rsidDel="00000000" w:rsidR="00000000" w:rsidRPr="00000000">
              <w:rPr>
                <w:rtl w:val="0"/>
              </w:rPr>
            </w:r>
          </w:p>
        </w:tc>
        <w:tc>
          <w:tcPr/>
          <w:p w:rsidR="00000000" w:rsidDel="00000000" w:rsidP="00000000" w:rsidRDefault="00000000" w:rsidRPr="00000000" w14:paraId="0000026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sistema registra de forma inmutable en el </w:t>
            </w:r>
            <w:r w:rsidDel="00000000" w:rsidR="00000000" w:rsidRPr="00000000">
              <w:rPr>
                <w:rFonts w:ascii="Consolas" w:cs="Consolas" w:eastAsia="Consolas" w:hAnsi="Consolas"/>
                <w:b w:val="0"/>
                <w:bCs w:val="0"/>
                <w:i w:val="0"/>
                <w:iCs w:val="0"/>
                <w:color w:val="334155"/>
                <w:sz w:val="15"/>
                <w:szCs w:val="15"/>
                <w:rtl w:val="0"/>
              </w:rPr>
              <w:t xml:space="preserve">DecisionLog</w:t>
            </w:r>
            <w:r w:rsidDel="00000000" w:rsidR="00000000" w:rsidRPr="00000000">
              <w:rPr>
                <w:rFonts w:ascii="Times New Roman" w:cs="Times New Roman" w:eastAsia="Times New Roman" w:hAnsi="Times New Roman"/>
                <w:b w:val="0"/>
                <w:bCs w:val="0"/>
                <w:i w:val="0"/>
                <w:iCs w:val="0"/>
                <w:color w:val="0f172a"/>
                <w:sz w:val="18"/>
                <w:szCs w:val="18"/>
                <w:rtl w:val="0"/>
              </w:rPr>
              <w:t xml:space="preserve"> cada modificación de parámetros de diseño, asociando obligatoriamente el autor (</w:t>
            </w:r>
            <w:r w:rsidDel="00000000" w:rsidR="00000000" w:rsidRPr="00000000">
              <w:rPr>
                <w:rFonts w:ascii="Consolas" w:cs="Consolas" w:eastAsia="Consolas" w:hAnsi="Consolas"/>
                <w:b w:val="0"/>
                <w:bCs w:val="0"/>
                <w:i w:val="0"/>
                <w:iCs w:val="0"/>
                <w:color w:val="334155"/>
                <w:sz w:val="15"/>
                <w:szCs w:val="15"/>
                <w:rtl w:val="0"/>
              </w:rPr>
              <w:t xml:space="preserve">PerfilIngeniero</w:t>
            </w:r>
            <w:r w:rsidDel="00000000" w:rsidR="00000000" w:rsidRPr="00000000">
              <w:rPr>
                <w:rFonts w:ascii="Times New Roman" w:cs="Times New Roman" w:eastAsia="Times New Roman" w:hAnsi="Times New Roman"/>
                <w:b w:val="0"/>
                <w:bCs w:val="0"/>
                <w:i w:val="0"/>
                <w:iCs w:val="0"/>
                <w:color w:val="0f172a"/>
                <w:sz w:val="18"/>
                <w:szCs w:val="18"/>
                <w:rtl w:val="0"/>
              </w:rPr>
              <w:t xml:space="preserve">), la fecha UTC, la justificación técnica, la norma de respaldo y los supuestos adoptados.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6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Tipo y Subcategoría</w:t>
            </w:r>
            <w:r w:rsidDel="00000000" w:rsidR="00000000" w:rsidRPr="00000000">
              <w:rPr>
                <w:rtl w:val="0"/>
              </w:rPr>
            </w:r>
          </w:p>
        </w:tc>
        <w:tc>
          <w:tcPr/>
          <w:p w:rsidR="00000000" w:rsidDel="00000000" w:rsidP="00000000" w:rsidRDefault="00000000" w:rsidRPr="00000000" w14:paraId="0000026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Funcional · Pista de auditoría / Memoria técnica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7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Prioridad MoSCoW</w:t>
            </w:r>
            <w:r w:rsidDel="00000000" w:rsidR="00000000" w:rsidRPr="00000000">
              <w:rPr>
                <w:rtl w:val="0"/>
              </w:rPr>
            </w:r>
          </w:p>
        </w:tc>
        <w:tc>
          <w:tcPr/>
          <w:p w:rsidR="00000000" w:rsidDel="00000000" w:rsidP="00000000" w:rsidRDefault="00000000" w:rsidRPr="00000000" w14:paraId="0000027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Must Have</w:t>
            </w:r>
            <w:r w:rsidDel="00000000" w:rsidR="00000000" w:rsidRPr="00000000">
              <w:rPr>
                <w:rFonts w:ascii="Times New Roman" w:cs="Times New Roman" w:eastAsia="Times New Roman" w:hAnsi="Times New Roman"/>
                <w:b w:val="0"/>
                <w:bCs w:val="0"/>
                <w:i w:val="0"/>
                <w:iCs w:val="0"/>
                <w:color w:val="0f172a"/>
                <w:sz w:val="18"/>
                <w:szCs w:val="18"/>
                <w:rtl w:val="0"/>
              </w:rPr>
              <w:t xml:space="preserve"> · Resuelve la pérdida de memoria técnica originada por la rotación constante de 10 a 60 becarios que abandonan el centro (Regla RN-04).</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7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Criterio de Aceptación</w:t>
            </w:r>
            <w:r w:rsidDel="00000000" w:rsidR="00000000" w:rsidRPr="00000000">
              <w:rPr>
                <w:rtl w:val="0"/>
              </w:rPr>
            </w:r>
          </w:p>
        </w:tc>
        <w:tc>
          <w:tcPr/>
          <w:p w:rsidR="00000000" w:rsidDel="00000000" w:rsidP="00000000" w:rsidRDefault="00000000" w:rsidRPr="00000000" w14:paraId="0000027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Dado un cambio de capacidad de celda solar de 3,2 Ah a 3,5 Ah, cuando el usuario confirma la modificación, el sistema exige ingresar la fuente (proveedor/ICD) y el motivo; una vez ingresados, genera un registro inmutable con firma del </w:t>
            </w:r>
            <w:r w:rsidDel="00000000" w:rsidR="00000000" w:rsidRPr="00000000">
              <w:rPr>
                <w:rFonts w:ascii="Consolas" w:cs="Consolas" w:eastAsia="Consolas" w:hAnsi="Consolas"/>
                <w:b w:val="0"/>
                <w:bCs w:val="0"/>
                <w:i w:val="0"/>
                <w:iCs w:val="0"/>
                <w:color w:val="334155"/>
                <w:sz w:val="15"/>
                <w:szCs w:val="15"/>
                <w:rtl w:val="0"/>
              </w:rPr>
              <w:t xml:space="preserve">PerfilIngeniero</w:t>
            </w:r>
            <w:r w:rsidDel="00000000" w:rsidR="00000000" w:rsidRPr="00000000">
              <w:rPr>
                <w:rFonts w:ascii="Times New Roman" w:cs="Times New Roman" w:eastAsia="Times New Roman" w:hAnsi="Times New Roman"/>
                <w:b w:val="0"/>
                <w:bCs w:val="0"/>
                <w:i w:val="0"/>
                <w:iCs w:val="0"/>
                <w:color w:val="0f172a"/>
                <w:sz w:val="18"/>
                <w:szCs w:val="18"/>
                <w:rtl w:val="0"/>
              </w:rPr>
              <w:t xml:space="preserve"> y hash criptográfico SHA-256 en la pista de auditoría, impidiendo su borrado o alteración retroactiva.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7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Trazabilidad</w:t>
            </w:r>
            <w:r w:rsidDel="00000000" w:rsidR="00000000" w:rsidRPr="00000000">
              <w:rPr>
                <w:rtl w:val="0"/>
              </w:rPr>
            </w:r>
          </w:p>
        </w:tc>
        <w:tc>
          <w:tcPr/>
          <w:p w:rsidR="00000000" w:rsidDel="00000000" w:rsidP="00000000" w:rsidRDefault="00000000" w:rsidRPr="00000000" w14:paraId="0000027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Regla RN-04; Yin (2018); Acta CTA-UNLP (14/09/2026, Min 01:05:28)</w:t>
            </w:r>
            <w:r w:rsidDel="00000000" w:rsidR="00000000" w:rsidRPr="00000000">
              <w:rPr>
                <w:rtl w:val="0"/>
              </w:rPr>
            </w:r>
          </w:p>
        </w:tc>
      </w:tr>
    </w:tbl>
    <w:p w:rsidR="00000000" w:rsidDel="00000000" w:rsidP="00000000" w:rsidRDefault="00000000" w:rsidRPr="00000000" w14:paraId="00000276">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Técnica · RF-10: Matriz de Trazabilidad Bidireccional y Exportación de Expediente</w:t>
      </w:r>
      <w:r w:rsidDel="00000000" w:rsidR="00000000" w:rsidRPr="00000000">
        <w:rPr>
          <w:rtl w:val="0"/>
        </w:rPr>
      </w:r>
    </w:p>
    <w:tbl>
      <w:tblPr>
        <w:tblStyle w:val="Table26"/>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27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27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del Requisito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7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Identificador</w:t>
            </w:r>
            <w:r w:rsidDel="00000000" w:rsidR="00000000" w:rsidRPr="00000000">
              <w:rPr>
                <w:rtl w:val="0"/>
              </w:rPr>
            </w:r>
          </w:p>
        </w:tc>
        <w:tc>
          <w:tcPr/>
          <w:p w:rsidR="00000000" w:rsidDel="00000000" w:rsidP="00000000" w:rsidRDefault="00000000" w:rsidRPr="00000000" w14:paraId="0000027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RF-10</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7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Enunciado</w:t>
            </w:r>
            <w:r w:rsidDel="00000000" w:rsidR="00000000" w:rsidRPr="00000000">
              <w:rPr>
                <w:rtl w:val="0"/>
              </w:rPr>
            </w:r>
          </w:p>
        </w:tc>
        <w:tc>
          <w:tcPr/>
          <w:p w:rsidR="00000000" w:rsidDel="00000000" w:rsidP="00000000" w:rsidRDefault="00000000" w:rsidRPr="00000000" w14:paraId="0000027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sistema genera la matriz de trazabilidad bidireccional entre requisitos de misión, parámetros físicos del EPS, reglas de negocio y evidencias documentales, exportándola en formato tabular y reporte estructurado en PDF/CSV.</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7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Tipo y Subcategoría</w:t>
            </w:r>
            <w:r w:rsidDel="00000000" w:rsidR="00000000" w:rsidRPr="00000000">
              <w:rPr>
                <w:rtl w:val="0"/>
              </w:rPr>
            </w:r>
          </w:p>
        </w:tc>
        <w:tc>
          <w:tcPr/>
          <w:p w:rsidR="00000000" w:rsidDel="00000000" w:rsidP="00000000" w:rsidRDefault="00000000" w:rsidRPr="00000000" w14:paraId="0000027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Funcional · Trazabilidad y reportabilidad</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7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Prioridad MoSCoW</w:t>
            </w:r>
            <w:r w:rsidDel="00000000" w:rsidR="00000000" w:rsidRPr="00000000">
              <w:rPr>
                <w:rtl w:val="0"/>
              </w:rPr>
            </w:r>
          </w:p>
        </w:tc>
        <w:tc>
          <w:tcPr/>
          <w:p w:rsidR="00000000" w:rsidDel="00000000" w:rsidP="00000000" w:rsidRDefault="00000000" w:rsidRPr="00000000" w14:paraId="0000028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Should Have</w:t>
            </w:r>
            <w:r w:rsidDel="00000000" w:rsidR="00000000" w:rsidRPr="00000000">
              <w:rPr>
                <w:rFonts w:ascii="Times New Roman" w:cs="Times New Roman" w:eastAsia="Times New Roman" w:hAnsi="Times New Roman"/>
                <w:b w:val="0"/>
                <w:bCs w:val="0"/>
                <w:i w:val="0"/>
                <w:iCs w:val="0"/>
                <w:color w:val="0f172a"/>
                <w:sz w:val="18"/>
                <w:szCs w:val="18"/>
                <w:rtl w:val="0"/>
              </w:rPr>
              <w:t xml:space="preserve"> · Facilita la preparación documental formal exigida por los comités de revisión espacial (PDR/CDR).</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8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Criterio de Aceptación</w:t>
            </w:r>
            <w:r w:rsidDel="00000000" w:rsidR="00000000" w:rsidRPr="00000000">
              <w:rPr>
                <w:rtl w:val="0"/>
              </w:rPr>
            </w:r>
          </w:p>
        </w:tc>
        <w:tc>
          <w:tcPr/>
          <w:p w:rsidR="00000000" w:rsidDel="00000000" w:rsidP="00000000" w:rsidRDefault="00000000" w:rsidRPr="00000000" w14:paraId="0000028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Dado un proyecto satelital con al menos 10 requisitos y 15 parámetros asociados, cuando el usuario solicita la exportación del expediente, el sistema genera en menos de 2,0 segundos una matriz cruzada en formato CSV y PDF que vincula cada requisito con su regla de validación, estado de margen y última decisión técnica registrada.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8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Trazabilidad</w:t>
            </w:r>
            <w:r w:rsidDel="00000000" w:rsidR="00000000" w:rsidRPr="00000000">
              <w:rPr>
                <w:rtl w:val="0"/>
              </w:rPr>
            </w:r>
          </w:p>
        </w:tc>
        <w:tc>
          <w:tcPr/>
          <w:p w:rsidR="00000000" w:rsidDel="00000000" w:rsidP="00000000" w:rsidRDefault="00000000" w:rsidRPr="00000000" w14:paraId="0000028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ECSS-E-ST-10C; NASA SP-20230000806 Rev. 3; Plantilla oficial de especificación</w:t>
            </w:r>
            <w:r w:rsidDel="00000000" w:rsidR="00000000" w:rsidRPr="00000000">
              <w:rPr>
                <w:rtl w:val="0"/>
              </w:rPr>
            </w:r>
          </w:p>
        </w:tc>
      </w:tr>
    </w:tbl>
    <w:p w:rsidR="00000000" w:rsidDel="00000000" w:rsidP="00000000" w:rsidRDefault="00000000" w:rsidRPr="00000000" w14:paraId="00000285">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Requisitos No Funcionales Rigurosos</w:t>
      </w:r>
      <w:r w:rsidDel="00000000" w:rsidR="00000000" w:rsidRPr="00000000">
        <w:rPr>
          <w:rtl w:val="0"/>
        </w:rPr>
      </w:r>
    </w:p>
    <w:p w:rsidR="00000000" w:rsidDel="00000000" w:rsidP="00000000" w:rsidRDefault="00000000" w:rsidRPr="00000000" w14:paraId="00000286">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En estricto cumplimiento del marco reglamentario del Proyecto Integrador Final (Resolución Rectoral N.º 97/23, Art. 21.º), cada Requisito No Funcional erradica calificativos ambiguos e incorpora de manera explícita su magnitud cuantitativa, su unidad de medida y su condición objetiva de medición bajo formato de Ficha Técnica Individual (2 columnas × 6 filas):</w:t>
      </w:r>
      <w:r w:rsidDel="00000000" w:rsidR="00000000" w:rsidRPr="00000000">
        <w:rPr>
          <w:rtl w:val="0"/>
        </w:rPr>
      </w:r>
    </w:p>
    <w:p w:rsidR="00000000" w:rsidDel="00000000" w:rsidP="00000000" w:rsidRDefault="00000000" w:rsidRPr="00000000" w14:paraId="00000287">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Técnica · RNF-01: Rendimiento y Tiempos de Respuesta Computacional</w:t>
      </w:r>
      <w:r w:rsidDel="00000000" w:rsidR="00000000" w:rsidRPr="00000000">
        <w:rPr>
          <w:rtl w:val="0"/>
        </w:rPr>
      </w:r>
    </w:p>
    <w:tbl>
      <w:tblPr>
        <w:tblStyle w:val="Table27"/>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28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28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del Requisito No Funcional</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8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Identificador</w:t>
            </w:r>
            <w:r w:rsidDel="00000000" w:rsidR="00000000" w:rsidRPr="00000000">
              <w:rPr>
                <w:rtl w:val="0"/>
              </w:rPr>
            </w:r>
          </w:p>
        </w:tc>
        <w:tc>
          <w:tcPr/>
          <w:p w:rsidR="00000000" w:rsidDel="00000000" w:rsidP="00000000" w:rsidRDefault="00000000" w:rsidRPr="00000000" w14:paraId="0000028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RNF-01</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8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Categoría ISO/IEC 25010</w:t>
            </w:r>
            <w:r w:rsidDel="00000000" w:rsidR="00000000" w:rsidRPr="00000000">
              <w:rPr>
                <w:rtl w:val="0"/>
              </w:rPr>
            </w:r>
          </w:p>
        </w:tc>
        <w:tc>
          <w:tcPr/>
          <w:p w:rsidR="00000000" w:rsidDel="00000000" w:rsidP="00000000" w:rsidRDefault="00000000" w:rsidRPr="00000000" w14:paraId="0000028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Rendimiento</w:t>
            </w:r>
            <w:r w:rsidDel="00000000" w:rsidR="00000000" w:rsidRPr="00000000">
              <w:rPr>
                <w:rFonts w:ascii="Times New Roman" w:cs="Times New Roman" w:eastAsia="Times New Roman" w:hAnsi="Times New Roman"/>
                <w:b w:val="0"/>
                <w:bCs w:val="0"/>
                <w:i w:val="0"/>
                <w:iCs w:val="0"/>
                <w:color w:val="0f172a"/>
                <w:sz w:val="18"/>
                <w:szCs w:val="18"/>
                <w:rtl w:val="0"/>
              </w:rPr>
              <w:t xml:space="preserve"> · Tiempo de respuesta computacional</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8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Enunciado Riguroso</w:t>
            </w:r>
            <w:r w:rsidDel="00000000" w:rsidR="00000000" w:rsidRPr="00000000">
              <w:rPr>
                <w:rtl w:val="0"/>
              </w:rPr>
            </w:r>
          </w:p>
        </w:tc>
        <w:tc>
          <w:tcPr/>
          <w:p w:rsidR="00000000" w:rsidDel="00000000" w:rsidP="00000000" w:rsidRDefault="00000000" w:rsidRPr="00000000" w14:paraId="0000028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motor determinístico calcula el balance de potencia completo (período, eclipse, degradación EOL y profundidad de descarga DoD) y el agente adapta la respuesta en tiempos acotados.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9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Magnitud y Métrica</w:t>
            </w:r>
            <w:r w:rsidDel="00000000" w:rsidR="00000000" w:rsidRPr="00000000">
              <w:rPr>
                <w:rtl w:val="0"/>
              </w:rPr>
            </w:r>
          </w:p>
        </w:tc>
        <w:tc>
          <w:tcPr/>
          <w:p w:rsidR="00000000" w:rsidDel="00000000" w:rsidP="00000000" w:rsidRDefault="00000000" w:rsidRPr="00000000" w14:paraId="00000291">
            <w:pPr>
              <w:spacing w:after="20" w:before="20" w:line="252.00000000000003" w:lineRule="auto"/>
              <w:rPr/>
            </w:pPr>
            <w:r w:rsidDel="00000000" w:rsidR="00000000" w:rsidRPr="00000000">
              <w:rPr>
                <w:rFonts w:ascii="Gungsuh" w:cs="Gungsuh" w:eastAsia="Gungsuh" w:hAnsi="Gungsuh"/>
                <w:b w:val="0"/>
                <w:bCs w:val="0"/>
                <w:i w:val="0"/>
                <w:iCs w:val="0"/>
                <w:color w:val="0f172a"/>
                <w:sz w:val="18"/>
                <w:szCs w:val="18"/>
                <w:rtl w:val="0"/>
              </w:rPr>
              <w:t xml:space="preserve">≤ 1,5 s (balance de potencia completo); ≤ 2,5 s (adaptación conversacional de doble agente)</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9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Condición de Medición</w:t>
            </w:r>
            <w:r w:rsidDel="00000000" w:rsidR="00000000" w:rsidRPr="00000000">
              <w:rPr>
                <w:rtl w:val="0"/>
              </w:rPr>
            </w:r>
          </w:p>
        </w:tc>
        <w:tc>
          <w:tcPr/>
          <w:p w:rsidR="00000000" w:rsidDel="00000000" w:rsidP="00000000" w:rsidRDefault="00000000" w:rsidRPr="00000000" w14:paraId="0000029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Medición de tiempo de ejecución de CPU (</w:t>
            </w:r>
            <w:r w:rsidDel="00000000" w:rsidR="00000000" w:rsidRPr="00000000">
              <w:rPr>
                <w:rFonts w:ascii="Times New Roman" w:cs="Times New Roman" w:eastAsia="Times New Roman" w:hAnsi="Times New Roman"/>
                <w:b w:val="0"/>
                <w:bCs w:val="0"/>
                <w:i w:val="1"/>
                <w:iCs w:val="1"/>
                <w:color w:val="0f172a"/>
                <w:sz w:val="18"/>
                <w:szCs w:val="18"/>
                <w:rtl w:val="0"/>
              </w:rPr>
              <w:t xml:space="preserve">wall-clock time</w:t>
            </w:r>
            <w:r w:rsidDel="00000000" w:rsidR="00000000" w:rsidRPr="00000000">
              <w:rPr>
                <w:rFonts w:ascii="Times New Roman" w:cs="Times New Roman" w:eastAsia="Times New Roman" w:hAnsi="Times New Roman"/>
                <w:b w:val="0"/>
                <w:bCs w:val="0"/>
                <w:i w:val="0"/>
                <w:iCs w:val="0"/>
                <w:color w:val="0f172a"/>
                <w:sz w:val="18"/>
                <w:szCs w:val="18"/>
                <w:rtl w:val="0"/>
              </w:rPr>
              <w:t xml:space="preserve">) en entorno mononúcleo estándar de pruebas (CPU Intel i5 / 8 GB RAM) con una carga de hasta cincuenta (50) componentes acoplados al bus de potencia.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9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Prioridad MoSCoW</w:t>
            </w:r>
            <w:r w:rsidDel="00000000" w:rsidR="00000000" w:rsidRPr="00000000">
              <w:rPr>
                <w:rtl w:val="0"/>
              </w:rPr>
            </w:r>
          </w:p>
        </w:tc>
        <w:tc>
          <w:tcPr/>
          <w:p w:rsidR="00000000" w:rsidDel="00000000" w:rsidP="00000000" w:rsidRDefault="00000000" w:rsidRPr="00000000" w14:paraId="0000029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Must Have</w:t>
            </w:r>
            <w:r w:rsidDel="00000000" w:rsidR="00000000" w:rsidRPr="00000000">
              <w:rPr>
                <w:rtl w:val="0"/>
              </w:rPr>
            </w:r>
          </w:p>
        </w:tc>
      </w:tr>
    </w:tbl>
    <w:p w:rsidR="00000000" w:rsidDel="00000000" w:rsidP="00000000" w:rsidRDefault="00000000" w:rsidRPr="00000000" w14:paraId="00000296">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Técnica · RNF-02: Fiabilidad y Precisión de Cálculo Analítico</w:t>
      </w:r>
      <w:r w:rsidDel="00000000" w:rsidR="00000000" w:rsidRPr="00000000">
        <w:rPr>
          <w:rtl w:val="0"/>
        </w:rPr>
      </w:r>
    </w:p>
    <w:tbl>
      <w:tblPr>
        <w:tblStyle w:val="Table28"/>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2126"/>
        <w:gridCol w:w="2126"/>
        <w:gridCol w:w="2126"/>
        <w:gridCol w:w="2126"/>
        <w:tblGridChange w:id="0">
          <w:tblGrid>
            <w:gridCol w:w="2126"/>
            <w:gridCol w:w="2126"/>
            <w:gridCol w:w="2126"/>
            <w:gridCol w:w="2126"/>
          </w:tblGrid>
        </w:tblGridChange>
      </w:tblGrid>
      <w:tr>
        <w:trPr>
          <w:cantSplit w:val="1"/>
          <w:tblHeader w:val="1"/>
        </w:trPr>
        <w:tc>
          <w:tcPr>
            <w:shd w:fill="f1f5f9" w:val="clear"/>
          </w:tcPr>
          <w:p w:rsidR="00000000" w:rsidDel="00000000" w:rsidP="00000000" w:rsidRDefault="00000000" w:rsidRPr="00000000" w14:paraId="0000029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29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del Requisito No Funcional</w:t>
            </w:r>
            <w:r w:rsidDel="00000000" w:rsidR="00000000" w:rsidRPr="00000000">
              <w:rPr>
                <w:rtl w:val="0"/>
              </w:rPr>
            </w:r>
          </w:p>
        </w:tc>
        <w:tc>
          <w:tcPr>
            <w:shd w:fill="f1f5f9" w:val="clear"/>
          </w:tcPr>
          <w:p w:rsidR="00000000" w:rsidDel="00000000" w:rsidP="00000000" w:rsidRDefault="00000000" w:rsidRPr="00000000" w14:paraId="00000299">
            <w:pPr>
              <w:spacing w:after="20" w:before="20" w:line="252.00000000000003" w:lineRule="auto"/>
              <w:rPr/>
            </w:pPr>
            <w:r w:rsidDel="00000000" w:rsidR="00000000" w:rsidRPr="00000000">
              <w:rPr>
                <w:rtl w:val="0"/>
              </w:rPr>
            </w:r>
          </w:p>
        </w:tc>
        <w:tc>
          <w:tcPr>
            <w:shd w:fill="f1f5f9" w:val="clear"/>
          </w:tcPr>
          <w:p w:rsidR="00000000" w:rsidDel="00000000" w:rsidP="00000000" w:rsidRDefault="00000000" w:rsidRPr="00000000" w14:paraId="0000029A">
            <w:pPr>
              <w:spacing w:after="20" w:before="20" w:line="252.00000000000003" w:lineRule="auto"/>
              <w:rPr/>
            </w:pPr>
            <w:r w:rsidDel="00000000" w:rsidR="00000000" w:rsidRPr="00000000">
              <w:rPr>
                <w:rtl w:val="0"/>
              </w:rPr>
            </w:r>
          </w:p>
        </w:tc>
      </w:tr>
      <w:tr>
        <w:trPr>
          <w:cantSplit w:val="1"/>
          <w:tblHeader w:val="0"/>
        </w:trPr>
        <w:tc>
          <w:tcPr/>
          <w:p w:rsidR="00000000" w:rsidDel="00000000" w:rsidP="00000000" w:rsidRDefault="00000000" w:rsidRPr="00000000" w14:paraId="0000029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Identificador</w:t>
            </w:r>
            <w:r w:rsidDel="00000000" w:rsidR="00000000" w:rsidRPr="00000000">
              <w:rPr>
                <w:rtl w:val="0"/>
              </w:rPr>
            </w:r>
          </w:p>
        </w:tc>
        <w:tc>
          <w:tcPr/>
          <w:p w:rsidR="00000000" w:rsidDel="00000000" w:rsidP="00000000" w:rsidRDefault="00000000" w:rsidRPr="00000000" w14:paraId="0000029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RNF-02</w:t>
            </w:r>
            <w:r w:rsidDel="00000000" w:rsidR="00000000" w:rsidRPr="00000000">
              <w:rPr>
                <w:rtl w:val="0"/>
              </w:rPr>
            </w:r>
          </w:p>
        </w:tc>
        <w:tc>
          <w:tcPr/>
          <w:p w:rsidR="00000000" w:rsidDel="00000000" w:rsidP="00000000" w:rsidRDefault="00000000" w:rsidRPr="00000000" w14:paraId="0000029D">
            <w:pPr>
              <w:spacing w:after="20" w:before="20" w:line="252.00000000000003" w:lineRule="auto"/>
              <w:rPr/>
            </w:pPr>
            <w:r w:rsidDel="00000000" w:rsidR="00000000" w:rsidRPr="00000000">
              <w:rPr>
                <w:rtl w:val="0"/>
              </w:rPr>
            </w:r>
          </w:p>
        </w:tc>
        <w:tc>
          <w:tcPr/>
          <w:p w:rsidR="00000000" w:rsidDel="00000000" w:rsidP="00000000" w:rsidRDefault="00000000" w:rsidRPr="00000000" w14:paraId="0000029E">
            <w:pPr>
              <w:spacing w:after="20" w:before="20" w:line="252.00000000000003" w:lineRule="auto"/>
              <w:rPr/>
            </w:pPr>
            <w:r w:rsidDel="00000000" w:rsidR="00000000" w:rsidRPr="00000000">
              <w:rPr>
                <w:rtl w:val="0"/>
              </w:rPr>
            </w:r>
          </w:p>
        </w:tc>
      </w:tr>
      <w:tr>
        <w:trPr>
          <w:cantSplit w:val="1"/>
          <w:tblHeader w:val="0"/>
        </w:trPr>
        <w:tc>
          <w:tcPr/>
          <w:p w:rsidR="00000000" w:rsidDel="00000000" w:rsidP="00000000" w:rsidRDefault="00000000" w:rsidRPr="00000000" w14:paraId="0000029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Categoría ISO/IEC 25010</w:t>
            </w:r>
            <w:r w:rsidDel="00000000" w:rsidR="00000000" w:rsidRPr="00000000">
              <w:rPr>
                <w:rtl w:val="0"/>
              </w:rPr>
            </w:r>
          </w:p>
        </w:tc>
        <w:tc>
          <w:tcPr/>
          <w:p w:rsidR="00000000" w:rsidDel="00000000" w:rsidP="00000000" w:rsidRDefault="00000000" w:rsidRPr="00000000" w14:paraId="000002A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Fiabilidad</w:t>
            </w:r>
            <w:r w:rsidDel="00000000" w:rsidR="00000000" w:rsidRPr="00000000">
              <w:rPr>
                <w:rFonts w:ascii="Times New Roman" w:cs="Times New Roman" w:eastAsia="Times New Roman" w:hAnsi="Times New Roman"/>
                <w:b w:val="0"/>
                <w:bCs w:val="0"/>
                <w:i w:val="0"/>
                <w:iCs w:val="0"/>
                <w:color w:val="0f172a"/>
                <w:sz w:val="18"/>
                <w:szCs w:val="18"/>
                <w:rtl w:val="0"/>
              </w:rPr>
              <w:t xml:space="preserve"> · Precisión de cálculo analítico</w:t>
            </w:r>
            <w:r w:rsidDel="00000000" w:rsidR="00000000" w:rsidRPr="00000000">
              <w:rPr>
                <w:rtl w:val="0"/>
              </w:rPr>
            </w:r>
          </w:p>
        </w:tc>
        <w:tc>
          <w:tcPr/>
          <w:p w:rsidR="00000000" w:rsidDel="00000000" w:rsidP="00000000" w:rsidRDefault="00000000" w:rsidRPr="00000000" w14:paraId="000002A1">
            <w:pPr>
              <w:spacing w:after="20" w:before="20" w:line="252.00000000000003" w:lineRule="auto"/>
              <w:rPr/>
            </w:pPr>
            <w:r w:rsidDel="00000000" w:rsidR="00000000" w:rsidRPr="00000000">
              <w:rPr>
                <w:rtl w:val="0"/>
              </w:rPr>
            </w:r>
          </w:p>
        </w:tc>
        <w:tc>
          <w:tcPr/>
          <w:p w:rsidR="00000000" w:rsidDel="00000000" w:rsidP="00000000" w:rsidRDefault="00000000" w:rsidRPr="00000000" w14:paraId="000002A2">
            <w:pPr>
              <w:spacing w:after="20" w:before="20" w:line="252.00000000000003" w:lineRule="auto"/>
              <w:rPr/>
            </w:pPr>
            <w:r w:rsidDel="00000000" w:rsidR="00000000" w:rsidRPr="00000000">
              <w:rPr>
                <w:rtl w:val="0"/>
              </w:rPr>
            </w:r>
          </w:p>
        </w:tc>
      </w:tr>
      <w:tr>
        <w:trPr>
          <w:cantSplit w:val="1"/>
          <w:tblHeader w:val="0"/>
        </w:trPr>
        <w:tc>
          <w:tcPr/>
          <w:p w:rsidR="00000000" w:rsidDel="00000000" w:rsidP="00000000" w:rsidRDefault="00000000" w:rsidRPr="00000000" w14:paraId="000002A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Enunciado Riguroso</w:t>
            </w:r>
            <w:r w:rsidDel="00000000" w:rsidR="00000000" w:rsidRPr="00000000">
              <w:rPr>
                <w:rtl w:val="0"/>
              </w:rPr>
            </w:r>
          </w:p>
        </w:tc>
        <w:tc>
          <w:tcPr/>
          <w:p w:rsidR="00000000" w:rsidDel="00000000" w:rsidP="00000000" w:rsidRDefault="00000000" w:rsidRPr="00000000" w14:paraId="000002A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Los algoritmos analíticos de derivación de eclipse y balance de energía no exceden el margen de tolerancia frente a las soluciones analíticas de referencia de la literatura espacial.</w:t>
            </w:r>
            <w:r w:rsidDel="00000000" w:rsidR="00000000" w:rsidRPr="00000000">
              <w:rPr>
                <w:rtl w:val="0"/>
              </w:rPr>
            </w:r>
          </w:p>
        </w:tc>
        <w:tc>
          <w:tcPr/>
          <w:p w:rsidR="00000000" w:rsidDel="00000000" w:rsidP="00000000" w:rsidRDefault="00000000" w:rsidRPr="00000000" w14:paraId="000002A5">
            <w:pPr>
              <w:spacing w:after="20" w:before="20" w:line="252.00000000000003" w:lineRule="auto"/>
              <w:rPr/>
            </w:pPr>
            <w:r w:rsidDel="00000000" w:rsidR="00000000" w:rsidRPr="00000000">
              <w:rPr>
                <w:rtl w:val="0"/>
              </w:rPr>
            </w:r>
          </w:p>
        </w:tc>
        <w:tc>
          <w:tcPr/>
          <w:p w:rsidR="00000000" w:rsidDel="00000000" w:rsidP="00000000" w:rsidRDefault="00000000" w:rsidRPr="00000000" w14:paraId="000002A6">
            <w:pPr>
              <w:spacing w:after="20" w:before="20" w:line="252.00000000000003" w:lineRule="auto"/>
              <w:rPr/>
            </w:pPr>
            <w:r w:rsidDel="00000000" w:rsidR="00000000" w:rsidRPr="00000000">
              <w:rPr>
                <w:rtl w:val="0"/>
              </w:rPr>
            </w:r>
          </w:p>
        </w:tc>
      </w:tr>
      <w:tr>
        <w:trPr>
          <w:cantSplit w:val="1"/>
          <w:tblHeader w:val="0"/>
        </w:trPr>
        <w:tc>
          <w:tcPr/>
          <w:p w:rsidR="00000000" w:rsidDel="00000000" w:rsidP="00000000" w:rsidRDefault="00000000" w:rsidRPr="00000000" w14:paraId="000002A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Magnitud y Métrica</w:t>
            </w:r>
            <w:r w:rsidDel="00000000" w:rsidR="00000000" w:rsidRPr="00000000">
              <w:rPr>
                <w:rtl w:val="0"/>
              </w:rPr>
            </w:r>
          </w:p>
        </w:tc>
        <w:tc>
          <w:tcPr/>
          <w:p w:rsidR="00000000" w:rsidDel="00000000" w:rsidP="00000000" w:rsidRDefault="00000000" w:rsidRPr="00000000" w14:paraId="000002A8">
            <w:pPr>
              <w:spacing w:after="20" w:before="20" w:line="252.00000000000003" w:lineRule="auto"/>
              <w:rPr/>
            </w:pPr>
            <w:r w:rsidDel="00000000" w:rsidR="00000000" w:rsidRPr="00000000">
              <w:rPr>
                <w:rFonts w:ascii="Gungsuh" w:cs="Gungsuh" w:eastAsia="Gungsuh" w:hAnsi="Gungsuh"/>
                <w:b w:val="0"/>
                <w:bCs w:val="0"/>
                <w:i w:val="0"/>
                <w:iCs w:val="0"/>
                <w:color w:val="0f172a"/>
                <w:sz w:val="18"/>
                <w:szCs w:val="18"/>
                <w:rtl w:val="0"/>
              </w:rPr>
              <w:t xml:space="preserve">≤ 1,0 % de error relativo</w:t>
            </w:r>
            <w:r w:rsidDel="00000000" w:rsidR="00000000" w:rsidRPr="00000000">
              <w:rPr>
                <w:rtl w:val="0"/>
              </w:rPr>
            </w:r>
          </w:p>
        </w:tc>
        <w:tc>
          <w:tcPr/>
          <w:p w:rsidR="00000000" w:rsidDel="00000000" w:rsidP="00000000" w:rsidRDefault="00000000" w:rsidRPr="00000000" w14:paraId="000002A9">
            <w:pPr>
              <w:spacing w:after="20" w:before="20" w:line="252.00000000000003" w:lineRule="auto"/>
              <w:rPr/>
            </w:pPr>
            <w:r w:rsidDel="00000000" w:rsidR="00000000" w:rsidRPr="00000000">
              <w:rPr>
                <w:rtl w:val="0"/>
              </w:rPr>
            </w:r>
          </w:p>
        </w:tc>
        <w:tc>
          <w:tcPr/>
          <w:p w:rsidR="00000000" w:rsidDel="00000000" w:rsidP="00000000" w:rsidRDefault="00000000" w:rsidRPr="00000000" w14:paraId="000002AA">
            <w:pPr>
              <w:spacing w:after="20" w:before="20" w:line="252.00000000000003" w:lineRule="auto"/>
              <w:rPr/>
            </w:pPr>
            <w:r w:rsidDel="00000000" w:rsidR="00000000" w:rsidRPr="00000000">
              <w:rPr>
                <w:rtl w:val="0"/>
              </w:rPr>
            </w:r>
          </w:p>
        </w:tc>
      </w:tr>
      <w:tr>
        <w:trPr>
          <w:cantSplit w:val="1"/>
          <w:tblHeader w:val="0"/>
        </w:trPr>
        <w:tc>
          <w:tcPr/>
          <w:p w:rsidR="00000000" w:rsidDel="00000000" w:rsidP="00000000" w:rsidRDefault="00000000" w:rsidRPr="00000000" w14:paraId="000002A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Condición de Medición</w:t>
            </w:r>
            <w:r w:rsidDel="00000000" w:rsidR="00000000" w:rsidRPr="00000000">
              <w:rPr>
                <w:rtl w:val="0"/>
              </w:rPr>
            </w:r>
          </w:p>
        </w:tc>
        <w:tc>
          <w:tcPr/>
          <w:p w:rsidR="00000000" w:rsidDel="00000000" w:rsidP="00000000" w:rsidRDefault="00000000" w:rsidRPr="00000000" w14:paraId="000002A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Discrepancia matemática porcentual \</w:t>
            </w:r>
            <w:r w:rsidDel="00000000" w:rsidR="00000000" w:rsidRPr="00000000">
              <w:rPr>
                <w:rtl w:val="0"/>
              </w:rPr>
            </w:r>
          </w:p>
        </w:tc>
        <w:tc>
          <w:tcPr/>
          <w:p w:rsidR="00000000" w:rsidDel="00000000" w:rsidP="00000000" w:rsidRDefault="00000000" w:rsidRPr="00000000" w14:paraId="000002A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V_CODI - V_ref\</w:t>
            </w:r>
            <w:r w:rsidDel="00000000" w:rsidR="00000000" w:rsidRPr="00000000">
              <w:rPr>
                <w:rtl w:val="0"/>
              </w:rPr>
            </w:r>
          </w:p>
        </w:tc>
        <w:tc>
          <w:tcPr/>
          <w:p w:rsidR="00000000" w:rsidDel="00000000" w:rsidP="00000000" w:rsidRDefault="00000000" w:rsidRPr="00000000" w14:paraId="000002A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 V_ref × 100 contrastada contra los casos de prueba de referencia de New SMAD (Wertz et al., 2011) y ECSS-E-ST-20C en las mismas condiciones orbitales.</w:t>
            </w:r>
            <w:r w:rsidDel="00000000" w:rsidR="00000000" w:rsidRPr="00000000">
              <w:rPr>
                <w:rtl w:val="0"/>
              </w:rPr>
            </w:r>
          </w:p>
        </w:tc>
      </w:tr>
      <w:tr>
        <w:trPr>
          <w:cantSplit w:val="1"/>
          <w:tblHeader w:val="0"/>
        </w:trPr>
        <w:tc>
          <w:tcPr/>
          <w:p w:rsidR="00000000" w:rsidDel="00000000" w:rsidP="00000000" w:rsidRDefault="00000000" w:rsidRPr="00000000" w14:paraId="000002A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Prioridad MoSCoW</w:t>
            </w:r>
            <w:r w:rsidDel="00000000" w:rsidR="00000000" w:rsidRPr="00000000">
              <w:rPr>
                <w:rtl w:val="0"/>
              </w:rPr>
            </w:r>
          </w:p>
        </w:tc>
        <w:tc>
          <w:tcPr/>
          <w:p w:rsidR="00000000" w:rsidDel="00000000" w:rsidP="00000000" w:rsidRDefault="00000000" w:rsidRPr="00000000" w14:paraId="000002B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Must Have</w:t>
            </w:r>
            <w:r w:rsidDel="00000000" w:rsidR="00000000" w:rsidRPr="00000000">
              <w:rPr>
                <w:rtl w:val="0"/>
              </w:rPr>
            </w:r>
          </w:p>
        </w:tc>
        <w:tc>
          <w:tcPr/>
          <w:p w:rsidR="00000000" w:rsidDel="00000000" w:rsidP="00000000" w:rsidRDefault="00000000" w:rsidRPr="00000000" w14:paraId="000002B1">
            <w:pPr>
              <w:spacing w:after="20" w:before="20" w:line="252.00000000000003" w:lineRule="auto"/>
              <w:rPr/>
            </w:pPr>
            <w:r w:rsidDel="00000000" w:rsidR="00000000" w:rsidRPr="00000000">
              <w:rPr>
                <w:rtl w:val="0"/>
              </w:rPr>
            </w:r>
          </w:p>
        </w:tc>
        <w:tc>
          <w:tcPr/>
          <w:p w:rsidR="00000000" w:rsidDel="00000000" w:rsidP="00000000" w:rsidRDefault="00000000" w:rsidRPr="00000000" w14:paraId="000002B2">
            <w:pPr>
              <w:spacing w:after="20" w:before="20" w:line="252.00000000000003" w:lineRule="auto"/>
              <w:rPr/>
            </w:pPr>
            <w:r w:rsidDel="00000000" w:rsidR="00000000" w:rsidRPr="00000000">
              <w:rPr>
                <w:rtl w:val="0"/>
              </w:rPr>
            </w:r>
          </w:p>
        </w:tc>
      </w:tr>
    </w:tbl>
    <w:p w:rsidR="00000000" w:rsidDel="00000000" w:rsidP="00000000" w:rsidRDefault="00000000" w:rsidRPr="00000000" w14:paraId="000002B3">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Técnica · RNF-03: Usabilidad, Eficacia y Reducción de Sobrecarga Mental</w:t>
      </w:r>
      <w:r w:rsidDel="00000000" w:rsidR="00000000" w:rsidRPr="00000000">
        <w:rPr>
          <w:rtl w:val="0"/>
        </w:rPr>
      </w:r>
    </w:p>
    <w:tbl>
      <w:tblPr>
        <w:tblStyle w:val="Table29"/>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2B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2B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del Requisito No Funcional</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B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Identificador</w:t>
            </w:r>
            <w:r w:rsidDel="00000000" w:rsidR="00000000" w:rsidRPr="00000000">
              <w:rPr>
                <w:rtl w:val="0"/>
              </w:rPr>
            </w:r>
          </w:p>
        </w:tc>
        <w:tc>
          <w:tcPr/>
          <w:p w:rsidR="00000000" w:rsidDel="00000000" w:rsidP="00000000" w:rsidRDefault="00000000" w:rsidRPr="00000000" w14:paraId="000002B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RNF-03</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B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Categoría ISO/IEC 25010</w:t>
            </w:r>
            <w:r w:rsidDel="00000000" w:rsidR="00000000" w:rsidRPr="00000000">
              <w:rPr>
                <w:rtl w:val="0"/>
              </w:rPr>
            </w:r>
          </w:p>
        </w:tc>
        <w:tc>
          <w:tcPr/>
          <w:p w:rsidR="00000000" w:rsidDel="00000000" w:rsidP="00000000" w:rsidRDefault="00000000" w:rsidRPr="00000000" w14:paraId="000002B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Usabilidad</w:t>
            </w:r>
            <w:r w:rsidDel="00000000" w:rsidR="00000000" w:rsidRPr="00000000">
              <w:rPr>
                <w:rFonts w:ascii="Times New Roman" w:cs="Times New Roman" w:eastAsia="Times New Roman" w:hAnsi="Times New Roman"/>
                <w:b w:val="0"/>
                <w:bCs w:val="0"/>
                <w:i w:val="0"/>
                <w:iCs w:val="0"/>
                <w:color w:val="0f172a"/>
                <w:sz w:val="18"/>
                <w:szCs w:val="18"/>
                <w:rtl w:val="0"/>
              </w:rPr>
              <w:t xml:space="preserve"> · Eficacia y reducción de carga de trabajo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B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Enunciado Riguroso</w:t>
            </w:r>
            <w:r w:rsidDel="00000000" w:rsidR="00000000" w:rsidRPr="00000000">
              <w:rPr>
                <w:rtl w:val="0"/>
              </w:rPr>
            </w:r>
          </w:p>
        </w:tc>
        <w:tc>
          <w:tcPr/>
          <w:p w:rsidR="00000000" w:rsidDel="00000000" w:rsidP="00000000" w:rsidRDefault="00000000" w:rsidRPr="00000000" w14:paraId="000002B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sistema reduce la demanda de esfuerzo mental del operador en tareas de verificación de interfaces y alcanza un puntaje satisfactorio en usabilidad estandarizada.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B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Magnitud y Métrica</w:t>
            </w:r>
            <w:r w:rsidDel="00000000" w:rsidR="00000000" w:rsidRPr="00000000">
              <w:rPr>
                <w:rtl w:val="0"/>
              </w:rPr>
            </w:r>
          </w:p>
        </w:tc>
        <w:tc>
          <w:tcPr/>
          <w:p w:rsidR="00000000" w:rsidDel="00000000" w:rsidP="00000000" w:rsidRDefault="00000000" w:rsidRPr="00000000" w14:paraId="000002BD">
            <w:pPr>
              <w:spacing w:after="20" w:before="20" w:line="252.00000000000003" w:lineRule="auto"/>
              <w:rPr/>
            </w:pPr>
            <w:r w:rsidDel="00000000" w:rsidR="00000000" w:rsidRPr="00000000">
              <w:rPr>
                <w:rFonts w:ascii="Gungsuh" w:cs="Gungsuh" w:eastAsia="Gungsuh" w:hAnsi="Gungsuh"/>
                <w:b w:val="0"/>
                <w:bCs w:val="0"/>
                <w:i w:val="0"/>
                <w:iCs w:val="0"/>
                <w:color w:val="0f172a"/>
                <w:sz w:val="18"/>
                <w:szCs w:val="18"/>
                <w:rtl w:val="0"/>
              </w:rPr>
              <w:t xml:space="preserve">Reducción ≥ 15 puntos en escala global NASA-TLX; Puntaje SUS ≥ 75 puntos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B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Condición de Medición</w:t>
            </w:r>
            <w:r w:rsidDel="00000000" w:rsidR="00000000" w:rsidRPr="00000000">
              <w:rPr>
                <w:rtl w:val="0"/>
              </w:rPr>
            </w:r>
          </w:p>
        </w:tc>
        <w:tc>
          <w:tcPr/>
          <w:p w:rsidR="00000000" w:rsidDel="00000000" w:rsidP="00000000" w:rsidRDefault="00000000" w:rsidRPr="00000000" w14:paraId="000002B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Comparación pre y post-intervención sobre muestra de diez (10) tareas complejas de balance de potencia: reducción media en escala NASA-TLX [0, 100] y evaluación del System Usability Scale (SUS) al finalizar las sesiones.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C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Prioridad MoSCoW</w:t>
            </w:r>
            <w:r w:rsidDel="00000000" w:rsidR="00000000" w:rsidRPr="00000000">
              <w:rPr>
                <w:rtl w:val="0"/>
              </w:rPr>
            </w:r>
          </w:p>
        </w:tc>
        <w:tc>
          <w:tcPr/>
          <w:p w:rsidR="00000000" w:rsidDel="00000000" w:rsidP="00000000" w:rsidRDefault="00000000" w:rsidRPr="00000000" w14:paraId="000002C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Must Have</w:t>
            </w:r>
            <w:r w:rsidDel="00000000" w:rsidR="00000000" w:rsidRPr="00000000">
              <w:rPr>
                <w:rtl w:val="0"/>
              </w:rPr>
            </w:r>
          </w:p>
        </w:tc>
      </w:tr>
    </w:tbl>
    <w:p w:rsidR="00000000" w:rsidDel="00000000" w:rsidP="00000000" w:rsidRDefault="00000000" w:rsidRPr="00000000" w14:paraId="000002C2">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Técnica · RNF-04: Portabilidad, Contenerización e Independencia de Plataforma</w:t>
      </w:r>
      <w:r w:rsidDel="00000000" w:rsidR="00000000" w:rsidRPr="00000000">
        <w:rPr>
          <w:rtl w:val="0"/>
        </w:rPr>
      </w:r>
    </w:p>
    <w:tbl>
      <w:tblPr>
        <w:tblStyle w:val="Table30"/>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2C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2C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del Requisito No Funcional</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C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Identificador</w:t>
            </w:r>
            <w:r w:rsidDel="00000000" w:rsidR="00000000" w:rsidRPr="00000000">
              <w:rPr>
                <w:rtl w:val="0"/>
              </w:rPr>
            </w:r>
          </w:p>
        </w:tc>
        <w:tc>
          <w:tcPr/>
          <w:p w:rsidR="00000000" w:rsidDel="00000000" w:rsidP="00000000" w:rsidRDefault="00000000" w:rsidRPr="00000000" w14:paraId="000002C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RNF-04</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C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Categoría ISO/IEC 25010</w:t>
            </w:r>
            <w:r w:rsidDel="00000000" w:rsidR="00000000" w:rsidRPr="00000000">
              <w:rPr>
                <w:rtl w:val="0"/>
              </w:rPr>
            </w:r>
          </w:p>
        </w:tc>
        <w:tc>
          <w:tcPr/>
          <w:p w:rsidR="00000000" w:rsidDel="00000000" w:rsidP="00000000" w:rsidRDefault="00000000" w:rsidRPr="00000000" w14:paraId="000002C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Portabilidad</w:t>
            </w:r>
            <w:r w:rsidDel="00000000" w:rsidR="00000000" w:rsidRPr="00000000">
              <w:rPr>
                <w:rFonts w:ascii="Times New Roman" w:cs="Times New Roman" w:eastAsia="Times New Roman" w:hAnsi="Times New Roman"/>
                <w:b w:val="0"/>
                <w:bCs w:val="0"/>
                <w:i w:val="0"/>
                <w:iCs w:val="0"/>
                <w:color w:val="0f172a"/>
                <w:sz w:val="18"/>
                <w:szCs w:val="18"/>
                <w:rtl w:val="0"/>
              </w:rPr>
              <w:t xml:space="preserve"> · Despliegue e independencia de plataforma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C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Enunciado Riguroso</w:t>
            </w:r>
            <w:r w:rsidDel="00000000" w:rsidR="00000000" w:rsidRPr="00000000">
              <w:rPr>
                <w:rtl w:val="0"/>
              </w:rPr>
            </w:r>
          </w:p>
        </w:tc>
        <w:tc>
          <w:tcPr/>
          <w:p w:rsidR="00000000" w:rsidDel="00000000" w:rsidP="00000000" w:rsidRDefault="00000000" w:rsidRPr="00000000" w14:paraId="000002C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sistema se ejecuta de manera autocontenida en contenedores de software multiplataforma sin depender de librerías propietarias o licencias comerciales pagas.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C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Magnitud y Métrica</w:t>
            </w:r>
            <w:r w:rsidDel="00000000" w:rsidR="00000000" w:rsidRPr="00000000">
              <w:rPr>
                <w:rtl w:val="0"/>
              </w:rPr>
            </w:r>
          </w:p>
        </w:tc>
        <w:tc>
          <w:tcPr/>
          <w:p w:rsidR="00000000" w:rsidDel="00000000" w:rsidP="00000000" w:rsidRDefault="00000000" w:rsidRPr="00000000" w14:paraId="000002CC">
            <w:pPr>
              <w:spacing w:after="20" w:before="20" w:line="252.00000000000003" w:lineRule="auto"/>
              <w:rPr/>
            </w:pPr>
            <w:r w:rsidDel="00000000" w:rsidR="00000000" w:rsidRPr="00000000">
              <w:rPr>
                <w:rFonts w:ascii="Gungsuh" w:cs="Gungsuh" w:eastAsia="Gungsuh" w:hAnsi="Gungsuh"/>
                <w:b w:val="0"/>
                <w:bCs w:val="0"/>
                <w:i w:val="0"/>
                <w:iCs w:val="0"/>
                <w:color w:val="0f172a"/>
                <w:sz w:val="18"/>
                <w:szCs w:val="18"/>
                <w:rtl w:val="0"/>
              </w:rPr>
              <w:t xml:space="preserve">Consumo RAM ≤ 2048 MB; 0 licencias comerciales propietarias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C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Condición de Medición</w:t>
            </w:r>
            <w:r w:rsidDel="00000000" w:rsidR="00000000" w:rsidRPr="00000000">
              <w:rPr>
                <w:rtl w:val="0"/>
              </w:rPr>
            </w:r>
          </w:p>
        </w:tc>
        <w:tc>
          <w:tcPr/>
          <w:p w:rsidR="00000000" w:rsidDel="00000000" w:rsidP="00000000" w:rsidRDefault="00000000" w:rsidRPr="00000000" w14:paraId="000002C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Despliegue en contenedor Docker estándar sobre sistemas operativos Linux (Ubuntu 22.04 LTS) y Windows 11; verificación de arranque en máquina limpia sin conexión a internet y monitoreo de memoria residente.</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C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Prioridad MoSCoW</w:t>
            </w:r>
            <w:r w:rsidDel="00000000" w:rsidR="00000000" w:rsidRPr="00000000">
              <w:rPr>
                <w:rtl w:val="0"/>
              </w:rPr>
            </w:r>
          </w:p>
        </w:tc>
        <w:tc>
          <w:tcPr/>
          <w:p w:rsidR="00000000" w:rsidDel="00000000" w:rsidP="00000000" w:rsidRDefault="00000000" w:rsidRPr="00000000" w14:paraId="000002D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Must Have</w:t>
            </w:r>
            <w:r w:rsidDel="00000000" w:rsidR="00000000" w:rsidRPr="00000000">
              <w:rPr>
                <w:rtl w:val="0"/>
              </w:rPr>
            </w:r>
          </w:p>
        </w:tc>
      </w:tr>
    </w:tbl>
    <w:p w:rsidR="00000000" w:rsidDel="00000000" w:rsidP="00000000" w:rsidRDefault="00000000" w:rsidRPr="00000000" w14:paraId="000002D1">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Técnica · RNF-05: Seguridad, Integridad y No Repudio de la Memoria Técnica</w:t>
      </w:r>
      <w:r w:rsidDel="00000000" w:rsidR="00000000" w:rsidRPr="00000000">
        <w:rPr>
          <w:rtl w:val="0"/>
        </w:rPr>
      </w:r>
    </w:p>
    <w:tbl>
      <w:tblPr>
        <w:tblStyle w:val="Table31"/>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2D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2D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del Requisito No Funcional</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D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Identificador</w:t>
            </w:r>
            <w:r w:rsidDel="00000000" w:rsidR="00000000" w:rsidRPr="00000000">
              <w:rPr>
                <w:rtl w:val="0"/>
              </w:rPr>
            </w:r>
          </w:p>
        </w:tc>
        <w:tc>
          <w:tcPr/>
          <w:p w:rsidR="00000000" w:rsidDel="00000000" w:rsidP="00000000" w:rsidRDefault="00000000" w:rsidRPr="00000000" w14:paraId="000002D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RNF-05</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D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Categoría ISO/IEC 25010</w:t>
            </w:r>
            <w:r w:rsidDel="00000000" w:rsidR="00000000" w:rsidRPr="00000000">
              <w:rPr>
                <w:rtl w:val="0"/>
              </w:rPr>
            </w:r>
          </w:p>
        </w:tc>
        <w:tc>
          <w:tcPr/>
          <w:p w:rsidR="00000000" w:rsidDel="00000000" w:rsidP="00000000" w:rsidRDefault="00000000" w:rsidRPr="00000000" w14:paraId="000002D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Seguridad</w:t>
            </w:r>
            <w:r w:rsidDel="00000000" w:rsidR="00000000" w:rsidRPr="00000000">
              <w:rPr>
                <w:rFonts w:ascii="Times New Roman" w:cs="Times New Roman" w:eastAsia="Times New Roman" w:hAnsi="Times New Roman"/>
                <w:b w:val="0"/>
                <w:bCs w:val="0"/>
                <w:i w:val="0"/>
                <w:iCs w:val="0"/>
                <w:color w:val="0f172a"/>
                <w:sz w:val="18"/>
                <w:szCs w:val="18"/>
                <w:rtl w:val="0"/>
              </w:rPr>
              <w:t xml:space="preserve"> · Integridad y no repudio de la memoria técnica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D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Enunciado Riguroso</w:t>
            </w:r>
            <w:r w:rsidDel="00000000" w:rsidR="00000000" w:rsidRPr="00000000">
              <w:rPr>
                <w:rtl w:val="0"/>
              </w:rPr>
            </w:r>
          </w:p>
        </w:tc>
        <w:tc>
          <w:tcPr/>
          <w:p w:rsidR="00000000" w:rsidDel="00000000" w:rsidP="00000000" w:rsidRDefault="00000000" w:rsidRPr="00000000" w14:paraId="000002D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Cada registro asentado en el </w:t>
            </w:r>
            <w:r w:rsidDel="00000000" w:rsidR="00000000" w:rsidRPr="00000000">
              <w:rPr>
                <w:rFonts w:ascii="Consolas" w:cs="Consolas" w:eastAsia="Consolas" w:hAnsi="Consolas"/>
                <w:b w:val="0"/>
                <w:bCs w:val="0"/>
                <w:i w:val="0"/>
                <w:iCs w:val="0"/>
                <w:color w:val="334155"/>
                <w:sz w:val="15"/>
                <w:szCs w:val="15"/>
                <w:rtl w:val="0"/>
              </w:rPr>
              <w:t xml:space="preserve">DecisionLog</w:t>
            </w:r>
            <w:r w:rsidDel="00000000" w:rsidR="00000000" w:rsidRPr="00000000">
              <w:rPr>
                <w:rFonts w:ascii="Times New Roman" w:cs="Times New Roman" w:eastAsia="Times New Roman" w:hAnsi="Times New Roman"/>
                <w:b w:val="0"/>
                <w:bCs w:val="0"/>
                <w:i w:val="0"/>
                <w:iCs w:val="0"/>
                <w:color w:val="0f172a"/>
                <w:sz w:val="18"/>
                <w:szCs w:val="18"/>
                <w:rtl w:val="0"/>
              </w:rPr>
              <w:t xml:space="preserve"> posee firma criptográfica inmutable vinculada al </w:t>
            </w:r>
            <w:r w:rsidDel="00000000" w:rsidR="00000000" w:rsidRPr="00000000">
              <w:rPr>
                <w:rFonts w:ascii="Consolas" w:cs="Consolas" w:eastAsia="Consolas" w:hAnsi="Consolas"/>
                <w:b w:val="0"/>
                <w:bCs w:val="0"/>
                <w:i w:val="0"/>
                <w:iCs w:val="0"/>
                <w:color w:val="334155"/>
                <w:sz w:val="15"/>
                <w:szCs w:val="15"/>
                <w:rtl w:val="0"/>
              </w:rPr>
              <w:t xml:space="preserve">PerfilIngeniero</w:t>
            </w:r>
            <w:r w:rsidDel="00000000" w:rsidR="00000000" w:rsidRPr="00000000">
              <w:rPr>
                <w:rFonts w:ascii="Times New Roman" w:cs="Times New Roman" w:eastAsia="Times New Roman" w:hAnsi="Times New Roman"/>
                <w:b w:val="0"/>
                <w:bCs w:val="0"/>
                <w:i w:val="0"/>
                <w:iCs w:val="0"/>
                <w:color w:val="0f172a"/>
                <w:sz w:val="18"/>
                <w:szCs w:val="18"/>
                <w:rtl w:val="0"/>
              </w:rPr>
              <w:t xml:space="preserve"> que garantiza la detección inmediata de manipulaciones no autorizadas.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D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Magnitud y Métrica</w:t>
            </w:r>
            <w:r w:rsidDel="00000000" w:rsidR="00000000" w:rsidRPr="00000000">
              <w:rPr>
                <w:rtl w:val="0"/>
              </w:rPr>
            </w:r>
          </w:p>
        </w:tc>
        <w:tc>
          <w:tcPr/>
          <w:p w:rsidR="00000000" w:rsidDel="00000000" w:rsidP="00000000" w:rsidRDefault="00000000" w:rsidRPr="00000000" w14:paraId="000002D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Integridad 100% auditable (algoritmo criptográfico SHA-256 de 256 bits)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D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Condición de Medición</w:t>
            </w:r>
            <w:r w:rsidDel="00000000" w:rsidR="00000000" w:rsidRPr="00000000">
              <w:rPr>
                <w:rtl w:val="0"/>
              </w:rPr>
            </w:r>
          </w:p>
        </w:tc>
        <w:tc>
          <w:tcPr/>
          <w:p w:rsidR="00000000" w:rsidDel="00000000" w:rsidP="00000000" w:rsidRDefault="00000000" w:rsidRPr="00000000" w14:paraId="000002D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Ejecución de prueba de integridad sobre la base de datos relacional: ante cualquier intento de edición manual directa de una tupla histórica, el sistema detecta la alteración del hash y emite alerta de corrupción de auditoría.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D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Prioridad MoSCoW</w:t>
            </w:r>
            <w:r w:rsidDel="00000000" w:rsidR="00000000" w:rsidRPr="00000000">
              <w:rPr>
                <w:rtl w:val="0"/>
              </w:rPr>
            </w:r>
          </w:p>
        </w:tc>
        <w:tc>
          <w:tcPr/>
          <w:p w:rsidR="00000000" w:rsidDel="00000000" w:rsidP="00000000" w:rsidRDefault="00000000" w:rsidRPr="00000000" w14:paraId="000002D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Must Have</w:t>
            </w:r>
            <w:r w:rsidDel="00000000" w:rsidR="00000000" w:rsidRPr="00000000">
              <w:rPr>
                <w:rtl w:val="0"/>
              </w:rPr>
            </w:r>
          </w:p>
        </w:tc>
      </w:tr>
    </w:tbl>
    <w:p w:rsidR="00000000" w:rsidDel="00000000" w:rsidP="00000000" w:rsidRDefault="00000000" w:rsidRPr="00000000" w14:paraId="000002E0">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Técnica · RNF-06: Cumplimiento y Adherencia a Normas Aeroespaciales</w:t>
      </w:r>
      <w:r w:rsidDel="00000000" w:rsidR="00000000" w:rsidRPr="00000000">
        <w:rPr>
          <w:rtl w:val="0"/>
        </w:rPr>
      </w:r>
    </w:p>
    <w:tbl>
      <w:tblPr>
        <w:tblStyle w:val="Table32"/>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2E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2E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del Requisito No Funcional</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E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Identificador</w:t>
            </w:r>
            <w:r w:rsidDel="00000000" w:rsidR="00000000" w:rsidRPr="00000000">
              <w:rPr>
                <w:rtl w:val="0"/>
              </w:rPr>
            </w:r>
          </w:p>
        </w:tc>
        <w:tc>
          <w:tcPr/>
          <w:p w:rsidR="00000000" w:rsidDel="00000000" w:rsidP="00000000" w:rsidRDefault="00000000" w:rsidRPr="00000000" w14:paraId="000002E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RNF-06</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E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Categoría ISO/IEC 25010</w:t>
            </w:r>
            <w:r w:rsidDel="00000000" w:rsidR="00000000" w:rsidRPr="00000000">
              <w:rPr>
                <w:rtl w:val="0"/>
              </w:rPr>
            </w:r>
          </w:p>
        </w:tc>
        <w:tc>
          <w:tcPr/>
          <w:p w:rsidR="00000000" w:rsidDel="00000000" w:rsidP="00000000" w:rsidRDefault="00000000" w:rsidRPr="00000000" w14:paraId="000002E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Cumplimiento</w:t>
            </w:r>
            <w:r w:rsidDel="00000000" w:rsidR="00000000" w:rsidRPr="00000000">
              <w:rPr>
                <w:rFonts w:ascii="Times New Roman" w:cs="Times New Roman" w:eastAsia="Times New Roman" w:hAnsi="Times New Roman"/>
                <w:b w:val="0"/>
                <w:bCs w:val="0"/>
                <w:i w:val="0"/>
                <w:iCs w:val="0"/>
                <w:color w:val="0f172a"/>
                <w:sz w:val="18"/>
                <w:szCs w:val="18"/>
                <w:rtl w:val="0"/>
              </w:rPr>
              <w:t xml:space="preserve"> · Adherencia a normas del dominio espacial</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E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Enunciado Riguroso</w:t>
            </w:r>
            <w:r w:rsidDel="00000000" w:rsidR="00000000" w:rsidRPr="00000000">
              <w:rPr>
                <w:rtl w:val="0"/>
              </w:rPr>
            </w:r>
          </w:p>
        </w:tc>
        <w:tc>
          <w:tcPr/>
          <w:p w:rsidR="00000000" w:rsidDel="00000000" w:rsidP="00000000" w:rsidRDefault="00000000" w:rsidRPr="00000000" w14:paraId="000002E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Todos los cálculos, márgenes de seguridad recomendados y factores de forma emitidos por el sistema se ajustan a las especificaciones sectoriales vigentes.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E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Magnitud y Métrica</w:t>
            </w:r>
            <w:r w:rsidDel="00000000" w:rsidR="00000000" w:rsidRPr="00000000">
              <w:rPr>
                <w:rtl w:val="0"/>
              </w:rPr>
            </w:r>
          </w:p>
        </w:tc>
        <w:tc>
          <w:tcPr/>
          <w:p w:rsidR="00000000" w:rsidDel="00000000" w:rsidP="00000000" w:rsidRDefault="00000000" w:rsidRPr="00000000" w14:paraId="000002E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100% de conformidad con estándares de diseño del sector espacial</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E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Condición de Medición</w:t>
            </w:r>
            <w:r w:rsidDel="00000000" w:rsidR="00000000" w:rsidRPr="00000000">
              <w:rPr>
                <w:rtl w:val="0"/>
              </w:rPr>
            </w:r>
          </w:p>
        </w:tc>
        <w:tc>
          <w:tcPr/>
          <w:p w:rsidR="00000000" w:rsidDel="00000000" w:rsidP="00000000" w:rsidRDefault="00000000" w:rsidRPr="00000000" w14:paraId="000002E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Auditoría cruzada de reglas de negocio contra las cláusulas normativas de ECSS-E-ST-20C Rev. 1 (márgenes EPS) y CubeSat Design Specification REV 14.1 (envolventes Cal Poly).</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E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Prioridad MoSCoW</w:t>
            </w:r>
            <w:r w:rsidDel="00000000" w:rsidR="00000000" w:rsidRPr="00000000">
              <w:rPr>
                <w:rtl w:val="0"/>
              </w:rPr>
            </w:r>
          </w:p>
        </w:tc>
        <w:tc>
          <w:tcPr/>
          <w:p w:rsidR="00000000" w:rsidDel="00000000" w:rsidP="00000000" w:rsidRDefault="00000000" w:rsidRPr="00000000" w14:paraId="000002E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Must Have</w:t>
            </w:r>
            <w:r w:rsidDel="00000000" w:rsidR="00000000" w:rsidRPr="00000000">
              <w:rPr>
                <w:rtl w:val="0"/>
              </w:rPr>
            </w:r>
          </w:p>
        </w:tc>
      </w:tr>
    </w:tbl>
    <w:p w:rsidR="00000000" w:rsidDel="00000000" w:rsidP="00000000" w:rsidRDefault="00000000" w:rsidRPr="00000000" w14:paraId="000002EF">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Nota. Elaboración propia sobre la plantilla oficial de especificación de requisitos (pág. 6-7), estándares ISO/IEC/IEEE 29148:2018 e ISO/IEC 25010.</w:t>
      </w:r>
      <w:r w:rsidDel="00000000" w:rsidR="00000000" w:rsidRPr="00000000">
        <w:rPr>
          <w:rtl w:val="0"/>
        </w:rPr>
      </w:r>
    </w:p>
    <w:p w:rsidR="00000000" w:rsidDel="00000000" w:rsidP="00000000" w:rsidRDefault="00000000" w:rsidRPr="00000000" w14:paraId="000002F0">
      <w:pPr>
        <w:pStyle w:val="Heading3"/>
        <w:keepNext w:val="1"/>
        <w:rPr/>
      </w:pPr>
      <w:r w:rsidDel="00000000" w:rsidR="00000000" w:rsidRPr="00000000">
        <w:rPr>
          <w:rFonts w:ascii="Cardo" w:cs="Cardo" w:eastAsia="Cardo" w:hAnsi="Cardo"/>
          <w:b w:val="1"/>
          <w:bCs w:val="1"/>
          <w:i w:val="0"/>
          <w:iCs w:val="0"/>
          <w:color w:val="0f172a"/>
          <w:sz w:val="24"/>
          <w:szCs w:val="24"/>
          <w:rtl w:val="0"/>
        </w:rPr>
        <w:t xml:space="preserve">Matriz de Trazabilidad Bidireccional (Hallazgos ↔ Requisitos)</w:t>
      </w:r>
      <w:r w:rsidDel="00000000" w:rsidR="00000000" w:rsidRPr="00000000">
        <w:rPr>
          <w:rtl w:val="0"/>
        </w:rPr>
      </w:r>
    </w:p>
    <w:p w:rsidR="00000000" w:rsidDel="00000000" w:rsidP="00000000" w:rsidRDefault="00000000" w:rsidRPr="00000000" w14:paraId="000002F1">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En cumplimiento de la pauta metodológica de verificación en doble vía, la siguiente especificación acredita que todo requisito formulado deriva de un hallazgo empírico validado en el relevamiento de los Capítulos I y II, formalizando cada vínculo mediante una </w:t>
      </w:r>
      <w:r w:rsidDel="00000000" w:rsidR="00000000" w:rsidRPr="00000000">
        <w:rPr>
          <w:rFonts w:ascii="Times New Roman" w:cs="Times New Roman" w:eastAsia="Times New Roman" w:hAnsi="Times New Roman"/>
          <w:b w:val="1"/>
          <w:bCs w:val="1"/>
          <w:i w:val="0"/>
          <w:iCs w:val="0"/>
          <w:color w:val="0f172a"/>
          <w:sz w:val="24"/>
          <w:szCs w:val="24"/>
          <w:rtl w:val="0"/>
        </w:rPr>
        <w:t xml:space="preserve">Ficha Técnica de Trazabilidad</w:t>
      </w:r>
      <w:r w:rsidDel="00000000" w:rsidR="00000000" w:rsidRPr="00000000">
        <w:rPr>
          <w:rFonts w:ascii="Times New Roman" w:cs="Times New Roman" w:eastAsia="Times New Roman" w:hAnsi="Times New Roman"/>
          <w:b w:val="0"/>
          <w:bCs w:val="0"/>
          <w:i w:val="0"/>
          <w:iCs w:val="0"/>
          <w:color w:val="0f172a"/>
          <w:sz w:val="24"/>
          <w:szCs w:val="24"/>
          <w:rtl w:val="0"/>
        </w:rPr>
        <w:t xml:space="preserve"> (estructura uniforme de 2 columnas × 4 filas):</w:t>
      </w:r>
      <w:r w:rsidDel="00000000" w:rsidR="00000000" w:rsidRPr="00000000">
        <w:rPr>
          <w:rtl w:val="0"/>
        </w:rPr>
      </w:r>
    </w:p>
    <w:p w:rsidR="00000000" w:rsidDel="00000000" w:rsidP="00000000" w:rsidRDefault="00000000" w:rsidRPr="00000000" w14:paraId="000002F2">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de Trazabilidad · H-01: Rotación Continua de Personal y Pérdida de Memoria Técnica</w:t>
      </w:r>
      <w:r w:rsidDel="00000000" w:rsidR="00000000" w:rsidRPr="00000000">
        <w:rPr>
          <w:rtl w:val="0"/>
        </w:rPr>
      </w:r>
    </w:p>
    <w:tbl>
      <w:tblPr>
        <w:tblStyle w:val="Table33"/>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2F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2F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Detalle de Trazabilidad Empírica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F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Código de Hallazgo</w:t>
            </w:r>
            <w:r w:rsidDel="00000000" w:rsidR="00000000" w:rsidRPr="00000000">
              <w:rPr>
                <w:rtl w:val="0"/>
              </w:rPr>
            </w:r>
          </w:p>
        </w:tc>
        <w:tc>
          <w:tcPr/>
          <w:p w:rsidR="00000000" w:rsidDel="00000000" w:rsidP="00000000" w:rsidRDefault="00000000" w:rsidRPr="00000000" w14:paraId="000002F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H-01</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F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Hallazgo del Relevamiento</w:t>
            </w:r>
            <w:r w:rsidDel="00000000" w:rsidR="00000000" w:rsidRPr="00000000">
              <w:rPr>
                <w:rtl w:val="0"/>
              </w:rPr>
            </w:r>
          </w:p>
        </w:tc>
        <w:tc>
          <w:tcPr/>
          <w:p w:rsidR="00000000" w:rsidDel="00000000" w:rsidP="00000000" w:rsidRDefault="00000000" w:rsidRPr="00000000" w14:paraId="000002F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Rotación continua de personal y pérdida de memoria técnica</w:t>
            </w:r>
            <w:r w:rsidDel="00000000" w:rsidR="00000000" w:rsidRPr="00000000">
              <w:rPr>
                <w:rFonts w:ascii="Times New Roman" w:cs="Times New Roman" w:eastAsia="Times New Roman" w:hAnsi="Times New Roman"/>
                <w:b w:val="0"/>
                <w:bCs w:val="0"/>
                <w:i w:val="0"/>
                <w:iCs w:val="0"/>
                <w:color w:val="0f172a"/>
                <w:sz w:val="18"/>
                <w:szCs w:val="18"/>
                <w:rtl w:val="0"/>
              </w:rPr>
              <w:t xml:space="preserve">: 10 a 60 becarios en el ciclo de vida del proyecto que transfieren parámetros de forma tácita en planillas sin asentar justificación, demandando de 30 a 45 días de superposición presencial (Capítulo I, Sec. I.3.1; Sonia Botta, 14/09/2026, Min 01:05:28 y 01:12:25).</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F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Requisito(s) Derivado(s)</w:t>
            </w:r>
            <w:r w:rsidDel="00000000" w:rsidR="00000000" w:rsidRPr="00000000">
              <w:rPr>
                <w:rtl w:val="0"/>
              </w:rPr>
            </w:r>
          </w:p>
        </w:tc>
        <w:tc>
          <w:tcPr/>
          <w:p w:rsidR="00000000" w:rsidDel="00000000" w:rsidP="00000000" w:rsidRDefault="00000000" w:rsidRPr="00000000" w14:paraId="000002F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RF-00</w:t>
            </w:r>
            <w:r w:rsidDel="00000000" w:rsidR="00000000" w:rsidRPr="00000000">
              <w:rPr>
                <w:rFonts w:ascii="Times New Roman" w:cs="Times New Roman" w:eastAsia="Times New Roman" w:hAnsi="Times New Roman"/>
                <w:b w:val="0"/>
                <w:bCs w:val="0"/>
                <w:i w:val="0"/>
                <w:iCs w:val="0"/>
                <w:color w:val="0f172a"/>
                <w:sz w:val="18"/>
                <w:szCs w:val="18"/>
                <w:rtl w:val="0"/>
              </w:rPr>
              <w:t xml:space="preserve">, </w:t>
            </w:r>
            <w:r w:rsidDel="00000000" w:rsidR="00000000" w:rsidRPr="00000000">
              <w:rPr>
                <w:rFonts w:ascii="Times New Roman" w:cs="Times New Roman" w:eastAsia="Times New Roman" w:hAnsi="Times New Roman"/>
                <w:b w:val="1"/>
                <w:bCs w:val="1"/>
                <w:i w:val="0"/>
                <w:iCs w:val="0"/>
                <w:color w:val="0f172a"/>
                <w:sz w:val="18"/>
                <w:szCs w:val="18"/>
                <w:rtl w:val="0"/>
              </w:rPr>
              <w:t xml:space="preserve">RF-06</w:t>
            </w:r>
            <w:r w:rsidDel="00000000" w:rsidR="00000000" w:rsidRPr="00000000">
              <w:rPr>
                <w:rFonts w:ascii="Times New Roman" w:cs="Times New Roman" w:eastAsia="Times New Roman" w:hAnsi="Times New Roman"/>
                <w:b w:val="0"/>
                <w:bCs w:val="0"/>
                <w:i w:val="0"/>
                <w:iCs w:val="0"/>
                <w:color w:val="0f172a"/>
                <w:sz w:val="18"/>
                <w:szCs w:val="18"/>
                <w:rtl w:val="0"/>
              </w:rPr>
              <w:t xml:space="preserve">, </w:t>
            </w:r>
            <w:r w:rsidDel="00000000" w:rsidR="00000000" w:rsidRPr="00000000">
              <w:rPr>
                <w:rFonts w:ascii="Times New Roman" w:cs="Times New Roman" w:eastAsia="Times New Roman" w:hAnsi="Times New Roman"/>
                <w:b w:val="1"/>
                <w:bCs w:val="1"/>
                <w:i w:val="0"/>
                <w:iCs w:val="0"/>
                <w:color w:val="0f172a"/>
                <w:sz w:val="18"/>
                <w:szCs w:val="18"/>
                <w:rtl w:val="0"/>
              </w:rPr>
              <w:t xml:space="preserve">RF-09</w:t>
            </w:r>
            <w:r w:rsidDel="00000000" w:rsidR="00000000" w:rsidRPr="00000000">
              <w:rPr>
                <w:rFonts w:ascii="Times New Roman" w:cs="Times New Roman" w:eastAsia="Times New Roman" w:hAnsi="Times New Roman"/>
                <w:b w:val="0"/>
                <w:bCs w:val="0"/>
                <w:i w:val="0"/>
                <w:iCs w:val="0"/>
                <w:color w:val="0f172a"/>
                <w:sz w:val="18"/>
                <w:szCs w:val="18"/>
                <w:rtl w:val="0"/>
              </w:rPr>
              <w:t xml:space="preserve">, </w:t>
            </w:r>
            <w:r w:rsidDel="00000000" w:rsidR="00000000" w:rsidRPr="00000000">
              <w:rPr>
                <w:rFonts w:ascii="Times New Roman" w:cs="Times New Roman" w:eastAsia="Times New Roman" w:hAnsi="Times New Roman"/>
                <w:b w:val="1"/>
                <w:bCs w:val="1"/>
                <w:i w:val="0"/>
                <w:iCs w:val="0"/>
                <w:color w:val="0f172a"/>
                <w:sz w:val="18"/>
                <w:szCs w:val="18"/>
                <w:rtl w:val="0"/>
              </w:rPr>
              <w:t xml:space="preserve">RNF-05</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2F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Justificación Técnica</w:t>
            </w:r>
            <w:r w:rsidDel="00000000" w:rsidR="00000000" w:rsidRPr="00000000">
              <w:rPr>
                <w:rtl w:val="0"/>
              </w:rPr>
            </w:r>
          </w:p>
        </w:tc>
        <w:tc>
          <w:tcPr/>
          <w:p w:rsidR="00000000" w:rsidDel="00000000" w:rsidP="00000000" w:rsidRDefault="00000000" w:rsidRPr="00000000" w14:paraId="000002F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Derivación directa. Constituye el núcleo del Cuaderno de Misión, el </w:t>
            </w:r>
            <w:r w:rsidDel="00000000" w:rsidR="00000000" w:rsidRPr="00000000">
              <w:rPr>
                <w:rFonts w:ascii="Consolas" w:cs="Consolas" w:eastAsia="Consolas" w:hAnsi="Consolas"/>
                <w:b w:val="0"/>
                <w:bCs w:val="0"/>
                <w:i w:val="0"/>
                <w:iCs w:val="0"/>
                <w:color w:val="334155"/>
                <w:sz w:val="15"/>
                <w:szCs w:val="15"/>
                <w:rtl w:val="0"/>
              </w:rPr>
              <w:t xml:space="preserve">PerfilIngeniero</w:t>
            </w:r>
            <w:r w:rsidDel="00000000" w:rsidR="00000000" w:rsidRPr="00000000">
              <w:rPr>
                <w:rFonts w:ascii="Times New Roman" w:cs="Times New Roman" w:eastAsia="Times New Roman" w:hAnsi="Times New Roman"/>
                <w:b w:val="0"/>
                <w:bCs w:val="0"/>
                <w:i w:val="0"/>
                <w:iCs w:val="0"/>
                <w:color w:val="0f172a"/>
                <w:sz w:val="18"/>
                <w:szCs w:val="18"/>
                <w:rtl w:val="0"/>
              </w:rPr>
              <w:t xml:space="preserve"> y la memoria técnica inmutable de CODI.</w:t>
            </w:r>
            <w:r w:rsidDel="00000000" w:rsidR="00000000" w:rsidRPr="00000000">
              <w:rPr>
                <w:rtl w:val="0"/>
              </w:rPr>
            </w:r>
          </w:p>
        </w:tc>
      </w:tr>
    </w:tbl>
    <w:p w:rsidR="00000000" w:rsidDel="00000000" w:rsidP="00000000" w:rsidRDefault="00000000" w:rsidRPr="00000000" w14:paraId="000002FD">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de Trazabilidad · H-02: Concentración Operativa en Subsistema de Potencia (EPS)</w:t>
      </w:r>
      <w:r w:rsidDel="00000000" w:rsidR="00000000" w:rsidRPr="00000000">
        <w:rPr>
          <w:rtl w:val="0"/>
        </w:rPr>
      </w:r>
    </w:p>
    <w:tbl>
      <w:tblPr>
        <w:tblStyle w:val="Table34"/>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2F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2F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Detalle de Trazabilidad Empírica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30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Código de Hallazgo</w:t>
            </w:r>
            <w:r w:rsidDel="00000000" w:rsidR="00000000" w:rsidRPr="00000000">
              <w:rPr>
                <w:rtl w:val="0"/>
              </w:rPr>
            </w:r>
          </w:p>
        </w:tc>
        <w:tc>
          <w:tcPr/>
          <w:p w:rsidR="00000000" w:rsidDel="00000000" w:rsidP="00000000" w:rsidRDefault="00000000" w:rsidRPr="00000000" w14:paraId="0000030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H-02</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30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Hallazgo del Relevamiento</w:t>
            </w:r>
            <w:r w:rsidDel="00000000" w:rsidR="00000000" w:rsidRPr="00000000">
              <w:rPr>
                <w:rtl w:val="0"/>
              </w:rPr>
            </w:r>
          </w:p>
        </w:tc>
        <w:tc>
          <w:tcPr/>
          <w:p w:rsidR="00000000" w:rsidDel="00000000" w:rsidP="00000000" w:rsidRDefault="00000000" w:rsidRPr="00000000" w14:paraId="0000030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Concentración del esfuerzo operativo en subsistema de potencia (EPS)</w:t>
            </w:r>
            <w:r w:rsidDel="00000000" w:rsidR="00000000" w:rsidRPr="00000000">
              <w:rPr>
                <w:rFonts w:ascii="Times New Roman" w:cs="Times New Roman" w:eastAsia="Times New Roman" w:hAnsi="Times New Roman"/>
                <w:b w:val="0"/>
                <w:bCs w:val="0"/>
                <w:i w:val="0"/>
                <w:iCs w:val="0"/>
                <w:color w:val="0f172a"/>
                <w:sz w:val="18"/>
                <w:szCs w:val="18"/>
                <w:rtl w:val="0"/>
              </w:rPr>
              <w:t xml:space="preserve">: El 80% del equipo de desarrollo del CTA-UNLP se concentra en electrónica y balance de potencia eléctrica (Sonia Botta, 14/09/2026, Min 00:21:39).</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30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Requisito(s) Derivado(s)</w:t>
            </w:r>
            <w:r w:rsidDel="00000000" w:rsidR="00000000" w:rsidRPr="00000000">
              <w:rPr>
                <w:rtl w:val="0"/>
              </w:rPr>
            </w:r>
          </w:p>
        </w:tc>
        <w:tc>
          <w:tcPr/>
          <w:p w:rsidR="00000000" w:rsidDel="00000000" w:rsidP="00000000" w:rsidRDefault="00000000" w:rsidRPr="00000000" w14:paraId="0000030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RF-03</w:t>
            </w:r>
            <w:r w:rsidDel="00000000" w:rsidR="00000000" w:rsidRPr="00000000">
              <w:rPr>
                <w:rFonts w:ascii="Times New Roman" w:cs="Times New Roman" w:eastAsia="Times New Roman" w:hAnsi="Times New Roman"/>
                <w:b w:val="0"/>
                <w:bCs w:val="0"/>
                <w:i w:val="0"/>
                <w:iCs w:val="0"/>
                <w:color w:val="0f172a"/>
                <w:sz w:val="18"/>
                <w:szCs w:val="18"/>
                <w:rtl w:val="0"/>
              </w:rPr>
              <w:t xml:space="preserve">, </w:t>
            </w:r>
            <w:r w:rsidDel="00000000" w:rsidR="00000000" w:rsidRPr="00000000">
              <w:rPr>
                <w:rFonts w:ascii="Times New Roman" w:cs="Times New Roman" w:eastAsia="Times New Roman" w:hAnsi="Times New Roman"/>
                <w:b w:val="1"/>
                <w:bCs w:val="1"/>
                <w:i w:val="0"/>
                <w:iCs w:val="0"/>
                <w:color w:val="0f172a"/>
                <w:sz w:val="18"/>
                <w:szCs w:val="18"/>
                <w:rtl w:val="0"/>
              </w:rPr>
              <w:t xml:space="preserve">RF-04</w:t>
            </w:r>
            <w:r w:rsidDel="00000000" w:rsidR="00000000" w:rsidRPr="00000000">
              <w:rPr>
                <w:rFonts w:ascii="Times New Roman" w:cs="Times New Roman" w:eastAsia="Times New Roman" w:hAnsi="Times New Roman"/>
                <w:b w:val="0"/>
                <w:bCs w:val="0"/>
                <w:i w:val="0"/>
                <w:iCs w:val="0"/>
                <w:color w:val="0f172a"/>
                <w:sz w:val="18"/>
                <w:szCs w:val="18"/>
                <w:rtl w:val="0"/>
              </w:rPr>
              <w:t xml:space="preserve">, </w:t>
            </w:r>
            <w:r w:rsidDel="00000000" w:rsidR="00000000" w:rsidRPr="00000000">
              <w:rPr>
                <w:rFonts w:ascii="Times New Roman" w:cs="Times New Roman" w:eastAsia="Times New Roman" w:hAnsi="Times New Roman"/>
                <w:b w:val="1"/>
                <w:bCs w:val="1"/>
                <w:i w:val="0"/>
                <w:iCs w:val="0"/>
                <w:color w:val="0f172a"/>
                <w:sz w:val="18"/>
                <w:szCs w:val="18"/>
                <w:rtl w:val="0"/>
              </w:rPr>
              <w:t xml:space="preserve">RNF-01</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30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Justificación Técnica</w:t>
            </w:r>
            <w:r w:rsidDel="00000000" w:rsidR="00000000" w:rsidRPr="00000000">
              <w:rPr>
                <w:rtl w:val="0"/>
              </w:rPr>
            </w:r>
          </w:p>
        </w:tc>
        <w:tc>
          <w:tcPr/>
          <w:p w:rsidR="00000000" w:rsidDel="00000000" w:rsidP="00000000" w:rsidRDefault="00000000" w:rsidRPr="00000000" w14:paraId="0000030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Derivación directa. Justifica enfocar el motor analítico del MVP exclusivamente en el balance EPS.</w:t>
            </w:r>
            <w:r w:rsidDel="00000000" w:rsidR="00000000" w:rsidRPr="00000000">
              <w:rPr>
                <w:rtl w:val="0"/>
              </w:rPr>
            </w:r>
          </w:p>
        </w:tc>
      </w:tr>
    </w:tbl>
    <w:p w:rsidR="00000000" w:rsidDel="00000000" w:rsidP="00000000" w:rsidRDefault="00000000" w:rsidRPr="00000000" w14:paraId="00000308">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de Trazabilidad · H-03: Tasa Crítica de Colapso Energético en CubeSats LEO</w:t>
      </w:r>
      <w:r w:rsidDel="00000000" w:rsidR="00000000" w:rsidRPr="00000000">
        <w:rPr>
          <w:rtl w:val="0"/>
        </w:rPr>
      </w:r>
    </w:p>
    <w:tbl>
      <w:tblPr>
        <w:tblStyle w:val="Table35"/>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30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30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Detalle de Trazabilidad Empírica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30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Código de Hallazgo</w:t>
            </w:r>
            <w:r w:rsidDel="00000000" w:rsidR="00000000" w:rsidRPr="00000000">
              <w:rPr>
                <w:rtl w:val="0"/>
              </w:rPr>
            </w:r>
          </w:p>
        </w:tc>
        <w:tc>
          <w:tcPr/>
          <w:p w:rsidR="00000000" w:rsidDel="00000000" w:rsidP="00000000" w:rsidRDefault="00000000" w:rsidRPr="00000000" w14:paraId="0000030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H-03</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30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Hallazgo del Relevamiento</w:t>
            </w:r>
            <w:r w:rsidDel="00000000" w:rsidR="00000000" w:rsidRPr="00000000">
              <w:rPr>
                <w:rtl w:val="0"/>
              </w:rPr>
            </w:r>
          </w:p>
        </w:tc>
        <w:tc>
          <w:tcPr/>
          <w:p w:rsidR="00000000" w:rsidDel="00000000" w:rsidP="00000000" w:rsidRDefault="00000000" w:rsidRPr="00000000" w14:paraId="0000030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Tasa crítica de colapso de potencia en misiones de satélites pequeños</w:t>
            </w:r>
            <w:r w:rsidDel="00000000" w:rsidR="00000000" w:rsidRPr="00000000">
              <w:rPr>
                <w:rFonts w:ascii="Times New Roman" w:cs="Times New Roman" w:eastAsia="Times New Roman" w:hAnsi="Times New Roman"/>
                <w:b w:val="0"/>
                <w:bCs w:val="0"/>
                <w:i w:val="0"/>
                <w:iCs w:val="0"/>
                <w:color w:val="0f172a"/>
                <w:sz w:val="18"/>
                <w:szCs w:val="18"/>
                <w:rtl w:val="0"/>
              </w:rPr>
              <w:t xml:space="preserve">: El 38,8% de las pérdidas tempranas de CubeSats en órbita LEO se originan por fallas en el subsistema de potencia y baterías (Swartwout, 2024; NASA S3VI sobre 442 misiones).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30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Requisito(s) Derivado(s)</w:t>
            </w:r>
            <w:r w:rsidDel="00000000" w:rsidR="00000000" w:rsidRPr="00000000">
              <w:rPr>
                <w:rtl w:val="0"/>
              </w:rPr>
            </w:r>
          </w:p>
        </w:tc>
        <w:tc>
          <w:tcPr/>
          <w:p w:rsidR="00000000" w:rsidDel="00000000" w:rsidP="00000000" w:rsidRDefault="00000000" w:rsidRPr="00000000" w14:paraId="0000031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RF-02</w:t>
            </w:r>
            <w:r w:rsidDel="00000000" w:rsidR="00000000" w:rsidRPr="00000000">
              <w:rPr>
                <w:rFonts w:ascii="Times New Roman" w:cs="Times New Roman" w:eastAsia="Times New Roman" w:hAnsi="Times New Roman"/>
                <w:b w:val="0"/>
                <w:bCs w:val="0"/>
                <w:i w:val="0"/>
                <w:iCs w:val="0"/>
                <w:color w:val="0f172a"/>
                <w:sz w:val="18"/>
                <w:szCs w:val="18"/>
                <w:rtl w:val="0"/>
              </w:rPr>
              <w:t xml:space="preserve">, </w:t>
            </w:r>
            <w:r w:rsidDel="00000000" w:rsidR="00000000" w:rsidRPr="00000000">
              <w:rPr>
                <w:rFonts w:ascii="Times New Roman" w:cs="Times New Roman" w:eastAsia="Times New Roman" w:hAnsi="Times New Roman"/>
                <w:b w:val="1"/>
                <w:bCs w:val="1"/>
                <w:i w:val="0"/>
                <w:iCs w:val="0"/>
                <w:color w:val="0f172a"/>
                <w:sz w:val="18"/>
                <w:szCs w:val="18"/>
                <w:rtl w:val="0"/>
              </w:rPr>
              <w:t xml:space="preserve">RF-03</w:t>
            </w:r>
            <w:r w:rsidDel="00000000" w:rsidR="00000000" w:rsidRPr="00000000">
              <w:rPr>
                <w:rFonts w:ascii="Times New Roman" w:cs="Times New Roman" w:eastAsia="Times New Roman" w:hAnsi="Times New Roman"/>
                <w:b w:val="0"/>
                <w:bCs w:val="0"/>
                <w:i w:val="0"/>
                <w:iCs w:val="0"/>
                <w:color w:val="0f172a"/>
                <w:sz w:val="18"/>
                <w:szCs w:val="18"/>
                <w:rtl w:val="0"/>
              </w:rPr>
              <w:t xml:space="preserve">, </w:t>
            </w:r>
            <w:r w:rsidDel="00000000" w:rsidR="00000000" w:rsidRPr="00000000">
              <w:rPr>
                <w:rFonts w:ascii="Times New Roman" w:cs="Times New Roman" w:eastAsia="Times New Roman" w:hAnsi="Times New Roman"/>
                <w:b w:val="1"/>
                <w:bCs w:val="1"/>
                <w:i w:val="0"/>
                <w:iCs w:val="0"/>
                <w:color w:val="0f172a"/>
                <w:sz w:val="18"/>
                <w:szCs w:val="18"/>
                <w:rtl w:val="0"/>
              </w:rPr>
              <w:t xml:space="preserve">RNF-02</w:t>
            </w:r>
            <w:r w:rsidDel="00000000" w:rsidR="00000000" w:rsidRPr="00000000">
              <w:rPr>
                <w:rFonts w:ascii="Times New Roman" w:cs="Times New Roman" w:eastAsia="Times New Roman" w:hAnsi="Times New Roman"/>
                <w:b w:val="0"/>
                <w:bCs w:val="0"/>
                <w:i w:val="0"/>
                <w:iCs w:val="0"/>
                <w:color w:val="0f172a"/>
                <w:sz w:val="18"/>
                <w:szCs w:val="18"/>
                <w:rtl w:val="0"/>
              </w:rPr>
              <w:t xml:space="preserve">, </w:t>
            </w:r>
            <w:r w:rsidDel="00000000" w:rsidR="00000000" w:rsidRPr="00000000">
              <w:rPr>
                <w:rFonts w:ascii="Times New Roman" w:cs="Times New Roman" w:eastAsia="Times New Roman" w:hAnsi="Times New Roman"/>
                <w:b w:val="1"/>
                <w:bCs w:val="1"/>
                <w:i w:val="0"/>
                <w:iCs w:val="0"/>
                <w:color w:val="0f172a"/>
                <w:sz w:val="18"/>
                <w:szCs w:val="18"/>
                <w:rtl w:val="0"/>
              </w:rPr>
              <w:t xml:space="preserve">RNF-06</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31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Justificación Técnica</w:t>
            </w:r>
            <w:r w:rsidDel="00000000" w:rsidR="00000000" w:rsidRPr="00000000">
              <w:rPr>
                <w:rtl w:val="0"/>
              </w:rPr>
            </w:r>
          </w:p>
        </w:tc>
        <w:tc>
          <w:tcPr/>
          <w:p w:rsidR="00000000" w:rsidDel="00000000" w:rsidP="00000000" w:rsidRDefault="00000000" w:rsidRPr="00000000" w14:paraId="00000312">
            <w:pPr>
              <w:spacing w:after="20" w:before="20" w:line="252.00000000000003" w:lineRule="auto"/>
              <w:rPr/>
            </w:pPr>
            <w:r w:rsidDel="00000000" w:rsidR="00000000" w:rsidRPr="00000000">
              <w:rPr>
                <w:rFonts w:ascii="Gungsuh" w:cs="Gungsuh" w:eastAsia="Gungsuh" w:hAnsi="Gungsuh"/>
                <w:b w:val="0"/>
                <w:bCs w:val="0"/>
                <w:i w:val="0"/>
                <w:iCs w:val="0"/>
                <w:color w:val="0f172a"/>
                <w:sz w:val="18"/>
                <w:szCs w:val="18"/>
                <w:rtl w:val="0"/>
              </w:rPr>
              <w:t xml:space="preserve">Derivación directa. Fundamenta la rigidez de las reglas de negocio RN-01 (DoD ≤ 30%) y RN-02 (Margen EOL ≥ 20%).</w:t>
            </w:r>
            <w:r w:rsidDel="00000000" w:rsidR="00000000" w:rsidRPr="00000000">
              <w:rPr>
                <w:rtl w:val="0"/>
              </w:rPr>
            </w:r>
          </w:p>
        </w:tc>
      </w:tr>
    </w:tbl>
    <w:p w:rsidR="00000000" w:rsidDel="00000000" w:rsidP="00000000" w:rsidRDefault="00000000" w:rsidRPr="00000000" w14:paraId="00000313">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de Trazabilidad · H-04: Sobrecarga Documental y Desajustes Tardíos de Interfaces</w:t>
      </w:r>
      <w:r w:rsidDel="00000000" w:rsidR="00000000" w:rsidRPr="00000000">
        <w:rPr>
          <w:rtl w:val="0"/>
        </w:rPr>
      </w:r>
    </w:p>
    <w:tbl>
      <w:tblPr>
        <w:tblStyle w:val="Table36"/>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31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31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Detalle de Trazabilidad Empírica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31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Código de Hallazgo</w:t>
            </w:r>
            <w:r w:rsidDel="00000000" w:rsidR="00000000" w:rsidRPr="00000000">
              <w:rPr>
                <w:rtl w:val="0"/>
              </w:rPr>
            </w:r>
          </w:p>
        </w:tc>
        <w:tc>
          <w:tcPr/>
          <w:p w:rsidR="00000000" w:rsidDel="00000000" w:rsidP="00000000" w:rsidRDefault="00000000" w:rsidRPr="00000000" w14:paraId="0000031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H-04</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31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Hallazgo del Relevamiento</w:t>
            </w:r>
            <w:r w:rsidDel="00000000" w:rsidR="00000000" w:rsidRPr="00000000">
              <w:rPr>
                <w:rtl w:val="0"/>
              </w:rPr>
            </w:r>
          </w:p>
        </w:tc>
        <w:tc>
          <w:tcPr/>
          <w:p w:rsidR="00000000" w:rsidDel="00000000" w:rsidP="00000000" w:rsidRDefault="00000000" w:rsidRPr="00000000" w14:paraId="0000031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Sobrecarga de gestión documental y desajustes tardíos de interfaces</w:t>
            </w:r>
            <w:r w:rsidDel="00000000" w:rsidR="00000000" w:rsidRPr="00000000">
              <w:rPr>
                <w:rFonts w:ascii="Times New Roman" w:cs="Times New Roman" w:eastAsia="Times New Roman" w:hAnsi="Times New Roman"/>
                <w:b w:val="0"/>
                <w:bCs w:val="0"/>
                <w:i w:val="0"/>
                <w:iCs w:val="0"/>
                <w:color w:val="0f172a"/>
                <w:sz w:val="18"/>
                <w:szCs w:val="18"/>
                <w:rtl w:val="0"/>
              </w:rPr>
              <w:t xml:space="preserve">: Documentos ICD de proveedores de 50 a 90 páginas analizados manualmente, con incompatibilidades físicas detectadas a 72 horas de integrar en sala limpia (Capítulo I, Sec. I.3.1, I.3.3; Misión Atenea).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31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Requisito(s) Derivado(s)</w:t>
            </w:r>
            <w:r w:rsidDel="00000000" w:rsidR="00000000" w:rsidRPr="00000000">
              <w:rPr>
                <w:rtl w:val="0"/>
              </w:rPr>
            </w:r>
          </w:p>
        </w:tc>
        <w:tc>
          <w:tcPr/>
          <w:p w:rsidR="00000000" w:rsidDel="00000000" w:rsidP="00000000" w:rsidRDefault="00000000" w:rsidRPr="00000000" w14:paraId="0000031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RF-01</w:t>
            </w:r>
            <w:r w:rsidDel="00000000" w:rsidR="00000000" w:rsidRPr="00000000">
              <w:rPr>
                <w:rFonts w:ascii="Times New Roman" w:cs="Times New Roman" w:eastAsia="Times New Roman" w:hAnsi="Times New Roman"/>
                <w:b w:val="0"/>
                <w:bCs w:val="0"/>
                <w:i w:val="0"/>
                <w:iCs w:val="0"/>
                <w:color w:val="0f172a"/>
                <w:sz w:val="18"/>
                <w:szCs w:val="18"/>
                <w:rtl w:val="0"/>
              </w:rPr>
              <w:t xml:space="preserve">, </w:t>
            </w:r>
            <w:r w:rsidDel="00000000" w:rsidR="00000000" w:rsidRPr="00000000">
              <w:rPr>
                <w:rFonts w:ascii="Times New Roman" w:cs="Times New Roman" w:eastAsia="Times New Roman" w:hAnsi="Times New Roman"/>
                <w:b w:val="1"/>
                <w:bCs w:val="1"/>
                <w:i w:val="0"/>
                <w:iCs w:val="0"/>
                <w:color w:val="0f172a"/>
                <w:sz w:val="18"/>
                <w:szCs w:val="18"/>
                <w:rtl w:val="0"/>
              </w:rPr>
              <w:t xml:space="preserve">RF-05</w:t>
            </w:r>
            <w:r w:rsidDel="00000000" w:rsidR="00000000" w:rsidRPr="00000000">
              <w:rPr>
                <w:rFonts w:ascii="Times New Roman" w:cs="Times New Roman" w:eastAsia="Times New Roman" w:hAnsi="Times New Roman"/>
                <w:b w:val="0"/>
                <w:bCs w:val="0"/>
                <w:i w:val="0"/>
                <w:iCs w:val="0"/>
                <w:color w:val="0f172a"/>
                <w:sz w:val="18"/>
                <w:szCs w:val="18"/>
                <w:rtl w:val="0"/>
              </w:rPr>
              <w:t xml:space="preserve">, </w:t>
            </w:r>
            <w:r w:rsidDel="00000000" w:rsidR="00000000" w:rsidRPr="00000000">
              <w:rPr>
                <w:rFonts w:ascii="Times New Roman" w:cs="Times New Roman" w:eastAsia="Times New Roman" w:hAnsi="Times New Roman"/>
                <w:b w:val="1"/>
                <w:bCs w:val="1"/>
                <w:i w:val="0"/>
                <w:iCs w:val="0"/>
                <w:color w:val="0f172a"/>
                <w:sz w:val="18"/>
                <w:szCs w:val="18"/>
                <w:rtl w:val="0"/>
              </w:rPr>
              <w:t xml:space="preserve">RF-08</w:t>
            </w:r>
            <w:r w:rsidDel="00000000" w:rsidR="00000000" w:rsidRPr="00000000">
              <w:rPr>
                <w:rFonts w:ascii="Times New Roman" w:cs="Times New Roman" w:eastAsia="Times New Roman" w:hAnsi="Times New Roman"/>
                <w:b w:val="0"/>
                <w:bCs w:val="0"/>
                <w:i w:val="0"/>
                <w:iCs w:val="0"/>
                <w:color w:val="0f172a"/>
                <w:sz w:val="18"/>
                <w:szCs w:val="18"/>
                <w:rtl w:val="0"/>
              </w:rPr>
              <w:t xml:space="preserve">, </w:t>
            </w:r>
            <w:r w:rsidDel="00000000" w:rsidR="00000000" w:rsidRPr="00000000">
              <w:rPr>
                <w:rFonts w:ascii="Times New Roman" w:cs="Times New Roman" w:eastAsia="Times New Roman" w:hAnsi="Times New Roman"/>
                <w:b w:val="1"/>
                <w:bCs w:val="1"/>
                <w:i w:val="0"/>
                <w:iCs w:val="0"/>
                <w:color w:val="0f172a"/>
                <w:sz w:val="18"/>
                <w:szCs w:val="18"/>
                <w:rtl w:val="0"/>
              </w:rPr>
              <w:t xml:space="preserve">RF-11</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31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Justificación Técnica</w:t>
            </w:r>
            <w:r w:rsidDel="00000000" w:rsidR="00000000" w:rsidRPr="00000000">
              <w:rPr>
                <w:rtl w:val="0"/>
              </w:rPr>
            </w:r>
          </w:p>
        </w:tc>
        <w:tc>
          <w:tcPr/>
          <w:p w:rsidR="00000000" w:rsidDel="00000000" w:rsidP="00000000" w:rsidRDefault="00000000" w:rsidRPr="00000000" w14:paraId="0000031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Derivación directa. Conduce a la ingesta en el Repositorio de Fuentes, la navegación del Grafo y la verificación temprana de interfaces físicas/eléctricas.</w:t>
            </w:r>
            <w:r w:rsidDel="00000000" w:rsidR="00000000" w:rsidRPr="00000000">
              <w:rPr>
                <w:rtl w:val="0"/>
              </w:rPr>
            </w:r>
          </w:p>
        </w:tc>
      </w:tr>
    </w:tbl>
    <w:p w:rsidR="00000000" w:rsidDel="00000000" w:rsidP="00000000" w:rsidRDefault="00000000" w:rsidRPr="00000000" w14:paraId="0000031E">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de Trazabilidad · H-05: Elevada Demanda Mental en Diseño Preliminar</w:t>
      </w:r>
      <w:r w:rsidDel="00000000" w:rsidR="00000000" w:rsidRPr="00000000">
        <w:rPr>
          <w:rtl w:val="0"/>
        </w:rPr>
      </w:r>
    </w:p>
    <w:tbl>
      <w:tblPr>
        <w:tblStyle w:val="Table37"/>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31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32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Detalle de Trazabilidad Empírica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32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Código de Hallazgo</w:t>
            </w:r>
            <w:r w:rsidDel="00000000" w:rsidR="00000000" w:rsidRPr="00000000">
              <w:rPr>
                <w:rtl w:val="0"/>
              </w:rPr>
            </w:r>
          </w:p>
        </w:tc>
        <w:tc>
          <w:tcPr/>
          <w:p w:rsidR="00000000" w:rsidDel="00000000" w:rsidP="00000000" w:rsidRDefault="00000000" w:rsidRPr="00000000" w14:paraId="0000032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H-05</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32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Hallazgo del Relevamiento</w:t>
            </w:r>
            <w:r w:rsidDel="00000000" w:rsidR="00000000" w:rsidRPr="00000000">
              <w:rPr>
                <w:rtl w:val="0"/>
              </w:rPr>
            </w:r>
          </w:p>
        </w:tc>
        <w:tc>
          <w:tcPr/>
          <w:p w:rsidR="00000000" w:rsidDel="00000000" w:rsidP="00000000" w:rsidRDefault="00000000" w:rsidRPr="00000000" w14:paraId="0000032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Elevada demanda mental en diseño preliminar bajo incertidumbre</w:t>
            </w:r>
            <w:r w:rsidDel="00000000" w:rsidR="00000000" w:rsidRPr="00000000">
              <w:rPr>
                <w:rFonts w:ascii="Times New Roman" w:cs="Times New Roman" w:eastAsia="Times New Roman" w:hAnsi="Times New Roman"/>
                <w:b w:val="0"/>
                <w:bCs w:val="0"/>
                <w:i w:val="0"/>
                <w:iCs w:val="0"/>
                <w:color w:val="0f172a"/>
                <w:sz w:val="18"/>
                <w:szCs w:val="18"/>
                <w:rtl w:val="0"/>
              </w:rPr>
              <w:t xml:space="preserve">: Línea de base psicométrica inicial situada en 70/100 puntos en escala NASA-TLX frente a tareas de balance iterativo manual (Capítulo I, Sec. I.3.3; Hart &amp; Staveland, 1988).</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32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Requisito(s) Derivado(s)</w:t>
            </w:r>
            <w:r w:rsidDel="00000000" w:rsidR="00000000" w:rsidRPr="00000000">
              <w:rPr>
                <w:rtl w:val="0"/>
              </w:rPr>
            </w:r>
          </w:p>
        </w:tc>
        <w:tc>
          <w:tcPr/>
          <w:p w:rsidR="00000000" w:rsidDel="00000000" w:rsidP="00000000" w:rsidRDefault="00000000" w:rsidRPr="00000000" w14:paraId="0000032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RF-07</w:t>
            </w:r>
            <w:r w:rsidDel="00000000" w:rsidR="00000000" w:rsidRPr="00000000">
              <w:rPr>
                <w:rFonts w:ascii="Times New Roman" w:cs="Times New Roman" w:eastAsia="Times New Roman" w:hAnsi="Times New Roman"/>
                <w:b w:val="0"/>
                <w:bCs w:val="0"/>
                <w:i w:val="0"/>
                <w:iCs w:val="0"/>
                <w:color w:val="0f172a"/>
                <w:sz w:val="18"/>
                <w:szCs w:val="18"/>
                <w:rtl w:val="0"/>
              </w:rPr>
              <w:t xml:space="preserve">, </w:t>
            </w:r>
            <w:r w:rsidDel="00000000" w:rsidR="00000000" w:rsidRPr="00000000">
              <w:rPr>
                <w:rFonts w:ascii="Times New Roman" w:cs="Times New Roman" w:eastAsia="Times New Roman" w:hAnsi="Times New Roman"/>
                <w:b w:val="1"/>
                <w:bCs w:val="1"/>
                <w:i w:val="0"/>
                <w:iCs w:val="0"/>
                <w:color w:val="0f172a"/>
                <w:sz w:val="18"/>
                <w:szCs w:val="18"/>
                <w:rtl w:val="0"/>
              </w:rPr>
              <w:t xml:space="preserve">RF-12</w:t>
            </w:r>
            <w:r w:rsidDel="00000000" w:rsidR="00000000" w:rsidRPr="00000000">
              <w:rPr>
                <w:rFonts w:ascii="Times New Roman" w:cs="Times New Roman" w:eastAsia="Times New Roman" w:hAnsi="Times New Roman"/>
                <w:b w:val="0"/>
                <w:bCs w:val="0"/>
                <w:i w:val="0"/>
                <w:iCs w:val="0"/>
                <w:color w:val="0f172a"/>
                <w:sz w:val="18"/>
                <w:szCs w:val="18"/>
                <w:rtl w:val="0"/>
              </w:rPr>
              <w:t xml:space="preserve">, </w:t>
            </w:r>
            <w:r w:rsidDel="00000000" w:rsidR="00000000" w:rsidRPr="00000000">
              <w:rPr>
                <w:rFonts w:ascii="Times New Roman" w:cs="Times New Roman" w:eastAsia="Times New Roman" w:hAnsi="Times New Roman"/>
                <w:b w:val="1"/>
                <w:bCs w:val="1"/>
                <w:i w:val="0"/>
                <w:iCs w:val="0"/>
                <w:color w:val="0f172a"/>
                <w:sz w:val="18"/>
                <w:szCs w:val="18"/>
                <w:rtl w:val="0"/>
              </w:rPr>
              <w:t xml:space="preserve">RNF-03</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32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Justificación Técnica</w:t>
            </w:r>
            <w:r w:rsidDel="00000000" w:rsidR="00000000" w:rsidRPr="00000000">
              <w:rPr>
                <w:rtl w:val="0"/>
              </w:rPr>
            </w:r>
          </w:p>
        </w:tc>
        <w:tc>
          <w:tcPr/>
          <w:p w:rsidR="00000000" w:rsidDel="00000000" w:rsidP="00000000" w:rsidRDefault="00000000" w:rsidRPr="00000000" w14:paraId="0000032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Derivación directa. Se instrumenta el módulo psicométrico y el agente de adaptación de doble vista (Regla RN-07) para validar la reducción exigida en RNF-03.</w:t>
            </w:r>
            <w:r w:rsidDel="00000000" w:rsidR="00000000" w:rsidRPr="00000000">
              <w:rPr>
                <w:rtl w:val="0"/>
              </w:rPr>
            </w:r>
          </w:p>
        </w:tc>
      </w:tr>
    </w:tbl>
    <w:p w:rsidR="00000000" w:rsidDel="00000000" w:rsidP="00000000" w:rsidRDefault="00000000" w:rsidRPr="00000000" w14:paraId="00000329">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de Trazabilidad · H-06: Restricciones Presupuestarias en Software Universitario</w:t>
      </w:r>
      <w:r w:rsidDel="00000000" w:rsidR="00000000" w:rsidRPr="00000000">
        <w:rPr>
          <w:rtl w:val="0"/>
        </w:rPr>
      </w:r>
    </w:p>
    <w:tbl>
      <w:tblPr>
        <w:tblStyle w:val="Table38"/>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32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32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Detalle de Trazabilidad Empírica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32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Código de Hallazgo</w:t>
            </w:r>
            <w:r w:rsidDel="00000000" w:rsidR="00000000" w:rsidRPr="00000000">
              <w:rPr>
                <w:rtl w:val="0"/>
              </w:rPr>
            </w:r>
          </w:p>
        </w:tc>
        <w:tc>
          <w:tcPr/>
          <w:p w:rsidR="00000000" w:rsidDel="00000000" w:rsidP="00000000" w:rsidRDefault="00000000" w:rsidRPr="00000000" w14:paraId="0000032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H-06</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32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Hallazgo del Relevamiento</w:t>
            </w:r>
            <w:r w:rsidDel="00000000" w:rsidR="00000000" w:rsidRPr="00000000">
              <w:rPr>
                <w:rtl w:val="0"/>
              </w:rPr>
            </w:r>
          </w:p>
        </w:tc>
        <w:tc>
          <w:tcPr/>
          <w:p w:rsidR="00000000" w:rsidDel="00000000" w:rsidP="00000000" w:rsidRDefault="00000000" w:rsidRPr="00000000" w14:paraId="0000032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Restricciones presupuestarias de software en proyectos espaciales universitarios</w:t>
            </w:r>
            <w:r w:rsidDel="00000000" w:rsidR="00000000" w:rsidRPr="00000000">
              <w:rPr>
                <w:rFonts w:ascii="Times New Roman" w:cs="Times New Roman" w:eastAsia="Times New Roman" w:hAnsi="Times New Roman"/>
                <w:b w:val="0"/>
                <w:bCs w:val="0"/>
                <w:i w:val="0"/>
                <w:iCs w:val="0"/>
                <w:color w:val="0f172a"/>
                <w:sz w:val="18"/>
                <w:szCs w:val="18"/>
                <w:rtl w:val="0"/>
              </w:rPr>
              <w:t xml:space="preserve">: Costos de licencias corporativas cerradas (USD 1.500/año en Valispace; USD 15.000/año en CAD) incompatibles con presupuestos académicos públicos (Capítulo I, Sec. I.6; Acta 14/09/2026, Min 00:27:32).</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33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Requisito(s) Derivado(s)</w:t>
            </w:r>
            <w:r w:rsidDel="00000000" w:rsidR="00000000" w:rsidRPr="00000000">
              <w:rPr>
                <w:rtl w:val="0"/>
              </w:rPr>
            </w:r>
          </w:p>
        </w:tc>
        <w:tc>
          <w:tcPr/>
          <w:p w:rsidR="00000000" w:rsidDel="00000000" w:rsidP="00000000" w:rsidRDefault="00000000" w:rsidRPr="00000000" w14:paraId="0000033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RNF-04</w:t>
            </w:r>
            <w:r w:rsidDel="00000000" w:rsidR="00000000" w:rsidRPr="00000000">
              <w:rPr>
                <w:rFonts w:ascii="Times New Roman" w:cs="Times New Roman" w:eastAsia="Times New Roman" w:hAnsi="Times New Roman"/>
                <w:b w:val="0"/>
                <w:bCs w:val="0"/>
                <w:i w:val="0"/>
                <w:iCs w:val="0"/>
                <w:color w:val="0f172a"/>
                <w:sz w:val="18"/>
                <w:szCs w:val="18"/>
                <w:rtl w:val="0"/>
              </w:rPr>
              <w:t xml:space="preserve">, </w:t>
            </w:r>
            <w:r w:rsidDel="00000000" w:rsidR="00000000" w:rsidRPr="00000000">
              <w:rPr>
                <w:rFonts w:ascii="Times New Roman" w:cs="Times New Roman" w:eastAsia="Times New Roman" w:hAnsi="Times New Roman"/>
                <w:b w:val="1"/>
                <w:bCs w:val="1"/>
                <w:i w:val="0"/>
                <w:iCs w:val="0"/>
                <w:color w:val="0f172a"/>
                <w:sz w:val="18"/>
                <w:szCs w:val="18"/>
                <w:rtl w:val="0"/>
              </w:rPr>
              <w:t xml:space="preserve">RF-10</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33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Justificación Técnica</w:t>
            </w:r>
            <w:r w:rsidDel="00000000" w:rsidR="00000000" w:rsidRPr="00000000">
              <w:rPr>
                <w:rtl w:val="0"/>
              </w:rPr>
            </w:r>
          </w:p>
        </w:tc>
        <w:tc>
          <w:tcPr/>
          <w:p w:rsidR="00000000" w:rsidDel="00000000" w:rsidP="00000000" w:rsidRDefault="00000000" w:rsidRPr="00000000" w14:paraId="0000033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Derivación directa. Justifica la arquitectura abierta y desacoplada mediante formatos neutros (STEP, JSON, CSV).</w:t>
            </w:r>
            <w:r w:rsidDel="00000000" w:rsidR="00000000" w:rsidRPr="00000000">
              <w:rPr>
                <w:rtl w:val="0"/>
              </w:rPr>
            </w:r>
          </w:p>
        </w:tc>
      </w:tr>
    </w:tbl>
    <w:p w:rsidR="00000000" w:rsidDel="00000000" w:rsidP="00000000" w:rsidRDefault="00000000" w:rsidRPr="00000000" w14:paraId="00000334">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Nota. Verificación en doble vía conforme a la plantilla oficial de especificación de requisitos (pág. 7). Todos los hallazgos empíricos derivan en al menos un requisito del sistema.</w:t>
      </w:r>
      <w:r w:rsidDel="00000000" w:rsidR="00000000" w:rsidRPr="00000000">
        <w:rPr>
          <w:rtl w:val="0"/>
        </w:rPr>
      </w:r>
    </w:p>
    <w:p w:rsidR="00000000" w:rsidDel="00000000" w:rsidP="00000000" w:rsidRDefault="00000000" w:rsidRPr="00000000" w14:paraId="00000335">
      <w:pPr>
        <w:pStyle w:val="Heading1"/>
        <w:keepNext w:val="1"/>
        <w:pageBreakBefore w:val="1"/>
        <w:rPr/>
      </w:pPr>
      <w:r w:rsidDel="00000000" w:rsidR="00000000" w:rsidRPr="00000000">
        <w:rPr>
          <w:rFonts w:ascii="Times New Roman" w:cs="Times New Roman" w:eastAsia="Times New Roman" w:hAnsi="Times New Roman"/>
          <w:b w:val="1"/>
          <w:bCs w:val="1"/>
          <w:i w:val="0"/>
          <w:iCs w:val="0"/>
          <w:color w:val="0f172a"/>
          <w:sz w:val="32"/>
          <w:szCs w:val="32"/>
          <w:rtl w:val="0"/>
        </w:rPr>
        <w:t xml:space="preserve">CAPÍTULO IV · MODELO DE NEGOCIOS DEL PROYECTO</w:t>
      </w:r>
      <w:r w:rsidDel="00000000" w:rsidR="00000000" w:rsidRPr="00000000">
        <w:rPr>
          <w:rtl w:val="0"/>
        </w:rPr>
      </w:r>
    </w:p>
    <w:p w:rsidR="00000000" w:rsidDel="00000000" w:rsidP="00000000" w:rsidRDefault="00000000" w:rsidRPr="00000000" w14:paraId="00000336">
      <w:pPr>
        <w:pStyle w:val="Heading2"/>
        <w:keepNext w:val="1"/>
        <w:rPr/>
      </w:pPr>
      <w:r w:rsidDel="00000000" w:rsidR="00000000" w:rsidRPr="00000000">
        <w:rPr>
          <w:rFonts w:ascii="Times New Roman" w:cs="Times New Roman" w:eastAsia="Times New Roman" w:hAnsi="Times New Roman"/>
          <w:b w:val="1"/>
          <w:bCs w:val="1"/>
          <w:i w:val="0"/>
          <w:iCs w:val="0"/>
          <w:color w:val="0f172a"/>
          <w:sz w:val="28"/>
          <w:szCs w:val="28"/>
          <w:rtl w:val="0"/>
        </w:rPr>
        <w:t xml:space="preserve">IV.1 · Definición de Negocios</w:t>
      </w:r>
      <w:r w:rsidDel="00000000" w:rsidR="00000000" w:rsidRPr="00000000">
        <w:rPr>
          <w:rtl w:val="0"/>
        </w:rPr>
      </w:r>
    </w:p>
    <w:p w:rsidR="00000000" w:rsidDel="00000000" w:rsidP="00000000" w:rsidRDefault="00000000" w:rsidRPr="00000000" w14:paraId="00000337">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sistema de información </w:t>
      </w:r>
      <w:r w:rsidDel="00000000" w:rsidR="00000000" w:rsidRPr="00000000">
        <w:rPr>
          <w:rFonts w:ascii="Times New Roman" w:cs="Times New Roman" w:eastAsia="Times New Roman" w:hAnsi="Times New Roman"/>
          <w:b w:val="1"/>
          <w:bCs w:val="1"/>
          <w:i w:val="0"/>
          <w:iCs w:val="0"/>
          <w:color w:val="0f172a"/>
          <w:sz w:val="24"/>
          <w:szCs w:val="24"/>
          <w:rtl w:val="0"/>
        </w:rPr>
        <w:t xml:space="preserve">CODI</w:t>
      </w:r>
      <w:r w:rsidDel="00000000" w:rsidR="00000000" w:rsidRPr="00000000">
        <w:rPr>
          <w:rFonts w:ascii="Times New Roman" w:cs="Times New Roman" w:eastAsia="Times New Roman" w:hAnsi="Times New Roman"/>
          <w:b w:val="0"/>
          <w:bCs w:val="0"/>
          <w:i w:val="0"/>
          <w:iCs w:val="0"/>
          <w:color w:val="0f172a"/>
          <w:sz w:val="24"/>
          <w:szCs w:val="24"/>
          <w:rtl w:val="0"/>
        </w:rPr>
        <w:t xml:space="preserve"> (</w:t>
      </w:r>
      <w:r w:rsidDel="00000000" w:rsidR="00000000" w:rsidRPr="00000000">
        <w:rPr>
          <w:rFonts w:ascii="Times New Roman" w:cs="Times New Roman" w:eastAsia="Times New Roman" w:hAnsi="Times New Roman"/>
          <w:b w:val="0"/>
          <w:bCs w:val="0"/>
          <w:i w:val="1"/>
          <w:iCs w:val="1"/>
          <w:color w:val="0f172a"/>
          <w:sz w:val="24"/>
          <w:szCs w:val="24"/>
          <w:rtl w:val="0"/>
        </w:rPr>
        <w:t xml:space="preserve">Cognitive Operations &amp; Decision Intelligence</w:t>
      </w:r>
      <w:r w:rsidDel="00000000" w:rsidR="00000000" w:rsidRPr="00000000">
        <w:rPr>
          <w:rFonts w:ascii="Times New Roman" w:cs="Times New Roman" w:eastAsia="Times New Roman" w:hAnsi="Times New Roman"/>
          <w:b w:val="0"/>
          <w:bCs w:val="0"/>
          <w:i w:val="0"/>
          <w:iCs w:val="0"/>
          <w:color w:val="0f172a"/>
          <w:sz w:val="24"/>
          <w:szCs w:val="24"/>
          <w:rtl w:val="0"/>
        </w:rPr>
        <w:t xml:space="preserve">) se concibe como el </w:t>
      </w:r>
      <w:r w:rsidDel="00000000" w:rsidR="00000000" w:rsidRPr="00000000">
        <w:rPr>
          <w:rFonts w:ascii="Times New Roman" w:cs="Times New Roman" w:eastAsia="Times New Roman" w:hAnsi="Times New Roman"/>
          <w:b w:val="1"/>
          <w:bCs w:val="1"/>
          <w:i w:val="0"/>
          <w:iCs w:val="0"/>
          <w:color w:val="0f172a"/>
          <w:sz w:val="24"/>
          <w:szCs w:val="24"/>
          <w:rtl w:val="0"/>
        </w:rPr>
        <w:t xml:space="preserve">producto tecnológico insignia de una Empresa de Base Tecnológica (EBT / Startup SpaceTech)</w:t>
      </w:r>
      <w:r w:rsidDel="00000000" w:rsidR="00000000" w:rsidRPr="00000000">
        <w:rPr>
          <w:rFonts w:ascii="Times New Roman" w:cs="Times New Roman" w:eastAsia="Times New Roman" w:hAnsi="Times New Roman"/>
          <w:b w:val="0"/>
          <w:bCs w:val="0"/>
          <w:i w:val="0"/>
          <w:iCs w:val="0"/>
          <w:color w:val="0f172a"/>
          <w:sz w:val="24"/>
          <w:szCs w:val="24"/>
          <w:rtl w:val="0"/>
        </w:rPr>
        <w:t xml:space="preserve"> orientada a proveer soluciones de inteligencia artificial aplicada, ingeniería cognitiva y preservación de memoria técnica para la industria espacial emergente (</w:t>
      </w:r>
      <w:r w:rsidDel="00000000" w:rsidR="00000000" w:rsidRPr="00000000">
        <w:rPr>
          <w:rFonts w:ascii="Times New Roman" w:cs="Times New Roman" w:eastAsia="Times New Roman" w:hAnsi="Times New Roman"/>
          <w:b w:val="0"/>
          <w:bCs w:val="0"/>
          <w:i w:val="1"/>
          <w:iCs w:val="1"/>
          <w:color w:val="0f172a"/>
          <w:sz w:val="24"/>
          <w:szCs w:val="24"/>
          <w:rtl w:val="0"/>
        </w:rPr>
        <w:t xml:space="preserve">NewSpace</w:t>
      </w:r>
      <w:r w:rsidDel="00000000" w:rsidR="00000000" w:rsidRPr="00000000">
        <w:rPr>
          <w:rFonts w:ascii="Times New Roman" w:cs="Times New Roman" w:eastAsia="Times New Roman" w:hAnsi="Times New Roman"/>
          <w:b w:val="0"/>
          <w:bCs w:val="0"/>
          <w:i w:val="0"/>
          <w:iCs w:val="0"/>
          <w:color w:val="0f172a"/>
          <w:sz w:val="24"/>
          <w:szCs w:val="24"/>
          <w:rtl w:val="0"/>
        </w:rPr>
        <w:t xml:space="preserve">) en Argentina y América Latina. CODI entrega valor operativo y cognitivo directo a los equipos de ingeniería de sistemas satelitales, integradores de misión y centros de investigación y desarrollo aeroespacial, reduciendo sustantivamente la sobrecarga mental en etapas de diseño preliminar, erradicando los "números tácitos" mediante la preservación inmutable del árbol de razonamiento técnico (</w:t>
      </w:r>
      <w:r w:rsidDel="00000000" w:rsidR="00000000" w:rsidRPr="00000000">
        <w:rPr>
          <w:rFonts w:ascii="Times New Roman" w:cs="Times New Roman" w:eastAsia="Times New Roman" w:hAnsi="Times New Roman"/>
          <w:b w:val="0"/>
          <w:bCs w:val="0"/>
          <w:i w:val="1"/>
          <w:iCs w:val="1"/>
          <w:color w:val="0f172a"/>
          <w:sz w:val="24"/>
          <w:szCs w:val="24"/>
          <w:rtl w:val="0"/>
        </w:rPr>
        <w:t xml:space="preserve">decision log</w:t>
      </w:r>
      <w:r w:rsidDel="00000000" w:rsidR="00000000" w:rsidRPr="00000000">
        <w:rPr>
          <w:rFonts w:ascii="Times New Roman" w:cs="Times New Roman" w:eastAsia="Times New Roman" w:hAnsi="Times New Roman"/>
          <w:b w:val="0"/>
          <w:bCs w:val="0"/>
          <w:i w:val="0"/>
          <w:iCs w:val="0"/>
          <w:color w:val="0f172a"/>
          <w:sz w:val="24"/>
          <w:szCs w:val="24"/>
          <w:rtl w:val="0"/>
        </w:rPr>
        <w:t xml:space="preserve">), y automatizando la verificación de restricciones físicas y normativas (ECSS-E-ST-20C Rev. 1 y Cal Poly CDS REV 14.1) sobre el subsistema crítico de potencia eléctrica (EPS).</w:t>
      </w:r>
      <w:r w:rsidDel="00000000" w:rsidR="00000000" w:rsidRPr="00000000">
        <w:rPr>
          <w:rtl w:val="0"/>
        </w:rPr>
      </w:r>
    </w:p>
    <w:p w:rsidR="00000000" w:rsidDel="00000000" w:rsidP="00000000" w:rsidRDefault="00000000" w:rsidRPr="00000000" w14:paraId="00000338">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modelo de sostenimiento económico y de explotación comercial se estructura bajo un esquema </w:t>
      </w:r>
      <w:r w:rsidDel="00000000" w:rsidR="00000000" w:rsidRPr="00000000">
        <w:rPr>
          <w:rFonts w:ascii="Times New Roman" w:cs="Times New Roman" w:eastAsia="Times New Roman" w:hAnsi="Times New Roman"/>
          <w:b w:val="1"/>
          <w:bCs w:val="1"/>
          <w:i w:val="0"/>
          <w:iCs w:val="0"/>
          <w:color w:val="0f172a"/>
          <w:sz w:val="24"/>
          <w:szCs w:val="24"/>
          <w:rtl w:val="0"/>
        </w:rPr>
        <w:t xml:space="preserve">B2B / B2G Enterprise para el sector industrial, científico y de defensa</w:t>
      </w:r>
      <w:r w:rsidDel="00000000" w:rsidR="00000000" w:rsidRPr="00000000">
        <w:rPr>
          <w:rFonts w:ascii="Times New Roman" w:cs="Times New Roman" w:eastAsia="Times New Roman" w:hAnsi="Times New Roman"/>
          <w:b w:val="0"/>
          <w:bCs w:val="0"/>
          <w:i w:val="0"/>
          <w:iCs w:val="0"/>
          <w:color w:val="0f172a"/>
          <w:sz w:val="24"/>
          <w:szCs w:val="24"/>
          <w:rtl w:val="0"/>
        </w:rPr>
        <w:t xml:space="preserve">, articulado sobre cinco pilares estratégicos de negocio:</w:t>
      </w:r>
      <w:r w:rsidDel="00000000" w:rsidR="00000000" w:rsidRPr="00000000">
        <w:rPr>
          <w:rtl w:val="0"/>
        </w:rPr>
      </w:r>
    </w:p>
    <w:p w:rsidR="00000000" w:rsidDel="00000000" w:rsidP="00000000" w:rsidRDefault="00000000" w:rsidRPr="00000000" w14:paraId="00000339">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 </w:t>
      </w:r>
      <w:r w:rsidDel="00000000" w:rsidR="00000000" w:rsidRPr="00000000">
        <w:rPr>
          <w:rFonts w:ascii="Times New Roman" w:cs="Times New Roman" w:eastAsia="Times New Roman" w:hAnsi="Times New Roman"/>
          <w:b w:val="1"/>
          <w:bCs w:val="1"/>
          <w:i w:val="0"/>
          <w:iCs w:val="0"/>
          <w:color w:val="0f172a"/>
          <w:sz w:val="23"/>
          <w:szCs w:val="23"/>
          <w:rtl w:val="0"/>
        </w:rPr>
        <w:t xml:space="preserve">Socio de Diseño y Cliente Ancla (*Design Partner Strategy*)</w:t>
      </w:r>
      <w:r w:rsidDel="00000000" w:rsidR="00000000" w:rsidRPr="00000000">
        <w:rPr>
          <w:rFonts w:ascii="Times New Roman" w:cs="Times New Roman" w:eastAsia="Times New Roman" w:hAnsi="Times New Roman"/>
          <w:b w:val="0"/>
          <w:bCs w:val="0"/>
          <w:i w:val="0"/>
          <w:iCs w:val="0"/>
          <w:color w:val="0f172a"/>
          <w:sz w:val="23"/>
          <w:szCs w:val="23"/>
          <w:rtl w:val="0"/>
        </w:rPr>
        <w:t xml:space="preserve">:</w:t>
      </w:r>
      <w:r w:rsidDel="00000000" w:rsidR="00000000" w:rsidRPr="00000000">
        <w:rPr>
          <w:rtl w:val="0"/>
        </w:rPr>
      </w:r>
    </w:p>
    <w:p w:rsidR="00000000" w:rsidDel="00000000" w:rsidP="00000000" w:rsidRDefault="00000000" w:rsidRPr="00000000" w14:paraId="0000033A">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La fase de incubación y validación operativa del producto se desarrolla junto al Centro Tecnológico Aeroespacial de la Universidad Nacional de La Plata (CTA-UNLP) como cliente ancla y entorno de prueba de protovuelo (</w:t>
      </w:r>
      <w:r w:rsidDel="00000000" w:rsidR="00000000" w:rsidRPr="00000000">
        <w:rPr>
          <w:rFonts w:ascii="Times New Roman" w:cs="Times New Roman" w:eastAsia="Times New Roman" w:hAnsi="Times New Roman"/>
          <w:b w:val="0"/>
          <w:bCs w:val="0"/>
          <w:i w:val="1"/>
          <w:iCs w:val="1"/>
          <w:color w:val="0f172a"/>
          <w:sz w:val="24"/>
          <w:szCs w:val="24"/>
          <w:rtl w:val="0"/>
        </w:rPr>
        <w:t xml:space="preserve">protoflight</w:t>
      </w:r>
      <w:r w:rsidDel="00000000" w:rsidR="00000000" w:rsidRPr="00000000">
        <w:rPr>
          <w:rFonts w:ascii="Times New Roman" w:cs="Times New Roman" w:eastAsia="Times New Roman" w:hAnsi="Times New Roman"/>
          <w:b w:val="0"/>
          <w:bCs w:val="0"/>
          <w:i w:val="0"/>
          <w:iCs w:val="0"/>
          <w:color w:val="0f172a"/>
          <w:sz w:val="24"/>
          <w:szCs w:val="24"/>
          <w:rtl w:val="0"/>
        </w:rPr>
        <w:t xml:space="preserve"> en misiones USAT-1 y Atenea). El centro accede a una licencia de uso preferencial a cambio de proveer datos empíricos de misión, escenarios operativos reales y la homologación técnica de los modelos frente a estándares de agencia.</w:t>
      </w:r>
      <w:r w:rsidDel="00000000" w:rsidR="00000000" w:rsidRPr="00000000">
        <w:rPr>
          <w:rtl w:val="0"/>
        </w:rPr>
      </w:r>
    </w:p>
    <w:p w:rsidR="00000000" w:rsidDel="00000000" w:rsidP="00000000" w:rsidRDefault="00000000" w:rsidRPr="00000000" w14:paraId="0000033B">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2. </w:t>
      </w:r>
      <w:r w:rsidDel="00000000" w:rsidR="00000000" w:rsidRPr="00000000">
        <w:rPr>
          <w:rFonts w:ascii="Times New Roman" w:cs="Times New Roman" w:eastAsia="Times New Roman" w:hAnsi="Times New Roman"/>
          <w:b w:val="1"/>
          <w:bCs w:val="1"/>
          <w:i w:val="0"/>
          <w:iCs w:val="0"/>
          <w:color w:val="0f172a"/>
          <w:sz w:val="23"/>
          <w:szCs w:val="23"/>
          <w:rtl w:val="0"/>
        </w:rPr>
        <w:t xml:space="preserve">Modelo de Licenciamiento B2B Anual (*Annual Node / Team License*)</w:t>
      </w:r>
      <w:r w:rsidDel="00000000" w:rsidR="00000000" w:rsidRPr="00000000">
        <w:rPr>
          <w:rFonts w:ascii="Times New Roman" w:cs="Times New Roman" w:eastAsia="Times New Roman" w:hAnsi="Times New Roman"/>
          <w:b w:val="0"/>
          <w:bCs w:val="0"/>
          <w:i w:val="0"/>
          <w:iCs w:val="0"/>
          <w:color w:val="0f172a"/>
          <w:sz w:val="23"/>
          <w:szCs w:val="23"/>
          <w:rtl w:val="0"/>
        </w:rPr>
        <w:t xml:space="preserve">:</w:t>
      </w:r>
      <w:r w:rsidDel="00000000" w:rsidR="00000000" w:rsidRPr="00000000">
        <w:rPr>
          <w:rtl w:val="0"/>
        </w:rPr>
      </w:r>
    </w:p>
    <w:p w:rsidR="00000000" w:rsidDel="00000000" w:rsidP="00000000" w:rsidRDefault="00000000" w:rsidRPr="00000000" w14:paraId="0000033C">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La monetización recurrente proviene de la venta de licencias comerciales anuales por equipo de desarrollo o nodo de ingeniería a empresas aeroespaciales privadas (desarrolladores de constelaciones, fabricantes de subsistemas y lanzadores livianos en la región como Satellogic, VENG, Epic Aerospace, Tlon Space o consorcios de proveedores COTS) y agencias gubernamentales. El esquema contempla:</w:t>
      </w: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Tier Enterprise (Comercial/Industrial)</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Licencia de suscripción anual (estimada en un rango competitivo de USD 2.500 a USD 5.000 por nodo/equipo con soporte técnico garantizado y despliegue local contenerizado), situándose significativamente por debajo de las plataformas MBSE importadas (Valispace a USD 1.500/año por asiento individual o suites CAD propietarias de USD 15.000 anuales).</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Tier Académico / Formativo (*Academic Tier*)</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Licenciamiento bonificado o de costo marginal para universidades y centros educativos, fomentando la adopción temprana y capacitando a los futuros ingenieros satelitales en el ecosistema de la startup.</w:t>
      </w:r>
      <w:r w:rsidDel="00000000" w:rsidR="00000000" w:rsidRPr="00000000">
        <w:rPr>
          <w:rtl w:val="0"/>
        </w:rPr>
      </w:r>
    </w:p>
    <w:p w:rsidR="00000000" w:rsidDel="00000000" w:rsidP="00000000" w:rsidRDefault="00000000" w:rsidRPr="00000000" w14:paraId="0000033F">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3. </w:t>
      </w:r>
      <w:r w:rsidDel="00000000" w:rsidR="00000000" w:rsidRPr="00000000">
        <w:rPr>
          <w:rFonts w:ascii="Times New Roman" w:cs="Times New Roman" w:eastAsia="Times New Roman" w:hAnsi="Times New Roman"/>
          <w:b w:val="1"/>
          <w:bCs w:val="1"/>
          <w:i w:val="0"/>
          <w:iCs w:val="0"/>
          <w:color w:val="0f172a"/>
          <w:sz w:val="23"/>
          <w:szCs w:val="23"/>
          <w:rtl w:val="0"/>
        </w:rPr>
        <w:t xml:space="preserve">Gestión Híbrida de Inferencia de IA y Modelo BYOK (*Bring Your Own Key &amp; Local LLMs*)</w:t>
      </w:r>
      <w:r w:rsidDel="00000000" w:rsidR="00000000" w:rsidRPr="00000000">
        <w:rPr>
          <w:rFonts w:ascii="Times New Roman" w:cs="Times New Roman" w:eastAsia="Times New Roman" w:hAnsi="Times New Roman"/>
          <w:b w:val="0"/>
          <w:bCs w:val="0"/>
          <w:i w:val="0"/>
          <w:iCs w:val="0"/>
          <w:color w:val="0f172a"/>
          <w:sz w:val="23"/>
          <w:szCs w:val="23"/>
          <w:rtl w:val="0"/>
        </w:rPr>
        <w:t xml:space="preserve">:</w:t>
      </w:r>
      <w:r w:rsidDel="00000000" w:rsidR="00000000" w:rsidRPr="00000000">
        <w:rPr>
          <w:rtl w:val="0"/>
        </w:rPr>
      </w:r>
    </w:p>
    <w:p w:rsidR="00000000" w:rsidDel="00000000" w:rsidP="00000000" w:rsidRDefault="00000000" w:rsidRPr="00000000" w14:paraId="00000340">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Para proteger el margen financiero de la startup y evitar que el costo variable de inferencia en la nube erosione los ingresos de la licencia, CODI adopta una arquitectura desacoplada de cómputo:</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Responsabilidad del Consumo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Cada equipo cliente gestiona y costea su propia inferencia mediante el esquema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Bring Your Own Key</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(BYOK) para APIs comerciales externas (Google Gemini, Anthropic Claude, OpenAI) o mediante la ejecución de modelos de lenguaje abiertos locales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on-premise</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vía Ollama o vLLM).</w:t>
      </w: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Servicios de Instalación y Soporte Especializado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La startup monetiza servicios profesionales de alto margen orientados a la auditoría de hardware, guía de dimensionamiento, instalación y optimización de LLMs locales en servidores internos para clientes con restricciones estrictas de conectividad.</w:t>
      </w:r>
      <w:r w:rsidDel="00000000" w:rsidR="00000000" w:rsidRPr="00000000">
        <w:rPr>
          <w:rtl w:val="0"/>
        </w:rPr>
      </w:r>
    </w:p>
    <w:p w:rsidR="00000000" w:rsidDel="00000000" w:rsidP="00000000" w:rsidRDefault="00000000" w:rsidRPr="00000000" w14:paraId="00000343">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4. </w:t>
      </w:r>
      <w:r w:rsidDel="00000000" w:rsidR="00000000" w:rsidRPr="00000000">
        <w:rPr>
          <w:rFonts w:ascii="Times New Roman" w:cs="Times New Roman" w:eastAsia="Times New Roman" w:hAnsi="Times New Roman"/>
          <w:b w:val="1"/>
          <w:bCs w:val="1"/>
          <w:i w:val="0"/>
          <w:iCs w:val="0"/>
          <w:color w:val="0f172a"/>
          <w:sz w:val="23"/>
          <w:szCs w:val="23"/>
          <w:rtl w:val="0"/>
        </w:rPr>
        <w:t xml:space="preserve">Ciberseguridad de APIs, Soberanía de Datos y Modo Desconectado (*Privacy-by-Design*)</w:t>
      </w:r>
      <w:r w:rsidDel="00000000" w:rsidR="00000000" w:rsidRPr="00000000">
        <w:rPr>
          <w:rFonts w:ascii="Times New Roman" w:cs="Times New Roman" w:eastAsia="Times New Roman" w:hAnsi="Times New Roman"/>
          <w:b w:val="0"/>
          <w:bCs w:val="0"/>
          <w:i w:val="0"/>
          <w:iCs w:val="0"/>
          <w:color w:val="0f172a"/>
          <w:sz w:val="23"/>
          <w:szCs w:val="23"/>
          <w:rtl w:val="0"/>
        </w:rPr>
        <w:t xml:space="preserve">:</w:t>
      </w:r>
      <w:r w:rsidDel="00000000" w:rsidR="00000000" w:rsidRPr="00000000">
        <w:rPr>
          <w:rtl w:val="0"/>
        </w:rPr>
      </w:r>
    </w:p>
    <w:p w:rsidR="00000000" w:rsidDel="00000000" w:rsidP="00000000" w:rsidRDefault="00000000" w:rsidRPr="00000000" w14:paraId="00000344">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Dado que los proyectos satelitales involucran parámetros protegidos por secreto industrial o normativas de no proliferación, CODI incorpora principios de privacidad por diseño sin sobrecostos de desarrollo para el núcleo del MVP:</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Almacenamiento Local de Credenciales (*Zero-Knowledge Keys*)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Las claves de acceso a APIs residen exclusivamente en el entorno local del cliente (</w:t>
      </w: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.env</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o gestor seguro del host); la startup nunca almacena, recibe ni triangula credenciales corporativas.</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Sanitización Pre-Vuelo de Prompts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Capa ligera de preprocesamiento local que ofusca identificadores críticos de proyecto y nombres confidenciales de proveedores antes de invocar endpoints externos, preservando el contexto analítico del cálculo sin exponer identidades clasificadas.</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Aislamiento de Red (*Air-Gapped Mode*)</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Soporte nativo para operar en redes cerradas de laboratorio sin salida a internet cuando se trabaja con LLMs locales. Las capacidades avanzadas de prevención de fuga de datos (DLP corporativo) e inspección regulatoria tipo ITAR quedan formalizadas como servicios de expansión comercial en la hoja de ruta de la startup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Roadmap Post-PIF</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48">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5. </w:t>
      </w:r>
      <w:r w:rsidDel="00000000" w:rsidR="00000000" w:rsidRPr="00000000">
        <w:rPr>
          <w:rFonts w:ascii="Times New Roman" w:cs="Times New Roman" w:eastAsia="Times New Roman" w:hAnsi="Times New Roman"/>
          <w:b w:val="1"/>
          <w:bCs w:val="1"/>
          <w:i w:val="0"/>
          <w:iCs w:val="0"/>
          <w:color w:val="0f172a"/>
          <w:sz w:val="23"/>
          <w:szCs w:val="23"/>
          <w:rtl w:val="0"/>
        </w:rPr>
        <w:t xml:space="preserve">Programa de Co-Innovación y Gobernanza de Extensiones (*Partner Contribution Program*)</w:t>
      </w:r>
      <w:r w:rsidDel="00000000" w:rsidR="00000000" w:rsidRPr="00000000">
        <w:rPr>
          <w:rFonts w:ascii="Times New Roman" w:cs="Times New Roman" w:eastAsia="Times New Roman" w:hAnsi="Times New Roman"/>
          <w:b w:val="0"/>
          <w:bCs w:val="0"/>
          <w:i w:val="0"/>
          <w:iCs w:val="0"/>
          <w:color w:val="0f172a"/>
          <w:sz w:val="23"/>
          <w:szCs w:val="23"/>
          <w:rtl w:val="0"/>
        </w:rPr>
        <w:t xml:space="preserve">:</w:t>
      </w:r>
      <w:r w:rsidDel="00000000" w:rsidR="00000000" w:rsidRPr="00000000">
        <w:rPr>
          <w:rtl w:val="0"/>
        </w:rPr>
      </w:r>
    </w:p>
    <w:p w:rsidR="00000000" w:rsidDel="00000000" w:rsidP="00000000" w:rsidRDefault="00000000" w:rsidRPr="00000000" w14:paraId="00000349">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Para incentivar la evolución del producto sin desvirtuar el control de calidad, los clientes con licencia activa pueden desarrollar módulos de cálculo adicionales, nuevas reglas de negocio o conectores de componentes sobre la arquitectura abierta de CODI. Si una extensión propuesta supera la auditoría técnica de calidad y adherencia a estándares espaciales (ECSS/NASA) efectuada por la startup y se incorpora a la biblioteca oficial de la plataforma, la entidad que aporta la mejora recibe </w:t>
      </w:r>
      <w:r w:rsidDel="00000000" w:rsidR="00000000" w:rsidRPr="00000000">
        <w:rPr>
          <w:rFonts w:ascii="Times New Roman" w:cs="Times New Roman" w:eastAsia="Times New Roman" w:hAnsi="Times New Roman"/>
          <w:b w:val="1"/>
          <w:bCs w:val="1"/>
          <w:i w:val="0"/>
          <w:iCs w:val="0"/>
          <w:color w:val="0f172a"/>
          <w:sz w:val="24"/>
          <w:szCs w:val="24"/>
          <w:rtl w:val="0"/>
        </w:rPr>
        <w:t xml:space="preserve">créditos de bonificación directa en la renovación de su licencia anual (*License Fee Credits*)</w:t>
      </w:r>
      <w:r w:rsidDel="00000000" w:rsidR="00000000" w:rsidRPr="00000000">
        <w:rPr>
          <w:rFonts w:ascii="Times New Roman" w:cs="Times New Roman" w:eastAsia="Times New Roman" w:hAnsi="Times New Roman"/>
          <w:b w:val="0"/>
          <w:bCs w:val="0"/>
          <w:i w:val="0"/>
          <w:iCs w:val="0"/>
          <w:color w:val="0f172a"/>
          <w:sz w:val="24"/>
          <w:szCs w:val="24"/>
          <w:rtl w:val="0"/>
        </w:rPr>
        <w:t xml:space="preserve"> o regalías por suscripción (</w:t>
      </w:r>
      <w:r w:rsidDel="00000000" w:rsidR="00000000" w:rsidRPr="00000000">
        <w:rPr>
          <w:rFonts w:ascii="Times New Roman" w:cs="Times New Roman" w:eastAsia="Times New Roman" w:hAnsi="Times New Roman"/>
          <w:b w:val="0"/>
          <w:bCs w:val="0"/>
          <w:i w:val="1"/>
          <w:iCs w:val="1"/>
          <w:color w:val="0f172a"/>
          <w:sz w:val="24"/>
          <w:szCs w:val="24"/>
          <w:rtl w:val="0"/>
        </w:rPr>
        <w:t xml:space="preserve">revenue-share</w:t>
      </w:r>
      <w:r w:rsidDel="00000000" w:rsidR="00000000" w:rsidRPr="00000000">
        <w:rPr>
          <w:rFonts w:ascii="Times New Roman" w:cs="Times New Roman" w:eastAsia="Times New Roman" w:hAnsi="Times New Roman"/>
          <w:b w:val="0"/>
          <w:bCs w:val="0"/>
          <w:i w:val="0"/>
          <w:iCs w:val="0"/>
          <w:color w:val="0f172a"/>
          <w:sz w:val="24"/>
          <w:szCs w:val="24"/>
          <w:rtl w:val="0"/>
        </w:rPr>
        <w:t xml:space="preserve">) si el módulo se distribuye en el catálogo comercial, otorgando además la firma y el reconocimiento formal de autoría técnica institucional.</w:t>
      </w:r>
      <w:r w:rsidDel="00000000" w:rsidR="00000000" w:rsidRPr="00000000">
        <w:rPr>
          <w:rtl w:val="0"/>
        </w:rPr>
      </w:r>
    </w:p>
    <w:p w:rsidR="00000000" w:rsidDel="00000000" w:rsidP="00000000" w:rsidRDefault="00000000" w:rsidRPr="00000000" w14:paraId="0000034A">
      <w:pPr>
        <w:spacing w:after="80" w:before="0" w:line="480" w:lineRule="auto"/>
        <w:ind w:firstLine="720"/>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Tabla IV.1: Lienzo de Modelo de Negocio (Business Model Canvas)</w:t>
      </w:r>
      <w:r w:rsidDel="00000000" w:rsidR="00000000" w:rsidRPr="00000000">
        <w:rPr>
          <w:rtl w:val="0"/>
        </w:rPr>
      </w:r>
    </w:p>
    <w:tbl>
      <w:tblPr>
        <w:tblStyle w:val="Table39"/>
        <w:tblW w:w="8505.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2835"/>
        <w:gridCol w:w="2835"/>
        <w:gridCol w:w="2835"/>
        <w:tblGridChange w:id="0">
          <w:tblGrid>
            <w:gridCol w:w="2835"/>
            <w:gridCol w:w="2835"/>
            <w:gridCol w:w="2835"/>
          </w:tblGrid>
        </w:tblGridChange>
      </w:tblGrid>
      <w:tr>
        <w:trPr>
          <w:cantSplit w:val="1"/>
          <w:tblHeader w:val="1"/>
        </w:trPr>
        <w:tc>
          <w:tcPr>
            <w:shd w:fill="f1f5f9" w:val="clear"/>
          </w:tcPr>
          <w:p w:rsidR="00000000" w:rsidDel="00000000" w:rsidP="00000000" w:rsidRDefault="00000000" w:rsidRPr="00000000" w14:paraId="0000034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Bloque del Lienzo</w:t>
            </w:r>
            <w:r w:rsidDel="00000000" w:rsidR="00000000" w:rsidRPr="00000000">
              <w:rPr>
                <w:rtl w:val="0"/>
              </w:rPr>
            </w:r>
          </w:p>
        </w:tc>
        <w:tc>
          <w:tcPr>
            <w:shd w:fill="f1f5f9" w:val="clear"/>
          </w:tcPr>
          <w:p w:rsidR="00000000" w:rsidDel="00000000" w:rsidP="00000000" w:rsidRDefault="00000000" w:rsidRPr="00000000" w14:paraId="0000034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Contenido Específico del Modelo de Negocio</w:t>
            </w:r>
            <w:r w:rsidDel="00000000" w:rsidR="00000000" w:rsidRPr="00000000">
              <w:rPr>
                <w:rtl w:val="0"/>
              </w:rPr>
            </w:r>
          </w:p>
        </w:tc>
        <w:tc>
          <w:tcPr>
            <w:shd w:fill="f1f5f9" w:val="clear"/>
          </w:tcPr>
          <w:p w:rsidR="00000000" w:rsidDel="00000000" w:rsidP="00000000" w:rsidRDefault="00000000" w:rsidRPr="00000000" w14:paraId="0000034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Implicancia sobre el Alcance Comprometido</w:t>
            </w:r>
            <w:r w:rsidDel="00000000" w:rsidR="00000000" w:rsidRPr="00000000">
              <w:rPr>
                <w:rtl w:val="0"/>
              </w:rPr>
            </w:r>
          </w:p>
        </w:tc>
      </w:tr>
      <w:tr>
        <w:trPr>
          <w:cantSplit w:val="1"/>
          <w:tblHeader w:val="0"/>
        </w:trPr>
        <w:tc>
          <w:tcPr/>
          <w:p w:rsidR="00000000" w:rsidDel="00000000" w:rsidP="00000000" w:rsidRDefault="00000000" w:rsidRPr="00000000" w14:paraId="0000034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Segmentos de Clientes</w:t>
            </w:r>
            <w:r w:rsidDel="00000000" w:rsidR="00000000" w:rsidRPr="00000000">
              <w:rPr>
                <w:rtl w:val="0"/>
              </w:rPr>
            </w:r>
          </w:p>
        </w:tc>
        <w:tc>
          <w:tcPr/>
          <w:p w:rsidR="00000000" w:rsidDel="00000000" w:rsidP="00000000" w:rsidRDefault="00000000" w:rsidRPr="00000000" w14:paraId="0000034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Empresas privadas del ecosistema NewSpace regional (integradores de nanosatélites, proveedores de cargas útiles, lanzadores); agencias y centros espaciales gubernamentales (CONAE, laboratorios de I+D); y consorcios universitarios que operan satélites pequeños (CubeSats 1U, 3U y 6U).</w:t>
            </w:r>
            <w:r w:rsidDel="00000000" w:rsidR="00000000" w:rsidRPr="00000000">
              <w:rPr>
                <w:rtl w:val="0"/>
              </w:rPr>
            </w:r>
          </w:p>
        </w:tc>
        <w:tc>
          <w:tcPr/>
          <w:p w:rsidR="00000000" w:rsidDel="00000000" w:rsidP="00000000" w:rsidRDefault="00000000" w:rsidRPr="00000000" w14:paraId="0000035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Delimita el producto CODI al soporte de factores de forma normalizados CubeSat (1U, 3U y 6U) en órbitas bajas terrestres (LEO), descartando el soporte para misiones geoestacionarias (GEO) o constelaciones masivas.</w:t>
            </w:r>
            <w:r w:rsidDel="00000000" w:rsidR="00000000" w:rsidRPr="00000000">
              <w:rPr>
                <w:rtl w:val="0"/>
              </w:rPr>
            </w:r>
          </w:p>
        </w:tc>
      </w:tr>
      <w:tr>
        <w:trPr>
          <w:cantSplit w:val="1"/>
          <w:tblHeader w:val="0"/>
        </w:trPr>
        <w:tc>
          <w:tcPr/>
          <w:p w:rsidR="00000000" w:rsidDel="00000000" w:rsidP="00000000" w:rsidRDefault="00000000" w:rsidRPr="00000000" w14:paraId="0000035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Propuesta de Valor</w:t>
            </w:r>
            <w:r w:rsidDel="00000000" w:rsidR="00000000" w:rsidRPr="00000000">
              <w:rPr>
                <w:rtl w:val="0"/>
              </w:rPr>
            </w:r>
          </w:p>
        </w:tc>
        <w:tc>
          <w:tcPr/>
          <w:p w:rsidR="00000000" w:rsidDel="00000000" w:rsidP="00000000" w:rsidRDefault="00000000" w:rsidRPr="00000000" w14:paraId="0000035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Arnés de ingeniería cognitiva asistida por IA que reduce la sobrecarga mental en diseño preliminar, valida determinísticamente el subsistema crítico de potencia eléctrica (EPS), audita restricciones normativas espaciales (ECSS/Cal Poly), preserva la memoria técnica inmutable ante la rotación y garantiza soberanía de datos mediante inferencia híbrida (APIs o LLMs locales seguros).</w:t>
            </w:r>
            <w:r w:rsidDel="00000000" w:rsidR="00000000" w:rsidRPr="00000000">
              <w:rPr>
                <w:rtl w:val="0"/>
              </w:rPr>
            </w:r>
          </w:p>
        </w:tc>
        <w:tc>
          <w:tcPr/>
          <w:p w:rsidR="00000000" w:rsidDel="00000000" w:rsidP="00000000" w:rsidRDefault="00000000" w:rsidRPr="00000000" w14:paraId="0000035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Compromete el desarrollo de la arquitectura de doble agente adaptativo (RF-12), el motor determinístico de potencia EPS (RF-02 a RF-04) y el registro inmutable con firma del </w:t>
            </w:r>
            <w:r w:rsidDel="00000000" w:rsidR="00000000" w:rsidRPr="00000000">
              <w:rPr>
                <w:rFonts w:ascii="Consolas" w:cs="Consolas" w:eastAsia="Consolas" w:hAnsi="Consolas"/>
                <w:b w:val="0"/>
                <w:bCs w:val="0"/>
                <w:i w:val="0"/>
                <w:iCs w:val="0"/>
                <w:color w:val="334155"/>
                <w:sz w:val="15"/>
                <w:szCs w:val="15"/>
                <w:rtl w:val="0"/>
              </w:rPr>
              <w:t xml:space="preserve">PerfilIngeniero</w:t>
            </w:r>
            <w:r w:rsidDel="00000000" w:rsidR="00000000" w:rsidRPr="00000000">
              <w:rPr>
                <w:rFonts w:ascii="Times New Roman" w:cs="Times New Roman" w:eastAsia="Times New Roman" w:hAnsi="Times New Roman"/>
                <w:b w:val="0"/>
                <w:bCs w:val="0"/>
                <w:i w:val="0"/>
                <w:iCs w:val="0"/>
                <w:color w:val="0f172a"/>
                <w:sz w:val="18"/>
                <w:szCs w:val="18"/>
                <w:rtl w:val="0"/>
              </w:rPr>
              <w:t xml:space="preserve"> (RF-09, RNF-05), garantizando precisión verificable frente a alucinaciones.</w:t>
            </w:r>
            <w:r w:rsidDel="00000000" w:rsidR="00000000" w:rsidRPr="00000000">
              <w:rPr>
                <w:rtl w:val="0"/>
              </w:rPr>
            </w:r>
          </w:p>
        </w:tc>
      </w:tr>
      <w:tr>
        <w:trPr>
          <w:cantSplit w:val="1"/>
          <w:tblHeader w:val="0"/>
        </w:trPr>
        <w:tc>
          <w:tcPr/>
          <w:p w:rsidR="00000000" w:rsidDel="00000000" w:rsidP="00000000" w:rsidRDefault="00000000" w:rsidRPr="00000000" w14:paraId="0000035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Canales</w:t>
            </w:r>
            <w:r w:rsidDel="00000000" w:rsidR="00000000" w:rsidRPr="00000000">
              <w:rPr>
                <w:rtl w:val="0"/>
              </w:rPr>
            </w:r>
          </w:p>
        </w:tc>
        <w:tc>
          <w:tcPr/>
          <w:p w:rsidR="00000000" w:rsidDel="00000000" w:rsidP="00000000" w:rsidRDefault="00000000" w:rsidRPr="00000000" w14:paraId="0000035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Venta B2B directa mediante demostraciones técnicas y acuerdos corporativos; despliegue mediante contenedores Docker autogestionados en infraestructura local del cliente (</w:t>
            </w:r>
            <w:r w:rsidDel="00000000" w:rsidR="00000000" w:rsidRPr="00000000">
              <w:rPr>
                <w:rFonts w:ascii="Times New Roman" w:cs="Times New Roman" w:eastAsia="Times New Roman" w:hAnsi="Times New Roman"/>
                <w:b w:val="0"/>
                <w:bCs w:val="0"/>
                <w:i w:val="1"/>
                <w:iCs w:val="1"/>
                <w:color w:val="0f172a"/>
                <w:sz w:val="18"/>
                <w:szCs w:val="18"/>
                <w:rtl w:val="0"/>
              </w:rPr>
              <w:t xml:space="preserve">on-premise</w:t>
            </w:r>
            <w:r w:rsidDel="00000000" w:rsidR="00000000" w:rsidRPr="00000000">
              <w:rPr>
                <w:rFonts w:ascii="Times New Roman" w:cs="Times New Roman" w:eastAsia="Times New Roman" w:hAnsi="Times New Roman"/>
                <w:b w:val="0"/>
                <w:bCs w:val="0"/>
                <w:i w:val="0"/>
                <w:iCs w:val="0"/>
                <w:color w:val="0f172a"/>
                <w:sz w:val="18"/>
                <w:szCs w:val="18"/>
                <w:rtl w:val="0"/>
              </w:rPr>
              <w:t xml:space="preserve"> o nube privada); presencia técnica en congresos del sector (ej. CATE); y el programa piloto con el socio de diseño (CTA-UNLP).</w:t>
            </w:r>
            <w:r w:rsidDel="00000000" w:rsidR="00000000" w:rsidRPr="00000000">
              <w:rPr>
                <w:rtl w:val="0"/>
              </w:rPr>
            </w:r>
          </w:p>
        </w:tc>
        <w:tc>
          <w:tcPr/>
          <w:p w:rsidR="00000000" w:rsidDel="00000000" w:rsidP="00000000" w:rsidRDefault="00000000" w:rsidRPr="00000000" w14:paraId="0000035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Exige que la arquitectura de software de CODI sea estrictamente autocontenida y modular, operable en máquinas locales limpias sin requerir conectividad permanente a servicios de terceros en la nube pública (RNF-04).</w:t>
            </w:r>
            <w:r w:rsidDel="00000000" w:rsidR="00000000" w:rsidRPr="00000000">
              <w:rPr>
                <w:rtl w:val="0"/>
              </w:rPr>
            </w:r>
          </w:p>
        </w:tc>
      </w:tr>
      <w:tr>
        <w:trPr>
          <w:cantSplit w:val="1"/>
          <w:tblHeader w:val="0"/>
        </w:trPr>
        <w:tc>
          <w:tcPr/>
          <w:p w:rsidR="00000000" w:rsidDel="00000000" w:rsidP="00000000" w:rsidRDefault="00000000" w:rsidRPr="00000000" w14:paraId="0000035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Relaciones con Clientes</w:t>
            </w:r>
            <w:r w:rsidDel="00000000" w:rsidR="00000000" w:rsidRPr="00000000">
              <w:rPr>
                <w:rtl w:val="0"/>
              </w:rPr>
            </w:r>
          </w:p>
        </w:tc>
        <w:tc>
          <w:tcPr/>
          <w:p w:rsidR="00000000" w:rsidDel="00000000" w:rsidP="00000000" w:rsidRDefault="00000000" w:rsidRPr="00000000" w14:paraId="0000035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Asistencia técnica personalizada B2B y soporte para misiones críticas; transferencia de buenas prácticas; y el </w:t>
            </w:r>
            <w:r w:rsidDel="00000000" w:rsidR="00000000" w:rsidRPr="00000000">
              <w:rPr>
                <w:rFonts w:ascii="Times New Roman" w:cs="Times New Roman" w:eastAsia="Times New Roman" w:hAnsi="Times New Roman"/>
                <w:b w:val="1"/>
                <w:bCs w:val="1"/>
                <w:i w:val="0"/>
                <w:iCs w:val="0"/>
                <w:color w:val="0f172a"/>
                <w:sz w:val="18"/>
                <w:szCs w:val="18"/>
                <w:rtl w:val="0"/>
              </w:rPr>
              <w:t xml:space="preserve">Programa de Co-Innovación de Extensiones</w:t>
            </w:r>
            <w:r w:rsidDel="00000000" w:rsidR="00000000" w:rsidRPr="00000000">
              <w:rPr>
                <w:rFonts w:ascii="Times New Roman" w:cs="Times New Roman" w:eastAsia="Times New Roman" w:hAnsi="Times New Roman"/>
                <w:b w:val="0"/>
                <w:bCs w:val="0"/>
                <w:i w:val="0"/>
                <w:iCs w:val="0"/>
                <w:color w:val="0f172a"/>
                <w:sz w:val="18"/>
                <w:szCs w:val="18"/>
                <w:rtl w:val="0"/>
              </w:rPr>
              <w:t xml:space="preserve">, que bonifica licencias a los clientes que aporten mejoras consolidadas a la biblioteca técnica de CODI.</w:t>
            </w:r>
            <w:r w:rsidDel="00000000" w:rsidR="00000000" w:rsidRPr="00000000">
              <w:rPr>
                <w:rtl w:val="0"/>
              </w:rPr>
            </w:r>
          </w:p>
        </w:tc>
        <w:tc>
          <w:tcPr/>
          <w:p w:rsidR="00000000" w:rsidDel="00000000" w:rsidP="00000000" w:rsidRDefault="00000000" w:rsidRPr="00000000" w14:paraId="0000035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Demanda el diseño de una arquitectura modular basada en esquemas de intercambio de datos abiertos y documentados (JSON/CSV), permitiendo la extensibilidad de reglas y componentes por parte de terceros.</w:t>
            </w:r>
            <w:r w:rsidDel="00000000" w:rsidR="00000000" w:rsidRPr="00000000">
              <w:rPr>
                <w:rtl w:val="0"/>
              </w:rPr>
            </w:r>
          </w:p>
        </w:tc>
      </w:tr>
      <w:tr>
        <w:trPr>
          <w:cantSplit w:val="1"/>
          <w:tblHeader w:val="0"/>
        </w:trPr>
        <w:tc>
          <w:tcPr/>
          <w:p w:rsidR="00000000" w:rsidDel="00000000" w:rsidP="00000000" w:rsidRDefault="00000000" w:rsidRPr="00000000" w14:paraId="0000035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Fuentes de Ingreso</w:t>
            </w:r>
            <w:r w:rsidDel="00000000" w:rsidR="00000000" w:rsidRPr="00000000">
              <w:rPr>
                <w:rtl w:val="0"/>
              </w:rPr>
            </w:r>
          </w:p>
        </w:tc>
        <w:tc>
          <w:tcPr/>
          <w:p w:rsidR="00000000" w:rsidDel="00000000" w:rsidP="00000000" w:rsidRDefault="00000000" w:rsidRPr="00000000" w14:paraId="0000035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Contratos anuales de suscripción de licencias B2B (</w:t>
            </w:r>
            <w:r w:rsidDel="00000000" w:rsidR="00000000" w:rsidRPr="00000000">
              <w:rPr>
                <w:rFonts w:ascii="Times New Roman" w:cs="Times New Roman" w:eastAsia="Times New Roman" w:hAnsi="Times New Roman"/>
                <w:b w:val="0"/>
                <w:bCs w:val="0"/>
                <w:i w:val="1"/>
                <w:iCs w:val="1"/>
                <w:color w:val="0f172a"/>
                <w:sz w:val="18"/>
                <w:szCs w:val="18"/>
                <w:rtl w:val="0"/>
              </w:rPr>
              <w:t xml:space="preserve">Tier Enterprise</w:t>
            </w:r>
            <w:r w:rsidDel="00000000" w:rsidR="00000000" w:rsidRPr="00000000">
              <w:rPr>
                <w:rFonts w:ascii="Times New Roman" w:cs="Times New Roman" w:eastAsia="Times New Roman" w:hAnsi="Times New Roman"/>
                <w:b w:val="0"/>
                <w:bCs w:val="0"/>
                <w:i w:val="0"/>
                <w:iCs w:val="0"/>
                <w:color w:val="0f172a"/>
                <w:sz w:val="18"/>
                <w:szCs w:val="18"/>
                <w:rtl w:val="0"/>
              </w:rPr>
              <w:t xml:space="preserve"> a USD 2.500 - 5.000/año); servicios especializados de parametrización de arnés (</w:t>
            </w:r>
            <w:r w:rsidDel="00000000" w:rsidR="00000000" w:rsidRPr="00000000">
              <w:rPr>
                <w:rFonts w:ascii="Times New Roman" w:cs="Times New Roman" w:eastAsia="Times New Roman" w:hAnsi="Times New Roman"/>
                <w:b w:val="0"/>
                <w:bCs w:val="0"/>
                <w:i w:val="1"/>
                <w:iCs w:val="1"/>
                <w:color w:val="0f172a"/>
                <w:sz w:val="18"/>
                <w:szCs w:val="18"/>
                <w:rtl w:val="0"/>
              </w:rPr>
              <w:t xml:space="preserve">Custom Setup</w:t>
            </w:r>
            <w:r w:rsidDel="00000000" w:rsidR="00000000" w:rsidRPr="00000000">
              <w:rPr>
                <w:rFonts w:ascii="Times New Roman" w:cs="Times New Roman" w:eastAsia="Times New Roman" w:hAnsi="Times New Roman"/>
                <w:b w:val="0"/>
                <w:bCs w:val="0"/>
                <w:i w:val="0"/>
                <w:iCs w:val="0"/>
                <w:color w:val="0f172a"/>
                <w:sz w:val="18"/>
                <w:szCs w:val="18"/>
                <w:rtl w:val="0"/>
              </w:rPr>
              <w:t xml:space="preserve">); consultoría de despliegue de LLMs locales seguros; y fondos semilla de aceleración para Empresas de Base Tecnológica (EBT).</w:t>
            </w:r>
            <w:r w:rsidDel="00000000" w:rsidR="00000000" w:rsidRPr="00000000">
              <w:rPr>
                <w:rtl w:val="0"/>
              </w:rPr>
            </w:r>
          </w:p>
        </w:tc>
        <w:tc>
          <w:tcPr/>
          <w:p w:rsidR="00000000" w:rsidDel="00000000" w:rsidP="00000000" w:rsidRDefault="00000000" w:rsidRPr="00000000" w14:paraId="0000035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Elimina la necesidad de implementar pasarelas de pago electrónico minoristas (Stripe/MercadoPago), carritos web o facturación transaccional automática, dado que la contratación B2B industrial opera mediante órdenes de compra formales y transferencias corporativas.</w:t>
            </w:r>
            <w:r w:rsidDel="00000000" w:rsidR="00000000" w:rsidRPr="00000000">
              <w:rPr>
                <w:rtl w:val="0"/>
              </w:rPr>
            </w:r>
          </w:p>
        </w:tc>
      </w:tr>
      <w:tr>
        <w:trPr>
          <w:cantSplit w:val="1"/>
          <w:tblHeader w:val="0"/>
        </w:trPr>
        <w:tc>
          <w:tcPr/>
          <w:p w:rsidR="00000000" w:rsidDel="00000000" w:rsidP="00000000" w:rsidRDefault="00000000" w:rsidRPr="00000000" w14:paraId="0000035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Recursos Clave</w:t>
            </w:r>
            <w:r w:rsidDel="00000000" w:rsidR="00000000" w:rsidRPr="00000000">
              <w:rPr>
                <w:rtl w:val="0"/>
              </w:rPr>
            </w:r>
          </w:p>
        </w:tc>
        <w:tc>
          <w:tcPr/>
          <w:p w:rsidR="00000000" w:rsidDel="00000000" w:rsidP="00000000" w:rsidRDefault="00000000" w:rsidRPr="00000000" w14:paraId="0000035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Algoritmos analíticos de balance orbital y de potencia; corpus normativo indexado (estándares ECSS, NASA, Cal Poly); código base del arnés cognitivo; adaptador agnóstico de inferencia de IA (APIs / LLMs locales); y la dedicación presupuestada de 190 horas-persona del autor.</w:t>
            </w:r>
            <w:r w:rsidDel="00000000" w:rsidR="00000000" w:rsidRPr="00000000">
              <w:rPr>
                <w:rtl w:val="0"/>
              </w:rPr>
            </w:r>
          </w:p>
        </w:tc>
        <w:tc>
          <w:tcPr/>
          <w:p w:rsidR="00000000" w:rsidDel="00000000" w:rsidP="00000000" w:rsidRDefault="00000000" w:rsidRPr="00000000" w14:paraId="0000035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Focaliza los recursos computacionales en entornos locales reproducibles en Python con bases relacionales y vectoriales abiertas, suprimiendo la necesidad de contratar costosas licencias propietarias externas o servidores de inferencia en la nube (RNF-04).</w:t>
            </w:r>
            <w:r w:rsidDel="00000000" w:rsidR="00000000" w:rsidRPr="00000000">
              <w:rPr>
                <w:rtl w:val="0"/>
              </w:rPr>
            </w:r>
          </w:p>
        </w:tc>
      </w:tr>
      <w:tr>
        <w:trPr>
          <w:cantSplit w:val="1"/>
          <w:tblHeader w:val="0"/>
        </w:trPr>
        <w:tc>
          <w:tcPr/>
          <w:p w:rsidR="00000000" w:rsidDel="00000000" w:rsidP="00000000" w:rsidRDefault="00000000" w:rsidRPr="00000000" w14:paraId="0000036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Actividades Clave</w:t>
            </w:r>
            <w:r w:rsidDel="00000000" w:rsidR="00000000" w:rsidRPr="00000000">
              <w:rPr>
                <w:rtl w:val="0"/>
              </w:rPr>
            </w:r>
          </w:p>
        </w:tc>
        <w:tc>
          <w:tcPr/>
          <w:p w:rsidR="00000000" w:rsidDel="00000000" w:rsidP="00000000" w:rsidRDefault="00000000" w:rsidRPr="00000000" w14:paraId="0000036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Desarrollo del motor determinístico y del pipeline cognitivo adaptativo; validación empírica en el banco de pruebas de misiones reales con el CTA-UNLP; aseguramiento de calidad según estándares espaciales (ECSS-Q-ST-80C); y gestión de propiedad intelectual de la startup.</w:t>
            </w:r>
            <w:r w:rsidDel="00000000" w:rsidR="00000000" w:rsidRPr="00000000">
              <w:rPr>
                <w:rtl w:val="0"/>
              </w:rPr>
            </w:r>
          </w:p>
        </w:tc>
        <w:tc>
          <w:tcPr/>
          <w:p w:rsidR="00000000" w:rsidDel="00000000" w:rsidP="00000000" w:rsidRDefault="00000000" w:rsidRPr="00000000" w14:paraId="0000036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Concentra las 184 horas de demanda técnica del MVP en la integración del caso de uso vertical completo de potencia eléctrica y trazabilidad, postergando la interfaz de voz en sala limpia y los módulos DLP avanzados para etapas comerciales posteriores.</w:t>
            </w:r>
            <w:r w:rsidDel="00000000" w:rsidR="00000000" w:rsidRPr="00000000">
              <w:rPr>
                <w:rtl w:val="0"/>
              </w:rPr>
            </w:r>
          </w:p>
        </w:tc>
      </w:tr>
      <w:tr>
        <w:trPr>
          <w:cantSplit w:val="1"/>
          <w:tblHeader w:val="0"/>
        </w:trPr>
        <w:tc>
          <w:tcPr/>
          <w:p w:rsidR="00000000" w:rsidDel="00000000" w:rsidP="00000000" w:rsidRDefault="00000000" w:rsidRPr="00000000" w14:paraId="0000036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Socios Clave</w:t>
            </w:r>
            <w:r w:rsidDel="00000000" w:rsidR="00000000" w:rsidRPr="00000000">
              <w:rPr>
                <w:rtl w:val="0"/>
              </w:rPr>
            </w:r>
          </w:p>
        </w:tc>
        <w:tc>
          <w:tcPr/>
          <w:p w:rsidR="00000000" w:rsidDel="00000000" w:rsidP="00000000" w:rsidRDefault="00000000" w:rsidRPr="00000000" w14:paraId="0000036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Centro Tecnológico Aeroespacial (CTA-UNLP) como </w:t>
            </w:r>
            <w:r w:rsidDel="00000000" w:rsidR="00000000" w:rsidRPr="00000000">
              <w:rPr>
                <w:rFonts w:ascii="Times New Roman" w:cs="Times New Roman" w:eastAsia="Times New Roman" w:hAnsi="Times New Roman"/>
                <w:b w:val="0"/>
                <w:bCs w:val="0"/>
                <w:i w:val="1"/>
                <w:iCs w:val="1"/>
                <w:color w:val="0f172a"/>
                <w:sz w:val="18"/>
                <w:szCs w:val="18"/>
                <w:rtl w:val="0"/>
              </w:rPr>
              <w:t xml:space="preserve">Design Partner</w:t>
            </w:r>
            <w:r w:rsidDel="00000000" w:rsidR="00000000" w:rsidRPr="00000000">
              <w:rPr>
                <w:rFonts w:ascii="Times New Roman" w:cs="Times New Roman" w:eastAsia="Times New Roman" w:hAnsi="Times New Roman"/>
                <w:b w:val="0"/>
                <w:bCs w:val="0"/>
                <w:i w:val="0"/>
                <w:iCs w:val="0"/>
                <w:color w:val="0f172a"/>
                <w:sz w:val="18"/>
                <w:szCs w:val="18"/>
                <w:rtl w:val="0"/>
              </w:rPr>
              <w:t xml:space="preserve"> y cliente ancla de validación; incubadoras universitarias y polos científicos tecnológicos; agencias espaciales nacionales (CONAE); y comités internacionales de estandarización abierta (Cal Poly CDS).</w:t>
            </w:r>
            <w:r w:rsidDel="00000000" w:rsidR="00000000" w:rsidRPr="00000000">
              <w:rPr>
                <w:rtl w:val="0"/>
              </w:rPr>
            </w:r>
          </w:p>
        </w:tc>
        <w:tc>
          <w:tcPr/>
          <w:p w:rsidR="00000000" w:rsidDel="00000000" w:rsidP="00000000" w:rsidRDefault="00000000" w:rsidRPr="00000000" w14:paraId="0000036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Establece que las decisiones de diseño del producto, las reglas de negocio y los límites funcionales se validen contra actas técnicas formales suscritas con los líderes de proyecto del socio aeroespacial (Ing. Sonia Botta).</w:t>
            </w:r>
            <w:r w:rsidDel="00000000" w:rsidR="00000000" w:rsidRPr="00000000">
              <w:rPr>
                <w:rtl w:val="0"/>
              </w:rPr>
            </w:r>
          </w:p>
        </w:tc>
      </w:tr>
      <w:tr>
        <w:trPr>
          <w:cantSplit w:val="1"/>
          <w:tblHeader w:val="0"/>
        </w:trPr>
        <w:tc>
          <w:tcPr/>
          <w:p w:rsidR="00000000" w:rsidDel="00000000" w:rsidP="00000000" w:rsidRDefault="00000000" w:rsidRPr="00000000" w14:paraId="0000036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Estructura de Costos</w:t>
            </w:r>
            <w:r w:rsidDel="00000000" w:rsidR="00000000" w:rsidRPr="00000000">
              <w:rPr>
                <w:rtl w:val="0"/>
              </w:rPr>
            </w:r>
          </w:p>
        </w:tc>
        <w:tc>
          <w:tcPr/>
          <w:p w:rsidR="00000000" w:rsidDel="00000000" w:rsidP="00000000" w:rsidRDefault="00000000" w:rsidRPr="00000000" w14:paraId="0000036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Horas-persona de ingeniería de software para desarrollo y testing (184 h-p del MVP); infraestructura básica de servidores de integración continua (CI/CD); costos de registro de marca y patentes; y </w:t>
            </w:r>
            <w:r w:rsidDel="00000000" w:rsidR="00000000" w:rsidRPr="00000000">
              <w:rPr>
                <w:rFonts w:ascii="Times New Roman" w:cs="Times New Roman" w:eastAsia="Times New Roman" w:hAnsi="Times New Roman"/>
                <w:b w:val="1"/>
                <w:bCs w:val="1"/>
                <w:i w:val="0"/>
                <w:iCs w:val="0"/>
                <w:color w:val="0f172a"/>
                <w:sz w:val="18"/>
                <w:szCs w:val="18"/>
                <w:rtl w:val="0"/>
              </w:rPr>
              <w:t xml:space="preserve">costo cero de tokens de inferencia para la startup</w:t>
            </w:r>
            <w:r w:rsidDel="00000000" w:rsidR="00000000" w:rsidRPr="00000000">
              <w:rPr>
                <w:rFonts w:ascii="Times New Roman" w:cs="Times New Roman" w:eastAsia="Times New Roman" w:hAnsi="Times New Roman"/>
                <w:b w:val="0"/>
                <w:bCs w:val="0"/>
                <w:i w:val="0"/>
                <w:iCs w:val="0"/>
                <w:color w:val="0f172a"/>
                <w:sz w:val="18"/>
                <w:szCs w:val="18"/>
                <w:rtl w:val="0"/>
              </w:rPr>
              <w:t xml:space="preserve"> gracias al modelo BYOK y ejecución local.</w:t>
            </w:r>
            <w:r w:rsidDel="00000000" w:rsidR="00000000" w:rsidRPr="00000000">
              <w:rPr>
                <w:rtl w:val="0"/>
              </w:rPr>
            </w:r>
          </w:p>
        </w:tc>
        <w:tc>
          <w:tcPr/>
          <w:p w:rsidR="00000000" w:rsidDel="00000000" w:rsidP="00000000" w:rsidRDefault="00000000" w:rsidRPr="00000000" w14:paraId="0000036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Excluye el desarrollo de conectores cerrados hacia suites comerciales costosas (USD 15.000 de CAD o USD 1.500 de Valispace) y traslada el costo variable de cómputo al cliente, garantizando un margen bruto escalable superior al 85%.</w:t>
            </w:r>
            <w:r w:rsidDel="00000000" w:rsidR="00000000" w:rsidRPr="00000000">
              <w:rPr>
                <w:rtl w:val="0"/>
              </w:rPr>
            </w:r>
          </w:p>
        </w:tc>
      </w:tr>
    </w:tbl>
    <w:p w:rsidR="00000000" w:rsidDel="00000000" w:rsidP="00000000" w:rsidRDefault="00000000" w:rsidRPr="00000000" w14:paraId="00000369">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Nota. Elaboración propia sobre el modelo de Osterwalder &amp; Pigneur (2019) y el marco reglamentario del Proyecto Integrador Final.</w:t>
      </w:r>
      <w:r w:rsidDel="00000000" w:rsidR="00000000" w:rsidRPr="00000000">
        <w:rPr>
          <w:rtl w:val="0"/>
        </w:rPr>
      </w:r>
    </w:p>
    <w:p w:rsidR="00000000" w:rsidDel="00000000" w:rsidP="00000000" w:rsidRDefault="00000000" w:rsidRPr="00000000" w14:paraId="0000036A">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Decisión de Alcance Modificada por Causa del Lienzo</w:t>
      </w:r>
      <w:r w:rsidDel="00000000" w:rsidR="00000000" w:rsidRPr="00000000">
        <w:rPr>
          <w:rtl w:val="0"/>
        </w:rPr>
      </w:r>
    </w:p>
    <w:p w:rsidR="00000000" w:rsidDel="00000000" w:rsidP="00000000" w:rsidRDefault="00000000" w:rsidRPr="00000000" w14:paraId="0000036B">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En cumplimiento del marco reglamentario del Proyecto Integrador Final (Resolución Rectoral N.º 97/23, Art. 21.º), se declara que la formulación del lienzo de modelo de negocio no constituyó un ejercicio analítico ilustrativo, sino que modificó de manera directa y vinculante la arquitectura y el alcance del sistema comprometido:</w:t>
      </w:r>
      <w:r w:rsidDel="00000000" w:rsidR="00000000" w:rsidRPr="00000000">
        <w:rPr>
          <w:rtl w:val="0"/>
        </w:rPr>
      </w:r>
    </w:p>
    <w:p w:rsidR="00000000" w:rsidDel="00000000" w:rsidP="00000000" w:rsidRDefault="00000000" w:rsidRPr="00000000" w14:paraId="0000036C">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Al definir a CODI como el </w:t>
      </w:r>
      <w:r w:rsidDel="00000000" w:rsidR="00000000" w:rsidRPr="00000000">
        <w:rPr>
          <w:rFonts w:ascii="Times New Roman" w:cs="Times New Roman" w:eastAsia="Times New Roman" w:hAnsi="Times New Roman"/>
          <w:b w:val="1"/>
          <w:bCs w:val="1"/>
          <w:i w:val="0"/>
          <w:iCs w:val="0"/>
          <w:color w:val="0f172a"/>
          <w:sz w:val="24"/>
          <w:szCs w:val="24"/>
          <w:rtl w:val="0"/>
        </w:rPr>
        <w:t xml:space="preserve">producto inicial de una Startup SpaceTech enfocado en el mercado B2B / B2G Enterprise bajo un modelo híbrido de inferencia (BYOK / Local LLMs)</w:t>
      </w:r>
      <w:r w:rsidDel="00000000" w:rsidR="00000000" w:rsidRPr="00000000">
        <w:rPr>
          <w:rFonts w:ascii="Times New Roman" w:cs="Times New Roman" w:eastAsia="Times New Roman" w:hAnsi="Times New Roman"/>
          <w:b w:val="0"/>
          <w:bCs w:val="0"/>
          <w:i w:val="0"/>
          <w:iCs w:val="0"/>
          <w:color w:val="0f172a"/>
          <w:sz w:val="24"/>
          <w:szCs w:val="24"/>
          <w:rtl w:val="0"/>
        </w:rPr>
        <w:t xml:space="preserve">, se evaluó inicialmente la posibilidad de construir un portal web comercial con pasarela de cobro en línea, un marketplace transaccional automatizado de extensiones y un servidor centralizado en la nube administrado por la startup para procesar las llamadas a los modelos de lenguaje. Dicha alternativa </w:t>
      </w:r>
      <w:r w:rsidDel="00000000" w:rsidR="00000000" w:rsidRPr="00000000">
        <w:rPr>
          <w:rFonts w:ascii="Times New Roman" w:cs="Times New Roman" w:eastAsia="Times New Roman" w:hAnsi="Times New Roman"/>
          <w:b w:val="1"/>
          <w:bCs w:val="1"/>
          <w:i w:val="0"/>
          <w:iCs w:val="0"/>
          <w:color w:val="0f172a"/>
          <w:sz w:val="24"/>
          <w:szCs w:val="24"/>
          <w:rtl w:val="0"/>
        </w:rPr>
        <w:t xml:space="preserve">se descartó formalmente</w:t>
      </w:r>
      <w:r w:rsidDel="00000000" w:rsidR="00000000" w:rsidRPr="00000000">
        <w:rPr>
          <w:rFonts w:ascii="Times New Roman" w:cs="Times New Roman" w:eastAsia="Times New Roman" w:hAnsi="Times New Roman"/>
          <w:b w:val="0"/>
          <w:bCs w:val="0"/>
          <w:i w:val="0"/>
          <w:iCs w:val="0"/>
          <w:color w:val="0f172a"/>
          <w:sz w:val="24"/>
          <w:szCs w:val="24"/>
          <w:rtl w:val="0"/>
        </w:rPr>
        <w:t xml:space="preserve"> a partir del análisis articulado de los bloques de </w:t>
      </w:r>
      <w:r w:rsidDel="00000000" w:rsidR="00000000" w:rsidRPr="00000000">
        <w:rPr>
          <w:rFonts w:ascii="Times New Roman" w:cs="Times New Roman" w:eastAsia="Times New Roman" w:hAnsi="Times New Roman"/>
          <w:b w:val="0"/>
          <w:bCs w:val="0"/>
          <w:i w:val="1"/>
          <w:iCs w:val="1"/>
          <w:color w:val="0f172a"/>
          <w:sz w:val="24"/>
          <w:szCs w:val="24"/>
          <w:rtl w:val="0"/>
        </w:rPr>
        <w:t xml:space="preserve">Canales</w:t>
      </w:r>
      <w:r w:rsidDel="00000000" w:rsidR="00000000" w:rsidRPr="00000000">
        <w:rPr>
          <w:rFonts w:ascii="Times New Roman" w:cs="Times New Roman" w:eastAsia="Times New Roman" w:hAnsi="Times New Roman"/>
          <w:b w:val="0"/>
          <w:bCs w:val="0"/>
          <w:i w:val="0"/>
          <w:iCs w:val="0"/>
          <w:color w:val="0f172a"/>
          <w:sz w:val="24"/>
          <w:szCs w:val="24"/>
          <w:rtl w:val="0"/>
        </w:rPr>
        <w:t xml:space="preserve">, </w:t>
      </w:r>
      <w:r w:rsidDel="00000000" w:rsidR="00000000" w:rsidRPr="00000000">
        <w:rPr>
          <w:rFonts w:ascii="Times New Roman" w:cs="Times New Roman" w:eastAsia="Times New Roman" w:hAnsi="Times New Roman"/>
          <w:b w:val="0"/>
          <w:bCs w:val="0"/>
          <w:i w:val="1"/>
          <w:iCs w:val="1"/>
          <w:color w:val="0f172a"/>
          <w:sz w:val="24"/>
          <w:szCs w:val="24"/>
          <w:rtl w:val="0"/>
        </w:rPr>
        <w:t xml:space="preserve">Relaciones con Clientes</w:t>
      </w:r>
      <w:r w:rsidDel="00000000" w:rsidR="00000000" w:rsidRPr="00000000">
        <w:rPr>
          <w:rFonts w:ascii="Times New Roman" w:cs="Times New Roman" w:eastAsia="Times New Roman" w:hAnsi="Times New Roman"/>
          <w:b w:val="0"/>
          <w:bCs w:val="0"/>
          <w:i w:val="0"/>
          <w:iCs w:val="0"/>
          <w:color w:val="0f172a"/>
          <w:sz w:val="24"/>
          <w:szCs w:val="24"/>
          <w:rtl w:val="0"/>
        </w:rPr>
        <w:t xml:space="preserve">, </w:t>
      </w:r>
      <w:r w:rsidDel="00000000" w:rsidR="00000000" w:rsidRPr="00000000">
        <w:rPr>
          <w:rFonts w:ascii="Times New Roman" w:cs="Times New Roman" w:eastAsia="Times New Roman" w:hAnsi="Times New Roman"/>
          <w:b w:val="0"/>
          <w:bCs w:val="0"/>
          <w:i w:val="1"/>
          <w:iCs w:val="1"/>
          <w:color w:val="0f172a"/>
          <w:sz w:val="24"/>
          <w:szCs w:val="24"/>
          <w:rtl w:val="0"/>
        </w:rPr>
        <w:t xml:space="preserve">Fuentes de Ingreso</w:t>
      </w:r>
      <w:r w:rsidDel="00000000" w:rsidR="00000000" w:rsidRPr="00000000">
        <w:rPr>
          <w:rFonts w:ascii="Times New Roman" w:cs="Times New Roman" w:eastAsia="Times New Roman" w:hAnsi="Times New Roman"/>
          <w:b w:val="0"/>
          <w:bCs w:val="0"/>
          <w:i w:val="0"/>
          <w:iCs w:val="0"/>
          <w:color w:val="0f172a"/>
          <w:sz w:val="24"/>
          <w:szCs w:val="24"/>
          <w:rtl w:val="0"/>
        </w:rPr>
        <w:t xml:space="preserve"> y </w:t>
      </w:r>
      <w:r w:rsidDel="00000000" w:rsidR="00000000" w:rsidRPr="00000000">
        <w:rPr>
          <w:rFonts w:ascii="Times New Roman" w:cs="Times New Roman" w:eastAsia="Times New Roman" w:hAnsi="Times New Roman"/>
          <w:b w:val="0"/>
          <w:bCs w:val="0"/>
          <w:i w:val="1"/>
          <w:iCs w:val="1"/>
          <w:color w:val="0f172a"/>
          <w:sz w:val="24"/>
          <w:szCs w:val="24"/>
          <w:rtl w:val="0"/>
        </w:rPr>
        <w:t xml:space="preserve">Estructura de Costos</w:t>
      </w:r>
      <w:r w:rsidDel="00000000" w:rsidR="00000000" w:rsidRPr="00000000">
        <w:rPr>
          <w:rFonts w:ascii="Times New Roman" w:cs="Times New Roman" w:eastAsia="Times New Roman" w:hAnsi="Times New Roman"/>
          <w:b w:val="0"/>
          <w:bCs w:val="0"/>
          <w:i w:val="0"/>
          <w:iCs w:val="0"/>
          <w:color w:val="0f172a"/>
          <w:sz w:val="24"/>
          <w:szCs w:val="24"/>
          <w:rtl w:val="0"/>
        </w:rPr>
        <w:t xml:space="preserve">:</w:t>
      </w:r>
      <w:r w:rsidDel="00000000" w:rsidR="00000000" w:rsidRPr="00000000">
        <w:rPr>
          <w:rtl w:val="0"/>
        </w:rPr>
      </w:r>
    </w:p>
    <w:p w:rsidR="00000000" w:rsidDel="00000000" w:rsidP="00000000" w:rsidRDefault="00000000" w:rsidRPr="00000000" w14:paraId="0000036D">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 </w:t>
      </w:r>
      <w:r w:rsidDel="00000000" w:rsidR="00000000" w:rsidRPr="00000000">
        <w:rPr>
          <w:rFonts w:ascii="Times New Roman" w:cs="Times New Roman" w:eastAsia="Times New Roman" w:hAnsi="Times New Roman"/>
          <w:b w:val="0"/>
          <w:bCs w:val="0"/>
          <w:i w:val="0"/>
          <w:iCs w:val="0"/>
          <w:color w:val="0f172a"/>
          <w:sz w:val="23"/>
          <w:szCs w:val="23"/>
          <w:rtl w:val="0"/>
        </w:rPr>
        <w:t xml:space="preserve">El sector industrial aeroespacial y las agencias de defensa no adquieren software crítico mediante compras minoristas en carritos de comercio electrónico, sino a través de contratos de licenciamiento corporativo y órdenes de compra institucionales.</w:t>
      </w:r>
      <w:r w:rsidDel="00000000" w:rsidR="00000000" w:rsidRPr="00000000">
        <w:rPr>
          <w:rtl w:val="0"/>
        </w:rPr>
      </w:r>
    </w:p>
    <w:p w:rsidR="00000000" w:rsidDel="00000000" w:rsidP="00000000" w:rsidRDefault="00000000" w:rsidRPr="00000000" w14:paraId="0000036E">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2. </w:t>
      </w:r>
      <w:r w:rsidDel="00000000" w:rsidR="00000000" w:rsidRPr="00000000">
        <w:rPr>
          <w:rFonts w:ascii="Times New Roman" w:cs="Times New Roman" w:eastAsia="Times New Roman" w:hAnsi="Times New Roman"/>
          <w:b w:val="0"/>
          <w:bCs w:val="0"/>
          <w:i w:val="0"/>
          <w:iCs w:val="0"/>
          <w:color w:val="0f172a"/>
          <w:sz w:val="23"/>
          <w:szCs w:val="23"/>
          <w:rtl w:val="0"/>
        </w:rPr>
        <w:t xml:space="preserve">Centralizar la inferencia de IA en servidores de la startup habría impuesto un costo recurrente variable insostenible por consumo de tokens y habría vulnerado el secreto industrial y la soberanía de datos satelitales exigida por los centros de ingeniería.</w:t>
      </w:r>
      <w:r w:rsidDel="00000000" w:rsidR="00000000" w:rsidRPr="00000000">
        <w:rPr>
          <w:rtl w:val="0"/>
        </w:rPr>
      </w:r>
    </w:p>
    <w:p w:rsidR="00000000" w:rsidDel="00000000" w:rsidP="00000000" w:rsidRDefault="00000000" w:rsidRPr="00000000" w14:paraId="0000036F">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En consecuencia, el lienzo forzó a </w:t>
      </w:r>
      <w:r w:rsidDel="00000000" w:rsidR="00000000" w:rsidRPr="00000000">
        <w:rPr>
          <w:rFonts w:ascii="Times New Roman" w:cs="Times New Roman" w:eastAsia="Times New Roman" w:hAnsi="Times New Roman"/>
          <w:b w:val="1"/>
          <w:bCs w:val="1"/>
          <w:i w:val="0"/>
          <w:iCs w:val="0"/>
          <w:color w:val="0f172a"/>
          <w:sz w:val="24"/>
          <w:szCs w:val="24"/>
          <w:rtl w:val="0"/>
        </w:rPr>
        <w:t xml:space="preserve">delimitar el alcance del MVP del PIF estrictamente a la ingeniería del núcleo tecnológico (*Core IP*)</w:t>
      </w:r>
      <w:r w:rsidDel="00000000" w:rsidR="00000000" w:rsidRPr="00000000">
        <w:rPr>
          <w:rFonts w:ascii="Times New Roman" w:cs="Times New Roman" w:eastAsia="Times New Roman" w:hAnsi="Times New Roman"/>
          <w:b w:val="0"/>
          <w:bCs w:val="0"/>
          <w:i w:val="0"/>
          <w:iCs w:val="0"/>
          <w:color w:val="0f172a"/>
          <w:sz w:val="24"/>
          <w:szCs w:val="24"/>
          <w:rtl w:val="0"/>
        </w:rPr>
        <w:t xml:space="preserve">:</w:t>
      </w: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Se suprimió la programación de pasarelas de pago, paneles de facturación automática, servidores centrales de proxy de tokens y portales web de marketplace, ahorrando entre 60 y 80 horas de desarrollo administrativo y de infraestructura.</w:t>
      </w: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Se implementó un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adaptador de inferencia desacoplado y agnóstico (*LLM Client Adapter*)</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que admite claves privadas provistas por el cliente (BYOK) o conexión a endpoints locales (Ollama/vLLM), incorporando almacenamiento local seguro de credenciales y sanitización básica pre-vuelo de prompts sin sobrecosto de desarrollo.</w:t>
      </w: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Se reasignaron las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184 horas-persona de desarrollo con exclusividad al motor determinístico EPS, la ingesta semántica de fuentes, la memoria técnica inmutable del `DecisionLog` y la arquitectura modular abierta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que permitirá el acoplamiento futuro de extensiones en la hoja de ruta comercial de la startup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Roadmap Post-PIF</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73">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Cierre del Apartado IV.1 · Justificación del Flujo de Valor Seleccionado para Automatización</w:t>
      </w:r>
      <w:r w:rsidDel="00000000" w:rsidR="00000000" w:rsidRPr="00000000">
        <w:rPr>
          <w:rtl w:val="0"/>
        </w:rPr>
      </w:r>
    </w:p>
    <w:p w:rsidR="00000000" w:rsidDel="00000000" w:rsidP="00000000" w:rsidRDefault="00000000" w:rsidRPr="00000000" w14:paraId="00000374">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En cumplimiento del marco reglamentario del Proyecto Integrador Final (Resolución Rectoral N.º 97/23, Art. 21.º), la selección del flujo de trabajo automatizado por el producto CODI se justifica formalmente sobre la base de la concentración objetiva de costos, demoras y riesgos diagnosticada en el relevamiento de los Capítulos I y II, y no en función de preferencias o comodidades técnicas del equipo de desarrollo:</w:t>
      </w:r>
      <w:r w:rsidDel="00000000" w:rsidR="00000000" w:rsidRPr="00000000">
        <w:rPr>
          <w:rtl w:val="0"/>
        </w:rPr>
      </w:r>
    </w:p>
    <w:p w:rsidR="00000000" w:rsidDel="00000000" w:rsidP="00000000" w:rsidRDefault="00000000" w:rsidRPr="00000000" w14:paraId="00000375">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 </w:t>
      </w:r>
      <w:r w:rsidDel="00000000" w:rsidR="00000000" w:rsidRPr="00000000">
        <w:rPr>
          <w:rFonts w:ascii="Times New Roman" w:cs="Times New Roman" w:eastAsia="Times New Roman" w:hAnsi="Times New Roman"/>
          <w:b w:val="1"/>
          <w:bCs w:val="1"/>
          <w:i w:val="0"/>
          <w:iCs w:val="0"/>
          <w:color w:val="0f172a"/>
          <w:sz w:val="23"/>
          <w:szCs w:val="23"/>
          <w:rtl w:val="0"/>
        </w:rPr>
        <w:t xml:space="preserve">Concentración del costo actual según la línea de base</w:t>
      </w:r>
      <w:r w:rsidDel="00000000" w:rsidR="00000000" w:rsidRPr="00000000">
        <w:rPr>
          <w:rFonts w:ascii="Times New Roman" w:cs="Times New Roman" w:eastAsia="Times New Roman" w:hAnsi="Times New Roman"/>
          <w:b w:val="0"/>
          <w:bCs w:val="0"/>
          <w:i w:val="0"/>
          <w:iCs w:val="0"/>
          <w:color w:val="0f172a"/>
          <w:sz w:val="23"/>
          <w:szCs w:val="23"/>
          <w:rtl w:val="0"/>
        </w:rPr>
        <w:t xml:space="preserve">:</w:t>
      </w:r>
      <w:r w:rsidDel="00000000" w:rsidR="00000000" w:rsidRPr="00000000">
        <w:rPr>
          <w:rtl w:val="0"/>
        </w:rPr>
      </w:r>
    </w:p>
    <w:p w:rsidR="00000000" w:rsidDel="00000000" w:rsidP="00000000" w:rsidRDefault="00000000" w:rsidRPr="00000000" w14:paraId="00000376">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relevamiento empírico llevado a cabo en el Centro Tecnológico Aeroespacial (CTA-UNLP) acreditó que el </w:t>
      </w:r>
      <w:r w:rsidDel="00000000" w:rsidR="00000000" w:rsidRPr="00000000">
        <w:rPr>
          <w:rFonts w:ascii="Times New Roman" w:cs="Times New Roman" w:eastAsia="Times New Roman" w:hAnsi="Times New Roman"/>
          <w:b w:val="1"/>
          <w:bCs w:val="1"/>
          <w:i w:val="0"/>
          <w:iCs w:val="0"/>
          <w:color w:val="0f172a"/>
          <w:sz w:val="24"/>
          <w:szCs w:val="24"/>
          <w:rtl w:val="0"/>
        </w:rPr>
        <w:t xml:space="preserve">80% del personal técnico</w:t>
      </w:r>
      <w:r w:rsidDel="00000000" w:rsidR="00000000" w:rsidRPr="00000000">
        <w:rPr>
          <w:rFonts w:ascii="Times New Roman" w:cs="Times New Roman" w:eastAsia="Times New Roman" w:hAnsi="Times New Roman"/>
          <w:b w:val="0"/>
          <w:bCs w:val="0"/>
          <w:i w:val="0"/>
          <w:iCs w:val="0"/>
          <w:color w:val="0f172a"/>
          <w:sz w:val="24"/>
          <w:szCs w:val="24"/>
          <w:rtl w:val="0"/>
        </w:rPr>
        <w:t xml:space="preserve"> se desempeña en la disciplina de Ingeniería Electrónica (Acta Sonia Botta, 14/09/2026, Min 00:21:39; Capítulo I, Sec. I.3.1). Asimismo, la literatura internacional del dominio de satélites pequeños demuestra que el </w:t>
      </w:r>
      <w:r w:rsidDel="00000000" w:rsidR="00000000" w:rsidRPr="00000000">
        <w:rPr>
          <w:rFonts w:ascii="Times New Roman" w:cs="Times New Roman" w:eastAsia="Times New Roman" w:hAnsi="Times New Roman"/>
          <w:b w:val="1"/>
          <w:bCs w:val="1"/>
          <w:i w:val="0"/>
          <w:iCs w:val="0"/>
          <w:color w:val="0f172a"/>
          <w:sz w:val="24"/>
          <w:szCs w:val="24"/>
          <w:rtl w:val="0"/>
        </w:rPr>
        <w:t xml:space="preserve">38,8% de las pérdidas prematuras de misiones CubeSat en órbita LEO</w:t>
      </w:r>
      <w:r w:rsidDel="00000000" w:rsidR="00000000" w:rsidRPr="00000000">
        <w:rPr>
          <w:rFonts w:ascii="Times New Roman" w:cs="Times New Roman" w:eastAsia="Times New Roman" w:hAnsi="Times New Roman"/>
          <w:b w:val="0"/>
          <w:bCs w:val="0"/>
          <w:i w:val="0"/>
          <w:iCs w:val="0"/>
          <w:color w:val="0f172a"/>
          <w:sz w:val="24"/>
          <w:szCs w:val="24"/>
          <w:rtl w:val="0"/>
        </w:rPr>
        <w:t xml:space="preserve"> se originan en fallas directas del subsistema de potencia eléctrica y colapso de baterías (Swartwout, 2024; base histórica de 442 misiones del NASA Small Spacecraft Systems Virtual Institute). En el flujo tradicional manual, los ingenieros deben transcribir parámetros desde documentos ICD de 50 a 90 páginas a planillas de cálculo aisladas, manteniendo "números tácitos" sin trazabilidad que demandan entre </w:t>
      </w:r>
      <w:r w:rsidDel="00000000" w:rsidR="00000000" w:rsidRPr="00000000">
        <w:rPr>
          <w:rFonts w:ascii="Times New Roman" w:cs="Times New Roman" w:eastAsia="Times New Roman" w:hAnsi="Times New Roman"/>
          <w:b w:val="1"/>
          <w:bCs w:val="1"/>
          <w:i w:val="0"/>
          <w:iCs w:val="0"/>
          <w:color w:val="0f172a"/>
          <w:sz w:val="24"/>
          <w:szCs w:val="24"/>
          <w:rtl w:val="0"/>
        </w:rPr>
        <w:t xml:space="preserve">30 y 45 días de superposición presencial obligatoria</w:t>
      </w:r>
      <w:r w:rsidDel="00000000" w:rsidR="00000000" w:rsidRPr="00000000">
        <w:rPr>
          <w:rFonts w:ascii="Times New Roman" w:cs="Times New Roman" w:eastAsia="Times New Roman" w:hAnsi="Times New Roman"/>
          <w:b w:val="0"/>
          <w:bCs w:val="0"/>
          <w:i w:val="0"/>
          <w:iCs w:val="0"/>
          <w:color w:val="0f172a"/>
          <w:sz w:val="24"/>
          <w:szCs w:val="24"/>
          <w:rtl w:val="0"/>
        </w:rPr>
        <w:t xml:space="preserve"> entre becarios salientes y entrantes para transferir informalmente los criterios de diseño, originando desajustes de interfaz que en misiones previas fueron detectados a escasas 72 horas del ensamblaje físico (Capítulo I, Sec. I.3.3).</w:t>
      </w:r>
      <w:r w:rsidDel="00000000" w:rsidR="00000000" w:rsidRPr="00000000">
        <w:rPr>
          <w:rtl w:val="0"/>
        </w:rPr>
      </w:r>
    </w:p>
    <w:p w:rsidR="00000000" w:rsidDel="00000000" w:rsidP="00000000" w:rsidRDefault="00000000" w:rsidRPr="00000000" w14:paraId="00000377">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2. </w:t>
      </w:r>
      <w:r w:rsidDel="00000000" w:rsidR="00000000" w:rsidRPr="00000000">
        <w:rPr>
          <w:rFonts w:ascii="Times New Roman" w:cs="Times New Roman" w:eastAsia="Times New Roman" w:hAnsi="Times New Roman"/>
          <w:b w:val="1"/>
          <w:bCs w:val="1"/>
          <w:i w:val="0"/>
          <w:iCs w:val="0"/>
          <w:color w:val="0f172a"/>
          <w:sz w:val="23"/>
          <w:szCs w:val="23"/>
          <w:rtl w:val="0"/>
        </w:rPr>
        <w:t xml:space="preserve">Proporción del costo absorbida por la automatización de CODI</w:t>
      </w:r>
      <w:r w:rsidDel="00000000" w:rsidR="00000000" w:rsidRPr="00000000">
        <w:rPr>
          <w:rFonts w:ascii="Times New Roman" w:cs="Times New Roman" w:eastAsia="Times New Roman" w:hAnsi="Times New Roman"/>
          <w:b w:val="0"/>
          <w:bCs w:val="0"/>
          <w:i w:val="0"/>
          <w:iCs w:val="0"/>
          <w:color w:val="0f172a"/>
          <w:sz w:val="23"/>
          <w:szCs w:val="23"/>
          <w:rtl w:val="0"/>
        </w:rPr>
        <w:t xml:space="preserve">:</w:t>
      </w:r>
      <w:r w:rsidDel="00000000" w:rsidR="00000000" w:rsidRPr="00000000">
        <w:rPr>
          <w:rtl w:val="0"/>
        </w:rPr>
      </w:r>
    </w:p>
    <w:p w:rsidR="00000000" w:rsidDel="00000000" w:rsidP="00000000" w:rsidRDefault="00000000" w:rsidRPr="00000000" w14:paraId="00000378">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Producto Mínimo Viable (MVP) de CODI absorbe y automatiza íntegramente la carga de recálculo preliminar y verificación normativa del subsistema de potencia eléctrica:</w:t>
      </w:r>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Gungsuh" w:cs="Gungsuh" w:eastAsia="Gungsuh" w:hAnsi="Gungsuh"/>
          <w:b w:val="0"/>
          <w:bCs w:val="0"/>
          <w:i w:val="0"/>
          <w:iCs w:val="0"/>
          <w:smallCaps w:val="0"/>
          <w:strike w:val="0"/>
          <w:color w:val="0f172a"/>
          <w:sz w:val="23"/>
          <w:szCs w:val="23"/>
          <w:u w:val="none"/>
          <w:shd w:fill="auto" w:val="clear"/>
          <w:vertAlign w:val="baseline"/>
          <w:rtl w:val="0"/>
        </w:rPr>
        <w:t xml:space="preserve">Automatiza la ingesta de parámetros de componentes desde hojas de datos COTS e ICDs estructurados en un tiempo ≤ 2,0 segundos (RF-01), eliminando la transcripción manual de paquetes documentales de 50 a 90 páginas.</w:t>
      </w:r>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ungsuh" w:cs="Gungsuh" w:eastAsia="Gungsuh" w:hAnsi="Gungsuh"/>
          <w:b w:val="0"/>
          <w:bCs w:val="0"/>
          <w:i w:val="0"/>
          <w:iCs w:val="0"/>
          <w:smallCaps w:val="0"/>
          <w:strike w:val="0"/>
          <w:color w:val="0f172a"/>
          <w:sz w:val="23"/>
          <w:szCs w:val="23"/>
          <w:u w:val="none"/>
          <w:shd w:fill="auto" w:val="clear"/>
          <w:vertAlign w:val="baseline"/>
          <w:rtl w:val="0"/>
        </w:rPr>
        <w:t xml:space="preserve">Computa analíticamente la geometría orbital kepleriana, la duración de eclipses y el balance fotovoltaico a fin de vida útil (P_sa, EOL ≥ 20%) en menos de 1,5 segundos (RF-02, RF-04, RNF-01).</w:t>
      </w:r>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Gungsuh" w:cs="Gungsuh" w:eastAsia="Gungsuh" w:hAnsi="Gungsuh"/>
          <w:b w:val="0"/>
          <w:bCs w:val="0"/>
          <w:i w:val="0"/>
          <w:iCs w:val="0"/>
          <w:smallCaps w:val="0"/>
          <w:strike w:val="0"/>
          <w:color w:val="0f172a"/>
          <w:sz w:val="23"/>
          <w:szCs w:val="23"/>
          <w:u w:val="none"/>
          <w:shd w:fill="auto" w:val="clear"/>
          <w:vertAlign w:val="baseline"/>
          <w:rtl w:val="0"/>
        </w:rPr>
        <w:t xml:space="preserve">Verifica determinísticamente la profundidad de descarga máxima de la batería (DoD ≤ 30%, RF-03), alertando instantáneamente cualquier violación a la norma ECSS-E-ST-20C Rev. 1 y evitando el colapso temprano en órbita.</w:t>
      </w: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Registra de forma inmutable cada decisión y descarte técnico en el </w:t>
      </w: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DecisionLog</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(RF-09, RNF-05), reduciendo a cero la dependencia de la memoria informal y suprimiendo las semanas de superposición presencial improductiva causadas por la rotación de 10 a 60 becarios.</w:t>
      </w:r>
      <w:r w:rsidDel="00000000" w:rsidR="00000000" w:rsidRPr="00000000">
        <w:rPr>
          <w:rtl w:val="0"/>
        </w:rPr>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Adapta cognitivamente las respuestas del asistente técnico según el índice NASA-TLX del operador (RF-12, Regla RN-07), absorbiendo la sobrecarga mental derivada del análisis simultáneo de restricciones.</w:t>
      </w:r>
      <w:r w:rsidDel="00000000" w:rsidR="00000000" w:rsidRPr="00000000">
        <w:rPr>
          <w:rtl w:val="0"/>
        </w:rPr>
      </w:r>
    </w:p>
    <w:p w:rsidR="00000000" w:rsidDel="00000000" w:rsidP="00000000" w:rsidRDefault="00000000" w:rsidRPr="00000000" w14:paraId="0000037E">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3. </w:t>
      </w:r>
      <w:r w:rsidDel="00000000" w:rsidR="00000000" w:rsidRPr="00000000">
        <w:rPr>
          <w:rFonts w:ascii="Times New Roman" w:cs="Times New Roman" w:eastAsia="Times New Roman" w:hAnsi="Times New Roman"/>
          <w:b w:val="1"/>
          <w:bCs w:val="1"/>
          <w:i w:val="0"/>
          <w:iCs w:val="0"/>
          <w:color w:val="0f172a"/>
          <w:sz w:val="23"/>
          <w:szCs w:val="23"/>
          <w:rtl w:val="0"/>
        </w:rPr>
        <w:t xml:space="preserve">Alcance residual que permanece sin resolver de forma deliberada</w:t>
      </w:r>
      <w:r w:rsidDel="00000000" w:rsidR="00000000" w:rsidRPr="00000000">
        <w:rPr>
          <w:rFonts w:ascii="Times New Roman" w:cs="Times New Roman" w:eastAsia="Times New Roman" w:hAnsi="Times New Roman"/>
          <w:b w:val="0"/>
          <w:bCs w:val="0"/>
          <w:i w:val="0"/>
          <w:iCs w:val="0"/>
          <w:color w:val="0f172a"/>
          <w:sz w:val="23"/>
          <w:szCs w:val="23"/>
          <w:rtl w:val="0"/>
        </w:rPr>
        <w:t xml:space="preserve">:</w:t>
      </w:r>
      <w:r w:rsidDel="00000000" w:rsidR="00000000" w:rsidRPr="00000000">
        <w:rPr>
          <w:rtl w:val="0"/>
        </w:rPr>
      </w:r>
    </w:p>
    <w:p w:rsidR="00000000" w:rsidDel="00000000" w:rsidP="00000000" w:rsidRDefault="00000000" w:rsidRPr="00000000" w14:paraId="0000037F">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La automatización implementada en el arnés cognitivo deliberadamente </w:t>
      </w:r>
      <w:r w:rsidDel="00000000" w:rsidR="00000000" w:rsidRPr="00000000">
        <w:rPr>
          <w:rFonts w:ascii="Times New Roman" w:cs="Times New Roman" w:eastAsia="Times New Roman" w:hAnsi="Times New Roman"/>
          <w:b w:val="1"/>
          <w:bCs w:val="1"/>
          <w:i w:val="0"/>
          <w:iCs w:val="0"/>
          <w:color w:val="0f172a"/>
          <w:sz w:val="24"/>
          <w:szCs w:val="24"/>
          <w:rtl w:val="0"/>
        </w:rPr>
        <w:t xml:space="preserve">no resuelve ni reemplaza</w:t>
      </w:r>
      <w:r w:rsidDel="00000000" w:rsidR="00000000" w:rsidRPr="00000000">
        <w:rPr>
          <w:rFonts w:ascii="Times New Roman" w:cs="Times New Roman" w:eastAsia="Times New Roman" w:hAnsi="Times New Roman"/>
          <w:b w:val="0"/>
          <w:bCs w:val="0"/>
          <w:i w:val="0"/>
          <w:iCs w:val="0"/>
          <w:color w:val="0f172a"/>
          <w:sz w:val="24"/>
          <w:szCs w:val="24"/>
          <w:rtl w:val="0"/>
        </w:rPr>
        <w:t xml:space="preserve">:</w:t>
      </w:r>
      <w:r w:rsidDel="00000000" w:rsidR="00000000" w:rsidRPr="00000000">
        <w:rPr>
          <w:rtl w:val="0"/>
        </w:rPr>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La simulación física y orbital de alta fidelidad (propagación orbital con perturbaciones J2/J4 y modelado multifísico térmico/estructural), las cuales continúan siendo ejecutadas mediante herramientas especializadas maduras (MATLAB, STK, OpenFOAM), cuyas corridas numéricas CODI ingiere únicamente como evidencia analítica desacoplada (Límite validado en Sec. III.4).</w:t>
      </w:r>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Los ensayos ambientales de calificación física en termovacío y mesa vibratoria, propios del régimen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protoflight</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del CTA-UNLP.</w:t>
      </w:r>
      <w:r w:rsidDel="00000000" w:rsidR="00000000" w:rsidRPr="00000000">
        <w:rPr>
          <w:rtl w:val="0"/>
        </w:rPr>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La certificación formal de aptitud de vuelo y la negociación de contratos con proveedores, cuya firma y responsabilidad final permanece estrictamente en manos de los ingenieros de sistemas humanos y comités de revisión técnica institucional (PDR/CDR) conforme al principio rector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Human-in-the-Loop</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y los estándares ECSS-Q-ST-80C.</w:t>
      </w:r>
      <w:r w:rsidDel="00000000" w:rsidR="00000000" w:rsidRPr="00000000">
        <w:rPr>
          <w:rtl w:val="0"/>
        </w:rPr>
      </w:r>
    </w:p>
    <w:p w:rsidR="00000000" w:rsidDel="00000000" w:rsidP="00000000" w:rsidRDefault="00000000" w:rsidRPr="00000000" w14:paraId="00000383">
      <w:pPr>
        <w:pStyle w:val="Heading2"/>
        <w:keepNext w:val="1"/>
        <w:rPr/>
      </w:pPr>
      <w:r w:rsidDel="00000000" w:rsidR="00000000" w:rsidRPr="00000000">
        <w:rPr>
          <w:rFonts w:ascii="Times New Roman" w:cs="Times New Roman" w:eastAsia="Times New Roman" w:hAnsi="Times New Roman"/>
          <w:b w:val="1"/>
          <w:bCs w:val="1"/>
          <w:i w:val="0"/>
          <w:iCs w:val="0"/>
          <w:color w:val="0f172a"/>
          <w:sz w:val="28"/>
          <w:szCs w:val="28"/>
          <w:rtl w:val="0"/>
        </w:rPr>
        <w:t xml:space="preserve">IV.2 · Definiciones Estratégicas: Misión y Visión de Negocio</w:t>
      </w:r>
      <w:r w:rsidDel="00000000" w:rsidR="00000000" w:rsidRPr="00000000">
        <w:rPr>
          <w:rtl w:val="0"/>
        </w:rPr>
      </w:r>
    </w:p>
    <w:p w:rsidR="00000000" w:rsidDel="00000000" w:rsidP="00000000" w:rsidRDefault="00000000" w:rsidRPr="00000000" w14:paraId="00000384">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Las definiciones estratégicas formuladas en la etapa diagnóstica del proyecto (Capítulo I, Sec. I.2) establecieron el propósito operativo y funcional de CODI (</w:t>
      </w:r>
      <w:r w:rsidDel="00000000" w:rsidR="00000000" w:rsidRPr="00000000">
        <w:rPr>
          <w:rFonts w:ascii="Times New Roman" w:cs="Times New Roman" w:eastAsia="Times New Roman" w:hAnsi="Times New Roman"/>
          <w:b w:val="0"/>
          <w:bCs w:val="0"/>
          <w:i w:val="1"/>
          <w:iCs w:val="1"/>
          <w:color w:val="0f172a"/>
          <w:sz w:val="24"/>
          <w:szCs w:val="24"/>
          <w:rtl w:val="0"/>
        </w:rPr>
        <w:t xml:space="preserve">Cognitive Operations &amp; Decision Intelligence</w:t>
      </w:r>
      <w:r w:rsidDel="00000000" w:rsidR="00000000" w:rsidRPr="00000000">
        <w:rPr>
          <w:rFonts w:ascii="Times New Roman" w:cs="Times New Roman" w:eastAsia="Times New Roman" w:hAnsi="Times New Roman"/>
          <w:b w:val="0"/>
          <w:bCs w:val="0"/>
          <w:i w:val="0"/>
          <w:iCs w:val="0"/>
          <w:color w:val="0f172a"/>
          <w:sz w:val="24"/>
          <w:szCs w:val="24"/>
          <w:rtl w:val="0"/>
        </w:rPr>
        <w:t xml:space="preserve">) en torno a la reducción de la sobrecarga cognitiva y la integración heterogénea de fuentes documentales y simulaciones. En el presente apartado, dichas definiciones se reformulan y jerarquizan </w:t>
      </w:r>
      <w:r w:rsidDel="00000000" w:rsidR="00000000" w:rsidRPr="00000000">
        <w:rPr>
          <w:rFonts w:ascii="Times New Roman" w:cs="Times New Roman" w:eastAsia="Times New Roman" w:hAnsi="Times New Roman"/>
          <w:b w:val="1"/>
          <w:bCs w:val="1"/>
          <w:i w:val="0"/>
          <w:iCs w:val="0"/>
          <w:color w:val="0f172a"/>
          <w:sz w:val="24"/>
          <w:szCs w:val="24"/>
          <w:rtl w:val="0"/>
        </w:rPr>
        <w:t xml:space="preserve">en clave de modelo de negocio y posicionamiento en el mercado</w:t>
      </w:r>
      <w:r w:rsidDel="00000000" w:rsidR="00000000" w:rsidRPr="00000000">
        <w:rPr>
          <w:rFonts w:ascii="Times New Roman" w:cs="Times New Roman" w:eastAsia="Times New Roman" w:hAnsi="Times New Roman"/>
          <w:b w:val="0"/>
          <w:bCs w:val="0"/>
          <w:i w:val="0"/>
          <w:iCs w:val="0"/>
          <w:color w:val="0f172a"/>
          <w:sz w:val="24"/>
          <w:szCs w:val="24"/>
          <w:rtl w:val="0"/>
        </w:rPr>
        <w:t xml:space="preserve">, formalizando la propuesta competitiva de la Empresa de Base Tecnológica (EBT) y distinguiéndola de forma expresa de los objetivos institucionales de la organización relevada.</w:t>
      </w:r>
      <w:r w:rsidDel="00000000" w:rsidR="00000000" w:rsidRPr="00000000">
        <w:rPr>
          <w:rtl w:val="0"/>
        </w:rPr>
      </w:r>
    </w:p>
    <w:p w:rsidR="00000000" w:rsidDel="00000000" w:rsidP="00000000" w:rsidRDefault="00000000" w:rsidRPr="00000000" w14:paraId="00000385">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Misión del Sistema de Información en Clave de Negocio</w:t>
      </w:r>
      <w:r w:rsidDel="00000000" w:rsidR="00000000" w:rsidRPr="00000000">
        <w:rPr>
          <w:rtl w:val="0"/>
        </w:rPr>
      </w:r>
    </w:p>
    <w:p w:rsidR="00000000" w:rsidDel="00000000" w:rsidP="00000000" w:rsidRDefault="00000000" w:rsidRPr="00000000" w14:paraId="00000386">
      <w:pPr>
        <w:spacing w:after="80" w:before="80" w:line="276" w:lineRule="auto"/>
        <w:ind w:left="720" w:right="720" w:firstLine="0"/>
        <w:rPr/>
      </w:pPr>
      <w:r w:rsidDel="00000000" w:rsidR="00000000" w:rsidRPr="00000000">
        <w:rPr>
          <w:rFonts w:ascii="Times New Roman" w:cs="Times New Roman" w:eastAsia="Times New Roman" w:hAnsi="Times New Roman"/>
          <w:b w:val="1"/>
          <w:bCs w:val="1"/>
          <w:i w:val="1"/>
          <w:iCs w:val="1"/>
          <w:color w:val="0f172a"/>
          <w:sz w:val="21"/>
          <w:szCs w:val="21"/>
          <w:rtl w:val="0"/>
        </w:rPr>
        <w:t xml:space="preserve">Proveer a las empresas privadas, integradores y centros de investigación del sector aeroespacial emergente (*NewSpace*) en América Latina y mercados afines, una solución de software de ingeniería cognitiva B2B accesible, soberana y auditable que erradique los costos ocultos derivados de la desincronización de interfaces, la fragmentación documental y la pérdida de memoria técnica en el diseño preliminar de satélites pequeños, garantizando asistencia técnica basada en evidencia física y normativas del dominio sin comprometer la confidencialidad de los datos de misión.</w:t>
      </w:r>
      <w:r w:rsidDel="00000000" w:rsidR="00000000" w:rsidRPr="00000000">
        <w:rPr>
          <w:rtl w:val="0"/>
        </w:rPr>
      </w:r>
    </w:p>
    <w:p w:rsidR="00000000" w:rsidDel="00000000" w:rsidP="00000000" w:rsidRDefault="00000000" w:rsidRPr="00000000" w14:paraId="00000387">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La misión se orienta a capturar valor en un segmento de mercado desatendido por las herramientas comerciales tradicionales de Ingeniería de Sistemas Basada en Modelos (MBSE). Frente a suites propietarias de costo prohibitivo (USD 1.500 a USD 15.000 anuales) que operan como repositorios estáticos y exigen una alta curva de adopción, CODI entrega un arnés de asistencia cognitiva activa que acelera la toma de decisiones críticas sobre el subsistema de potencia eléctrica (EPS), protege el secreto industrial mediante ejecución local contenerizada (</w:t>
      </w:r>
      <w:r w:rsidDel="00000000" w:rsidR="00000000" w:rsidRPr="00000000">
        <w:rPr>
          <w:rFonts w:ascii="Times New Roman" w:cs="Times New Roman" w:eastAsia="Times New Roman" w:hAnsi="Times New Roman"/>
          <w:b w:val="0"/>
          <w:bCs w:val="0"/>
          <w:i w:val="1"/>
          <w:iCs w:val="1"/>
          <w:color w:val="0f172a"/>
          <w:sz w:val="24"/>
          <w:szCs w:val="24"/>
          <w:rtl w:val="0"/>
        </w:rPr>
        <w:t xml:space="preserve">on-premise</w:t>
      </w:r>
      <w:r w:rsidDel="00000000" w:rsidR="00000000" w:rsidRPr="00000000">
        <w:rPr>
          <w:rFonts w:ascii="Times New Roman" w:cs="Times New Roman" w:eastAsia="Times New Roman" w:hAnsi="Times New Roman"/>
          <w:b w:val="0"/>
          <w:bCs w:val="0"/>
          <w:i w:val="0"/>
          <w:iCs w:val="0"/>
          <w:color w:val="0f172a"/>
          <w:sz w:val="24"/>
          <w:szCs w:val="24"/>
          <w:rtl w:val="0"/>
        </w:rPr>
        <w:t xml:space="preserve">) y optimiza la productividad del equipo de desarrollo.</w:t>
      </w:r>
      <w:r w:rsidDel="00000000" w:rsidR="00000000" w:rsidRPr="00000000">
        <w:rPr>
          <w:rtl w:val="0"/>
        </w:rPr>
      </w:r>
    </w:p>
    <w:p w:rsidR="00000000" w:rsidDel="00000000" w:rsidP="00000000" w:rsidRDefault="00000000" w:rsidRPr="00000000" w14:paraId="00000388">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Visión del Sistema de Información en Clave de Negocio</w:t>
      </w:r>
      <w:r w:rsidDel="00000000" w:rsidR="00000000" w:rsidRPr="00000000">
        <w:rPr>
          <w:rtl w:val="0"/>
        </w:rPr>
      </w:r>
    </w:p>
    <w:p w:rsidR="00000000" w:rsidDel="00000000" w:rsidP="00000000" w:rsidRDefault="00000000" w:rsidRPr="00000000" w14:paraId="00000389">
      <w:pPr>
        <w:spacing w:after="80" w:before="80" w:line="276" w:lineRule="auto"/>
        <w:ind w:left="720" w:right="720" w:firstLine="0"/>
        <w:rPr/>
      </w:pPr>
      <w:r w:rsidDel="00000000" w:rsidR="00000000" w:rsidRPr="00000000">
        <w:rPr>
          <w:rFonts w:ascii="Times New Roman" w:cs="Times New Roman" w:eastAsia="Times New Roman" w:hAnsi="Times New Roman"/>
          <w:b w:val="1"/>
          <w:bCs w:val="1"/>
          <w:i w:val="1"/>
          <w:iCs w:val="1"/>
          <w:color w:val="0f172a"/>
          <w:sz w:val="21"/>
          <w:szCs w:val="21"/>
          <w:rtl w:val="0"/>
        </w:rPr>
        <w:t xml:space="preserve">Consolidar a CODI, en un horizonte de desarrollo y maduración comercial de tres a cinco años, como la plataforma de software de referencia regional y estándar operativo para la asistencia cognitiva y la continuidad del hilo digital (*Digital Thread*) en misiones de nanosatélites y microsatélites (CubeSats 1U a 6U), liderando un ecosistema B2B autosostenible de co-innovación tecnológica donde la comunidad espacial aporte, audite y comercialice extensiones modulares sobre una arquitectura de inteligencia artificial confiable y verificable.</w:t>
      </w:r>
      <w:r w:rsidDel="00000000" w:rsidR="00000000" w:rsidRPr="00000000">
        <w:rPr>
          <w:rtl w:val="0"/>
        </w:rPr>
      </w:r>
    </w:p>
    <w:p w:rsidR="00000000" w:rsidDel="00000000" w:rsidP="00000000" w:rsidRDefault="00000000" w:rsidRPr="00000000" w14:paraId="0000038A">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La visión proyecta la evolución del producto desde su fase de validación con el socio de diseño (</w:t>
      </w:r>
      <w:r w:rsidDel="00000000" w:rsidR="00000000" w:rsidRPr="00000000">
        <w:rPr>
          <w:rFonts w:ascii="Times New Roman" w:cs="Times New Roman" w:eastAsia="Times New Roman" w:hAnsi="Times New Roman"/>
          <w:b w:val="0"/>
          <w:bCs w:val="0"/>
          <w:i w:val="1"/>
          <w:iCs w:val="1"/>
          <w:color w:val="0f172a"/>
          <w:sz w:val="24"/>
          <w:szCs w:val="24"/>
          <w:rtl w:val="0"/>
        </w:rPr>
        <w:t xml:space="preserve">Design Partner</w:t>
      </w:r>
      <w:r w:rsidDel="00000000" w:rsidR="00000000" w:rsidRPr="00000000">
        <w:rPr>
          <w:rFonts w:ascii="Times New Roman" w:cs="Times New Roman" w:eastAsia="Times New Roman" w:hAnsi="Times New Roman"/>
          <w:b w:val="0"/>
          <w:bCs w:val="0"/>
          <w:i w:val="0"/>
          <w:iCs w:val="0"/>
          <w:color w:val="0f172a"/>
          <w:sz w:val="24"/>
          <w:szCs w:val="24"/>
          <w:rtl w:val="0"/>
        </w:rPr>
        <w:t xml:space="preserve">) hacia una posición de liderazgo en el mercado NewSpace regional, expandiendo progresivamente sus capacidades cognitivas hacia otros subsistemas de plataforma (control térmico, ADCS y comunicaciones) a través del Programa de Co-Innovación de Extensiones y alianzas comerciales con consorcios de proveedores de componentes espaciales.</w:t>
      </w:r>
      <w:r w:rsidDel="00000000" w:rsidR="00000000" w:rsidRPr="00000000">
        <w:rPr>
          <w:rtl w:val="0"/>
        </w:rPr>
      </w:r>
    </w:p>
    <w:p w:rsidR="00000000" w:rsidDel="00000000" w:rsidP="00000000" w:rsidRDefault="00000000" w:rsidRPr="00000000" w14:paraId="0000038B">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Objetivos Estratégicos de Negocio (KBRs · Key Business Results)</w:t>
      </w:r>
      <w:r w:rsidDel="00000000" w:rsidR="00000000" w:rsidRPr="00000000">
        <w:rPr>
          <w:rtl w:val="0"/>
        </w:rPr>
      </w:r>
    </w:p>
    <w:p w:rsidR="00000000" w:rsidDel="00000000" w:rsidP="00000000" w:rsidRDefault="00000000" w:rsidRPr="00000000" w14:paraId="0000038C">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Para traducir la misión y visión en metas medibles y temporizadas a nivel comercial y operativo, se establecen cuatro Objetivos Estratégicos de Negocio vinculados a la hoja de ruta de la startup:</w:t>
      </w:r>
      <w:r w:rsidDel="00000000" w:rsidR="00000000" w:rsidRPr="00000000">
        <w:rPr>
          <w:rtl w:val="0"/>
        </w:rPr>
      </w:r>
    </w:p>
    <w:p w:rsidR="00000000" w:rsidDel="00000000" w:rsidP="00000000" w:rsidRDefault="00000000" w:rsidRPr="00000000" w14:paraId="0000038D">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 </w:t>
      </w:r>
      <w:r w:rsidDel="00000000" w:rsidR="00000000" w:rsidRPr="00000000">
        <w:rPr>
          <w:rFonts w:ascii="Times New Roman" w:cs="Times New Roman" w:eastAsia="Times New Roman" w:hAnsi="Times New Roman"/>
          <w:b w:val="1"/>
          <w:bCs w:val="1"/>
          <w:i w:val="0"/>
          <w:iCs w:val="0"/>
          <w:color w:val="0f172a"/>
          <w:sz w:val="23"/>
          <w:szCs w:val="23"/>
          <w:rtl w:val="0"/>
        </w:rPr>
        <w:t xml:space="preserve">Validación Operativa con Cliente Ancla (Meses 1 a 6)</w:t>
      </w:r>
      <w:r w:rsidDel="00000000" w:rsidR="00000000" w:rsidRPr="00000000">
        <w:rPr>
          <w:rFonts w:ascii="Times New Roman" w:cs="Times New Roman" w:eastAsia="Times New Roman" w:hAnsi="Times New Roman"/>
          <w:b w:val="0"/>
          <w:bCs w:val="0"/>
          <w:i w:val="0"/>
          <w:iCs w:val="0"/>
          <w:color w:val="0f172a"/>
          <w:sz w:val="23"/>
          <w:szCs w:val="23"/>
          <w:rtl w:val="0"/>
        </w:rPr>
        <w:t xml:space="preserve">:</w:t>
      </w:r>
      <w:r w:rsidDel="00000000" w:rsidR="00000000" w:rsidRPr="00000000">
        <w:rPr>
          <w:rtl w:val="0"/>
        </w:rPr>
      </w:r>
    </w:p>
    <w:p w:rsidR="00000000" w:rsidDel="00000000" w:rsidP="00000000" w:rsidRDefault="00000000" w:rsidRPr="00000000" w14:paraId="0000038E">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Homologar formalmente la precisión del motor determinístico EPS y la reducción de carga mental en el 100% de los casos de balance energético de las misiones USAT-1 y Atenea del CTA-UNLP, obteniendo el dictamen de validación de protovuelo emitido por la Coordinación de Proyectos del socio.</w:t>
      </w:r>
      <w:r w:rsidDel="00000000" w:rsidR="00000000" w:rsidRPr="00000000">
        <w:rPr>
          <w:rtl w:val="0"/>
        </w:rPr>
      </w:r>
    </w:p>
    <w:p w:rsidR="00000000" w:rsidDel="00000000" w:rsidP="00000000" w:rsidRDefault="00000000" w:rsidRPr="00000000" w14:paraId="0000038F">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2. </w:t>
      </w:r>
      <w:r w:rsidDel="00000000" w:rsidR="00000000" w:rsidRPr="00000000">
        <w:rPr>
          <w:rFonts w:ascii="Times New Roman" w:cs="Times New Roman" w:eastAsia="Times New Roman" w:hAnsi="Times New Roman"/>
          <w:b w:val="1"/>
          <w:bCs w:val="1"/>
          <w:i w:val="0"/>
          <w:iCs w:val="0"/>
          <w:color w:val="0f172a"/>
          <w:sz w:val="23"/>
          <w:szCs w:val="23"/>
          <w:rtl w:val="0"/>
        </w:rPr>
        <w:t xml:space="preserve">Tracción Comercial y Primeros Contratos B2B (Meses 6 a 18)</w:t>
      </w:r>
      <w:r w:rsidDel="00000000" w:rsidR="00000000" w:rsidRPr="00000000">
        <w:rPr>
          <w:rFonts w:ascii="Times New Roman" w:cs="Times New Roman" w:eastAsia="Times New Roman" w:hAnsi="Times New Roman"/>
          <w:b w:val="0"/>
          <w:bCs w:val="0"/>
          <w:i w:val="0"/>
          <w:iCs w:val="0"/>
          <w:color w:val="0f172a"/>
          <w:sz w:val="23"/>
          <w:szCs w:val="23"/>
          <w:rtl w:val="0"/>
        </w:rPr>
        <w:t xml:space="preserve">:</w:t>
      </w:r>
      <w:r w:rsidDel="00000000" w:rsidR="00000000" w:rsidRPr="00000000">
        <w:rPr>
          <w:rtl w:val="0"/>
        </w:rPr>
      </w:r>
    </w:p>
    <w:p w:rsidR="00000000" w:rsidDel="00000000" w:rsidP="00000000" w:rsidRDefault="00000000" w:rsidRPr="00000000" w14:paraId="00000390">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Capturar los primeros dos (2) a cuatro (4) contratos anuales de licenciamiento corporativo (</w:t>
      </w:r>
      <w:r w:rsidDel="00000000" w:rsidR="00000000" w:rsidRPr="00000000">
        <w:rPr>
          <w:rFonts w:ascii="Times New Roman" w:cs="Times New Roman" w:eastAsia="Times New Roman" w:hAnsi="Times New Roman"/>
          <w:b w:val="0"/>
          <w:bCs w:val="0"/>
          <w:i w:val="1"/>
          <w:iCs w:val="1"/>
          <w:color w:val="0f172a"/>
          <w:sz w:val="24"/>
          <w:szCs w:val="24"/>
          <w:rtl w:val="0"/>
        </w:rPr>
        <w:t xml:space="preserve">Tier Enterprise</w:t>
      </w:r>
      <w:r w:rsidDel="00000000" w:rsidR="00000000" w:rsidRPr="00000000">
        <w:rPr>
          <w:rFonts w:ascii="Times New Roman" w:cs="Times New Roman" w:eastAsia="Times New Roman" w:hAnsi="Times New Roman"/>
          <w:b w:val="0"/>
          <w:bCs w:val="0"/>
          <w:i w:val="0"/>
          <w:iCs w:val="0"/>
          <w:color w:val="0f172a"/>
          <w:sz w:val="24"/>
          <w:szCs w:val="24"/>
          <w:rtl w:val="0"/>
        </w:rPr>
        <w:t xml:space="preserve">) en empresas privadas o instituciones del ecosistema NewSpace regional (integradores de satélites o fabricantes COTS en Argentina y Latinoamérica), alcanzando el punto de equilibrio operativo de infraestructura.</w:t>
      </w:r>
      <w:r w:rsidDel="00000000" w:rsidR="00000000" w:rsidRPr="00000000">
        <w:rPr>
          <w:rtl w:val="0"/>
        </w:rPr>
      </w:r>
    </w:p>
    <w:p w:rsidR="00000000" w:rsidDel="00000000" w:rsidP="00000000" w:rsidRDefault="00000000" w:rsidRPr="00000000" w14:paraId="00000391">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3. </w:t>
      </w:r>
      <w:r w:rsidDel="00000000" w:rsidR="00000000" w:rsidRPr="00000000">
        <w:rPr>
          <w:rFonts w:ascii="Times New Roman" w:cs="Times New Roman" w:eastAsia="Times New Roman" w:hAnsi="Times New Roman"/>
          <w:b w:val="1"/>
          <w:bCs w:val="1"/>
          <w:i w:val="0"/>
          <w:iCs w:val="0"/>
          <w:color w:val="0f172a"/>
          <w:sz w:val="23"/>
          <w:szCs w:val="23"/>
          <w:rtl w:val="0"/>
        </w:rPr>
        <w:t xml:space="preserve">Gobernanza Financiera y Margen Operativo Sostenible (Continuo)</w:t>
      </w:r>
      <w:r w:rsidDel="00000000" w:rsidR="00000000" w:rsidRPr="00000000">
        <w:rPr>
          <w:rFonts w:ascii="Times New Roman" w:cs="Times New Roman" w:eastAsia="Times New Roman" w:hAnsi="Times New Roman"/>
          <w:b w:val="0"/>
          <w:bCs w:val="0"/>
          <w:i w:val="0"/>
          <w:iCs w:val="0"/>
          <w:color w:val="0f172a"/>
          <w:sz w:val="23"/>
          <w:szCs w:val="23"/>
          <w:rtl w:val="0"/>
        </w:rPr>
        <w:t xml:space="preserve">:</w:t>
      </w:r>
      <w:r w:rsidDel="00000000" w:rsidR="00000000" w:rsidRPr="00000000">
        <w:rPr>
          <w:rtl w:val="0"/>
        </w:rPr>
      </w:r>
    </w:p>
    <w:p w:rsidR="00000000" w:rsidDel="00000000" w:rsidP="00000000" w:rsidRDefault="00000000" w:rsidRPr="00000000" w14:paraId="00000392">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Preservar un margen bruto de contribución del software superior al 85% sobre las licencias vendidas mediante la política de inferencia desacoplada </w:t>
      </w:r>
      <w:r w:rsidDel="00000000" w:rsidR="00000000" w:rsidRPr="00000000">
        <w:rPr>
          <w:rFonts w:ascii="Times New Roman" w:cs="Times New Roman" w:eastAsia="Times New Roman" w:hAnsi="Times New Roman"/>
          <w:b w:val="0"/>
          <w:bCs w:val="0"/>
          <w:i w:val="1"/>
          <w:iCs w:val="1"/>
          <w:color w:val="0f172a"/>
          <w:sz w:val="24"/>
          <w:szCs w:val="24"/>
          <w:rtl w:val="0"/>
        </w:rPr>
        <w:t xml:space="preserve">Bring Your Own Key</w:t>
      </w:r>
      <w:r w:rsidDel="00000000" w:rsidR="00000000" w:rsidRPr="00000000">
        <w:rPr>
          <w:rFonts w:ascii="Times New Roman" w:cs="Times New Roman" w:eastAsia="Times New Roman" w:hAnsi="Times New Roman"/>
          <w:b w:val="0"/>
          <w:bCs w:val="0"/>
          <w:i w:val="0"/>
          <w:iCs w:val="0"/>
          <w:color w:val="0f172a"/>
          <w:sz w:val="24"/>
          <w:szCs w:val="24"/>
          <w:rtl w:val="0"/>
        </w:rPr>
        <w:t xml:space="preserve"> (BYOK) y ejecución de LLMs locales, impidiendo que los costos de tokens comerciales en la nube impacten la estructura de costos de la empresa.</w:t>
      </w:r>
      <w:r w:rsidDel="00000000" w:rsidR="00000000" w:rsidRPr="00000000">
        <w:rPr>
          <w:rtl w:val="0"/>
        </w:rPr>
      </w:r>
    </w:p>
    <w:p w:rsidR="00000000" w:rsidDel="00000000" w:rsidP="00000000" w:rsidRDefault="00000000" w:rsidRPr="00000000" w14:paraId="00000393">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4. </w:t>
      </w:r>
      <w:r w:rsidDel="00000000" w:rsidR="00000000" w:rsidRPr="00000000">
        <w:rPr>
          <w:rFonts w:ascii="Times New Roman" w:cs="Times New Roman" w:eastAsia="Times New Roman" w:hAnsi="Times New Roman"/>
          <w:b w:val="1"/>
          <w:bCs w:val="1"/>
          <w:i w:val="0"/>
          <w:iCs w:val="0"/>
          <w:color w:val="0f172a"/>
          <w:sz w:val="23"/>
          <w:szCs w:val="23"/>
          <w:rtl w:val="0"/>
        </w:rPr>
        <w:t xml:space="preserve">Activación del Ecosistema de Co-Innovación (Meses 18 a 36)</w:t>
      </w:r>
      <w:r w:rsidDel="00000000" w:rsidR="00000000" w:rsidRPr="00000000">
        <w:rPr>
          <w:rFonts w:ascii="Times New Roman" w:cs="Times New Roman" w:eastAsia="Times New Roman" w:hAnsi="Times New Roman"/>
          <w:b w:val="0"/>
          <w:bCs w:val="0"/>
          <w:i w:val="0"/>
          <w:iCs w:val="0"/>
          <w:color w:val="0f172a"/>
          <w:sz w:val="23"/>
          <w:szCs w:val="23"/>
          <w:rtl w:val="0"/>
        </w:rPr>
        <w:t xml:space="preserve">:</w:t>
      </w:r>
      <w:r w:rsidDel="00000000" w:rsidR="00000000" w:rsidRPr="00000000">
        <w:rPr>
          <w:rtl w:val="0"/>
        </w:rPr>
      </w:r>
    </w:p>
    <w:p w:rsidR="00000000" w:rsidDel="00000000" w:rsidP="00000000" w:rsidRDefault="00000000" w:rsidRPr="00000000" w14:paraId="00000394">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Consolidar al menos dos (2) extensiones de subsistemas espaciales (térmico o actitud ADCS) desarrolladas por equipos clientes externos bajo el </w:t>
      </w:r>
      <w:r w:rsidDel="00000000" w:rsidR="00000000" w:rsidRPr="00000000">
        <w:rPr>
          <w:rFonts w:ascii="Times New Roman" w:cs="Times New Roman" w:eastAsia="Times New Roman" w:hAnsi="Times New Roman"/>
          <w:b w:val="0"/>
          <w:bCs w:val="0"/>
          <w:i w:val="1"/>
          <w:iCs w:val="1"/>
          <w:color w:val="0f172a"/>
          <w:sz w:val="24"/>
          <w:szCs w:val="24"/>
          <w:rtl w:val="0"/>
        </w:rPr>
        <w:t xml:space="preserve">Partner Contribution Program</w:t>
      </w:r>
      <w:r w:rsidDel="00000000" w:rsidR="00000000" w:rsidRPr="00000000">
        <w:rPr>
          <w:rFonts w:ascii="Times New Roman" w:cs="Times New Roman" w:eastAsia="Times New Roman" w:hAnsi="Times New Roman"/>
          <w:b w:val="0"/>
          <w:bCs w:val="0"/>
          <w:i w:val="0"/>
          <w:iCs w:val="0"/>
          <w:color w:val="0f172a"/>
          <w:sz w:val="24"/>
          <w:szCs w:val="24"/>
          <w:rtl w:val="0"/>
        </w:rPr>
        <w:t xml:space="preserve">, homologadas bajo normas ECSS e incorporadas al catálogo oficial con otorgamiento de créditos de bonificación sobre sus licencias anuales.</w:t>
      </w:r>
      <w:r w:rsidDel="00000000" w:rsidR="00000000" w:rsidRPr="00000000">
        <w:rPr>
          <w:rtl w:val="0"/>
        </w:rPr>
      </w:r>
    </w:p>
    <w:p w:rsidR="00000000" w:rsidDel="00000000" w:rsidP="00000000" w:rsidRDefault="00000000" w:rsidRPr="00000000" w14:paraId="00000395">
      <w:pPr>
        <w:pStyle w:val="Heading2"/>
        <w:keepNext w:val="1"/>
        <w:rPr/>
      </w:pPr>
      <w:r w:rsidDel="00000000" w:rsidR="00000000" w:rsidRPr="00000000">
        <w:rPr>
          <w:rFonts w:ascii="Times New Roman" w:cs="Times New Roman" w:eastAsia="Times New Roman" w:hAnsi="Times New Roman"/>
          <w:b w:val="1"/>
          <w:bCs w:val="1"/>
          <w:i w:val="0"/>
          <w:iCs w:val="0"/>
          <w:color w:val="0f172a"/>
          <w:sz w:val="28"/>
          <w:szCs w:val="28"/>
          <w:rtl w:val="0"/>
        </w:rPr>
        <w:t xml:space="preserve">IV.3 · Análisis de Rivalidad Amplificada</w:t>
      </w:r>
      <w:r w:rsidDel="00000000" w:rsidR="00000000" w:rsidRPr="00000000">
        <w:rPr>
          <w:rtl w:val="0"/>
        </w:rPr>
      </w:r>
    </w:p>
    <w:p w:rsidR="00000000" w:rsidDel="00000000" w:rsidP="00000000" w:rsidRDefault="00000000" w:rsidRPr="00000000" w14:paraId="00000396">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análisis de la rivalidad amplificada del producto CODI (</w:t>
      </w:r>
      <w:r w:rsidDel="00000000" w:rsidR="00000000" w:rsidRPr="00000000">
        <w:rPr>
          <w:rFonts w:ascii="Times New Roman" w:cs="Times New Roman" w:eastAsia="Times New Roman" w:hAnsi="Times New Roman"/>
          <w:b w:val="0"/>
          <w:bCs w:val="0"/>
          <w:i w:val="1"/>
          <w:iCs w:val="1"/>
          <w:color w:val="0f172a"/>
          <w:sz w:val="24"/>
          <w:szCs w:val="24"/>
          <w:rtl w:val="0"/>
        </w:rPr>
        <w:t xml:space="preserve">Cognitive Operations &amp; Decision Intelligence</w:t>
      </w:r>
      <w:r w:rsidDel="00000000" w:rsidR="00000000" w:rsidRPr="00000000">
        <w:rPr>
          <w:rFonts w:ascii="Times New Roman" w:cs="Times New Roman" w:eastAsia="Times New Roman" w:hAnsi="Times New Roman"/>
          <w:b w:val="0"/>
          <w:bCs w:val="0"/>
          <w:i w:val="0"/>
          <w:iCs w:val="0"/>
          <w:color w:val="0f172a"/>
          <w:sz w:val="24"/>
          <w:szCs w:val="24"/>
          <w:rtl w:val="0"/>
        </w:rPr>
        <w:t xml:space="preserve">) se fundamenta en el marco analítico de las cinco fuerzas competitivas de Porter (2008), adaptado a la dinámica específica del sector espacial emergente (</w:t>
      </w:r>
      <w:r w:rsidDel="00000000" w:rsidR="00000000" w:rsidRPr="00000000">
        <w:rPr>
          <w:rFonts w:ascii="Times New Roman" w:cs="Times New Roman" w:eastAsia="Times New Roman" w:hAnsi="Times New Roman"/>
          <w:b w:val="0"/>
          <w:bCs w:val="0"/>
          <w:i w:val="1"/>
          <w:iCs w:val="1"/>
          <w:color w:val="0f172a"/>
          <w:sz w:val="24"/>
          <w:szCs w:val="24"/>
          <w:rtl w:val="0"/>
        </w:rPr>
        <w:t xml:space="preserve">NewSpace</w:t>
      </w:r>
      <w:r w:rsidDel="00000000" w:rsidR="00000000" w:rsidRPr="00000000">
        <w:rPr>
          <w:rFonts w:ascii="Times New Roman" w:cs="Times New Roman" w:eastAsia="Times New Roman" w:hAnsi="Times New Roman"/>
          <w:b w:val="0"/>
          <w:bCs w:val="0"/>
          <w:i w:val="0"/>
          <w:iCs w:val="0"/>
          <w:color w:val="0f172a"/>
          <w:sz w:val="24"/>
          <w:szCs w:val="24"/>
          <w:rtl w:val="0"/>
        </w:rPr>
        <w:t xml:space="preserve">) y la Ingeniería de Sistemas Basada en Modelos (MBSE). En estricto cumplimiento de las directrices metodológicas de cátedra, el presente análisis no se limita a estimar la intensidad cualitativa de cada fuerza, sino que responde a la pregunta de ingeniería y gobierno estratégico: </w:t>
      </w:r>
      <w:r w:rsidDel="00000000" w:rsidR="00000000" w:rsidRPr="00000000">
        <w:rPr>
          <w:rFonts w:ascii="Times New Roman" w:cs="Times New Roman" w:eastAsia="Times New Roman" w:hAnsi="Times New Roman"/>
          <w:b w:val="1"/>
          <w:bCs w:val="1"/>
          <w:i w:val="0"/>
          <w:iCs w:val="0"/>
          <w:color w:val="0f172a"/>
          <w:sz w:val="24"/>
          <w:szCs w:val="24"/>
          <w:rtl w:val="0"/>
        </w:rPr>
        <w:t xml:space="preserve">¿qué decisión concreta del proyecto cambia por causa de la fuerza analizada?</w:t>
      </w:r>
      <w:r w:rsidDel="00000000" w:rsidR="00000000" w:rsidRPr="00000000">
        <w:rPr>
          <w:rtl w:val="0"/>
        </w:rPr>
      </w:r>
    </w:p>
    <w:p w:rsidR="00000000" w:rsidDel="00000000" w:rsidP="00000000" w:rsidRDefault="00000000" w:rsidRPr="00000000" w14:paraId="00000397">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Evaluación Profunda de las Cinco Fuerzas Competitivas</w:t>
      </w:r>
      <w:r w:rsidDel="00000000" w:rsidR="00000000" w:rsidRPr="00000000">
        <w:rPr>
          <w:rtl w:val="0"/>
        </w:rPr>
      </w:r>
    </w:p>
    <w:p w:rsidR="00000000" w:rsidDel="00000000" w:rsidP="00000000" w:rsidRDefault="00000000" w:rsidRPr="00000000" w14:paraId="00000398">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A continuación se despliega la evaluación exhaustiva de cada una de las fuerzas del sector, articulando la evidencia empírica relevada en el sector espacial regional e internacional con la implicancia decisoria que modela de forma vinculante la arquitectura, el modelo de despliegue y el alcance del sistema de información.</w:t>
      </w:r>
      <w:r w:rsidDel="00000000" w:rsidR="00000000" w:rsidRPr="00000000">
        <w:rPr>
          <w:rtl w:val="0"/>
        </w:rPr>
      </w:r>
    </w:p>
    <w:p w:rsidR="00000000" w:rsidDel="00000000" w:rsidP="00000000" w:rsidRDefault="00000000" w:rsidRPr="00000000" w14:paraId="00000399">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1. Rivalidad entre Competidores Actuales</w:t>
      </w:r>
      <w:r w:rsidDel="00000000" w:rsidR="00000000" w:rsidRPr="00000000">
        <w:rPr>
          <w:rtl w:val="0"/>
        </w:rPr>
      </w:r>
    </w:p>
    <w:p w:rsidR="00000000" w:rsidDel="00000000" w:rsidP="00000000" w:rsidRDefault="00000000" w:rsidRPr="00000000" w14:paraId="0000039A">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Situación Relevada y Evidencia Empírica de Referencia</w:t>
      </w:r>
      <w:r w:rsidDel="00000000" w:rsidR="00000000" w:rsidRPr="00000000">
        <w:rPr>
          <w:rtl w:val="0"/>
        </w:rPr>
      </w:r>
    </w:p>
    <w:p w:rsidR="00000000" w:rsidDel="00000000" w:rsidP="00000000" w:rsidRDefault="00000000" w:rsidRPr="00000000" w14:paraId="0000039B">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mercado de software de ingeniería de sistemas satelitales presenta una oferta fragmentada en diversas categorías comerciales y académicas:</w:t>
      </w:r>
      <w:r w:rsidDel="00000000" w:rsidR="00000000" w:rsidRPr="00000000">
        <w:rPr>
          <w:rtl w:val="0"/>
        </w:rPr>
      </w:r>
    </w:p>
    <w:p w:rsidR="00000000" w:rsidDel="00000000" w:rsidP="00000000" w:rsidRDefault="00000000" w:rsidRPr="00000000" w14:paraId="0000039C">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 </w:t>
      </w:r>
      <w:r w:rsidDel="00000000" w:rsidR="00000000" w:rsidRPr="00000000">
        <w:rPr>
          <w:rFonts w:ascii="Times New Roman" w:cs="Times New Roman" w:eastAsia="Times New Roman" w:hAnsi="Times New Roman"/>
          <w:b w:val="0"/>
          <w:bCs w:val="0"/>
          <w:i w:val="1"/>
          <w:iCs w:val="1"/>
          <w:color w:val="0f172a"/>
          <w:sz w:val="23"/>
          <w:szCs w:val="23"/>
          <w:rtl w:val="0"/>
        </w:rPr>
        <w:t xml:space="preserve">Plataformas MBSE corporativas pesadas</w:t>
      </w:r>
      <w:r w:rsidDel="00000000" w:rsidR="00000000" w:rsidRPr="00000000">
        <w:rPr>
          <w:rFonts w:ascii="Times New Roman" w:cs="Times New Roman" w:eastAsia="Times New Roman" w:hAnsi="Times New Roman"/>
          <w:b w:val="0"/>
          <w:bCs w:val="0"/>
          <w:i w:val="0"/>
          <w:iCs w:val="0"/>
          <w:color w:val="0f172a"/>
          <w:sz w:val="23"/>
          <w:szCs w:val="23"/>
          <w:rtl w:val="0"/>
        </w:rPr>
        <w:t xml:space="preserve">, como </w:t>
      </w:r>
      <w:r w:rsidDel="00000000" w:rsidR="00000000" w:rsidRPr="00000000">
        <w:rPr>
          <w:rFonts w:ascii="Times New Roman" w:cs="Times New Roman" w:eastAsia="Times New Roman" w:hAnsi="Times New Roman"/>
          <w:b w:val="1"/>
          <w:bCs w:val="1"/>
          <w:i w:val="0"/>
          <w:iCs w:val="0"/>
          <w:color w:val="0f172a"/>
          <w:sz w:val="23"/>
          <w:szCs w:val="23"/>
          <w:rtl w:val="0"/>
        </w:rPr>
        <w:t xml:space="preserve">Cameo Systems Modeler / MagicDraw</w:t>
      </w:r>
      <w:r w:rsidDel="00000000" w:rsidR="00000000" w:rsidRPr="00000000">
        <w:rPr>
          <w:rFonts w:ascii="Times New Roman" w:cs="Times New Roman" w:eastAsia="Times New Roman" w:hAnsi="Times New Roman"/>
          <w:b w:val="0"/>
          <w:bCs w:val="0"/>
          <w:i w:val="0"/>
          <w:iCs w:val="0"/>
          <w:color w:val="0f172a"/>
          <w:sz w:val="23"/>
          <w:szCs w:val="23"/>
          <w:rtl w:val="0"/>
        </w:rPr>
        <w:t xml:space="preserve"> (Dassault Systèmes), con costos que oscilan entre USD 10.000 y USD 25.000 por licencia anual, alta complejidad basada en SysML y curvas de adopción de meses, inaccesibles para proyectos ágiles de satélites pequeños.</w:t>
      </w:r>
      <w:r w:rsidDel="00000000" w:rsidR="00000000" w:rsidRPr="00000000">
        <w:rPr>
          <w:rtl w:val="0"/>
        </w:rPr>
      </w:r>
    </w:p>
    <w:p w:rsidR="00000000" w:rsidDel="00000000" w:rsidP="00000000" w:rsidRDefault="00000000" w:rsidRPr="00000000" w14:paraId="0000039D">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2. </w:t>
      </w:r>
      <w:r w:rsidDel="00000000" w:rsidR="00000000" w:rsidRPr="00000000">
        <w:rPr>
          <w:rFonts w:ascii="Times New Roman" w:cs="Times New Roman" w:eastAsia="Times New Roman" w:hAnsi="Times New Roman"/>
          <w:b w:val="0"/>
          <w:bCs w:val="0"/>
          <w:i w:val="1"/>
          <w:iCs w:val="1"/>
          <w:color w:val="0f172a"/>
          <w:sz w:val="23"/>
          <w:szCs w:val="23"/>
          <w:rtl w:val="0"/>
        </w:rPr>
        <w:t xml:space="preserve">Plataformas colaborativas de gestión de parámetros</w:t>
      </w:r>
      <w:r w:rsidDel="00000000" w:rsidR="00000000" w:rsidRPr="00000000">
        <w:rPr>
          <w:rFonts w:ascii="Times New Roman" w:cs="Times New Roman" w:eastAsia="Times New Roman" w:hAnsi="Times New Roman"/>
          <w:b w:val="0"/>
          <w:bCs w:val="0"/>
          <w:i w:val="0"/>
          <w:iCs w:val="0"/>
          <w:color w:val="0f172a"/>
          <w:sz w:val="23"/>
          <w:szCs w:val="23"/>
          <w:rtl w:val="0"/>
        </w:rPr>
        <w:t xml:space="preserve">, como </w:t>
      </w:r>
      <w:r w:rsidDel="00000000" w:rsidR="00000000" w:rsidRPr="00000000">
        <w:rPr>
          <w:rFonts w:ascii="Times New Roman" w:cs="Times New Roman" w:eastAsia="Times New Roman" w:hAnsi="Times New Roman"/>
          <w:b w:val="1"/>
          <w:bCs w:val="1"/>
          <w:i w:val="0"/>
          <w:iCs w:val="0"/>
          <w:color w:val="0f172a"/>
          <w:sz w:val="23"/>
          <w:szCs w:val="23"/>
          <w:rtl w:val="0"/>
        </w:rPr>
        <w:t xml:space="preserve">Valispace</w:t>
      </w:r>
      <w:r w:rsidDel="00000000" w:rsidR="00000000" w:rsidRPr="00000000">
        <w:rPr>
          <w:rFonts w:ascii="Times New Roman" w:cs="Times New Roman" w:eastAsia="Times New Roman" w:hAnsi="Times New Roman"/>
          <w:b w:val="0"/>
          <w:bCs w:val="0"/>
          <w:i w:val="0"/>
          <w:iCs w:val="0"/>
          <w:color w:val="0f172a"/>
          <w:sz w:val="23"/>
          <w:szCs w:val="23"/>
          <w:rtl w:val="0"/>
        </w:rPr>
        <w:t xml:space="preserve"> (Altium), con suscripciones de USD 1.500/año (académico) a USD 5.000/año (comercial), centradas en bases de datos relacionales en la nube pero carentes de verificación física determinística en tiempo real, sin adaptación a la sobrecarga mental (NASA-TLX) y con rechazo en centros públicos por alojamiento en servidores externos (Capítulo I, Sec. I.3.1 y I.6; Sonia Botta, 14/09/2026).</w:t>
      </w:r>
      <w:r w:rsidDel="00000000" w:rsidR="00000000" w:rsidRPr="00000000">
        <w:rPr>
          <w:rtl w:val="0"/>
        </w:rPr>
      </w:r>
    </w:p>
    <w:p w:rsidR="00000000" w:rsidDel="00000000" w:rsidP="00000000" w:rsidRDefault="00000000" w:rsidRPr="00000000" w14:paraId="0000039E">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3. </w:t>
      </w:r>
      <w:r w:rsidDel="00000000" w:rsidR="00000000" w:rsidRPr="00000000">
        <w:rPr>
          <w:rFonts w:ascii="Times New Roman" w:cs="Times New Roman" w:eastAsia="Times New Roman" w:hAnsi="Times New Roman"/>
          <w:b w:val="0"/>
          <w:bCs w:val="0"/>
          <w:i w:val="1"/>
          <w:iCs w:val="1"/>
          <w:color w:val="0f172a"/>
          <w:sz w:val="23"/>
          <w:szCs w:val="23"/>
          <w:rtl w:val="0"/>
        </w:rPr>
        <w:t xml:space="preserve">Plataformas cloud-native de gemelos digitales y co-simulación espacial</w:t>
      </w:r>
      <w:r w:rsidDel="00000000" w:rsidR="00000000" w:rsidRPr="00000000">
        <w:rPr>
          <w:rFonts w:ascii="Times New Roman" w:cs="Times New Roman" w:eastAsia="Times New Roman" w:hAnsi="Times New Roman"/>
          <w:b w:val="0"/>
          <w:bCs w:val="0"/>
          <w:i w:val="0"/>
          <w:iCs w:val="0"/>
          <w:color w:val="0f172a"/>
          <w:sz w:val="23"/>
          <w:szCs w:val="23"/>
          <w:rtl w:val="0"/>
        </w:rPr>
        <w:t xml:space="preserve">, como </w:t>
      </w:r>
      <w:r w:rsidDel="00000000" w:rsidR="00000000" w:rsidRPr="00000000">
        <w:rPr>
          <w:rFonts w:ascii="Times New Roman" w:cs="Times New Roman" w:eastAsia="Times New Roman" w:hAnsi="Times New Roman"/>
          <w:b w:val="1"/>
          <w:bCs w:val="1"/>
          <w:i w:val="0"/>
          <w:iCs w:val="0"/>
          <w:color w:val="0f172a"/>
          <w:sz w:val="23"/>
          <w:szCs w:val="23"/>
          <w:rtl w:val="0"/>
        </w:rPr>
        <w:t xml:space="preserve">Sedaro Satellite</w:t>
      </w:r>
      <w:r w:rsidDel="00000000" w:rsidR="00000000" w:rsidRPr="00000000">
        <w:rPr>
          <w:rFonts w:ascii="Times New Roman" w:cs="Times New Roman" w:eastAsia="Times New Roman" w:hAnsi="Times New Roman"/>
          <w:b w:val="0"/>
          <w:bCs w:val="0"/>
          <w:i w:val="0"/>
          <w:iCs w:val="0"/>
          <w:color w:val="0f172a"/>
          <w:sz w:val="23"/>
          <w:szCs w:val="23"/>
          <w:rtl w:val="0"/>
        </w:rPr>
        <w:t xml:space="preserve"> (Sedaro Technologies), orientada a simulaciones multifísicas de alta fidelidad en la nube para constelaciones y defensa; presenta costos privativos en divisa extranjera, opera bajo un modelo SaaS foráneo cerrado que compromete la soberanía de datos y normas de secreto tecnológico, y carece de un arnés de razonamiento neuro-simbólico que preserve el contexto decisorio de ingeniería (</w:t>
      </w:r>
      <w:r w:rsidDel="00000000" w:rsidR="00000000" w:rsidRPr="00000000">
        <w:rPr>
          <w:rFonts w:ascii="Consolas" w:cs="Consolas" w:eastAsia="Consolas" w:hAnsi="Consolas"/>
          <w:b w:val="0"/>
          <w:bCs w:val="0"/>
          <w:i w:val="0"/>
          <w:iCs w:val="0"/>
          <w:color w:val="334155"/>
          <w:sz w:val="20"/>
          <w:szCs w:val="20"/>
          <w:rtl w:val="0"/>
        </w:rPr>
        <w:t xml:space="preserve">DecisionLog</w:t>
      </w:r>
      <w:r w:rsidDel="00000000" w:rsidR="00000000" w:rsidRPr="00000000">
        <w:rPr>
          <w:rFonts w:ascii="Times New Roman" w:cs="Times New Roman" w:eastAsia="Times New Roman" w:hAnsi="Times New Roman"/>
          <w:b w:val="0"/>
          <w:bCs w:val="0"/>
          <w:i w:val="0"/>
          <w:iCs w:val="0"/>
          <w:color w:val="0f172a"/>
          <w:sz w:val="23"/>
          <w:szCs w:val="23"/>
          <w:rtl w:val="0"/>
        </w:rPr>
        <w:t xml:space="preserve">) o asista frente a la sobrecarga cognitiva del operador.</w:t>
      </w:r>
      <w:r w:rsidDel="00000000" w:rsidR="00000000" w:rsidRPr="00000000">
        <w:rPr>
          <w:rtl w:val="0"/>
        </w:rPr>
      </w:r>
    </w:p>
    <w:p w:rsidR="00000000" w:rsidDel="00000000" w:rsidP="00000000" w:rsidRDefault="00000000" w:rsidRPr="00000000" w14:paraId="0000039F">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4. </w:t>
      </w:r>
      <w:r w:rsidDel="00000000" w:rsidR="00000000" w:rsidRPr="00000000">
        <w:rPr>
          <w:rFonts w:ascii="Times New Roman" w:cs="Times New Roman" w:eastAsia="Times New Roman" w:hAnsi="Times New Roman"/>
          <w:b w:val="0"/>
          <w:bCs w:val="0"/>
          <w:i w:val="1"/>
          <w:iCs w:val="1"/>
          <w:color w:val="0f172a"/>
          <w:sz w:val="23"/>
          <w:szCs w:val="23"/>
          <w:rtl w:val="0"/>
        </w:rPr>
        <w:t xml:space="preserve">Herramientas libres de modelado abstracto</w:t>
      </w:r>
      <w:r w:rsidDel="00000000" w:rsidR="00000000" w:rsidRPr="00000000">
        <w:rPr>
          <w:rFonts w:ascii="Times New Roman" w:cs="Times New Roman" w:eastAsia="Times New Roman" w:hAnsi="Times New Roman"/>
          <w:b w:val="0"/>
          <w:bCs w:val="0"/>
          <w:i w:val="0"/>
          <w:iCs w:val="0"/>
          <w:color w:val="0f172a"/>
          <w:sz w:val="23"/>
          <w:szCs w:val="23"/>
          <w:rtl w:val="0"/>
        </w:rPr>
        <w:t xml:space="preserve">, como </w:t>
      </w:r>
      <w:r w:rsidDel="00000000" w:rsidR="00000000" w:rsidRPr="00000000">
        <w:rPr>
          <w:rFonts w:ascii="Times New Roman" w:cs="Times New Roman" w:eastAsia="Times New Roman" w:hAnsi="Times New Roman"/>
          <w:b w:val="1"/>
          <w:bCs w:val="1"/>
          <w:i w:val="0"/>
          <w:iCs w:val="0"/>
          <w:color w:val="0f172a"/>
          <w:sz w:val="23"/>
          <w:szCs w:val="23"/>
          <w:rtl w:val="0"/>
        </w:rPr>
        <w:t xml:space="preserve">Eclipse Capella</w:t>
      </w:r>
      <w:r w:rsidDel="00000000" w:rsidR="00000000" w:rsidRPr="00000000">
        <w:rPr>
          <w:rFonts w:ascii="Times New Roman" w:cs="Times New Roman" w:eastAsia="Times New Roman" w:hAnsi="Times New Roman"/>
          <w:b w:val="0"/>
          <w:bCs w:val="0"/>
          <w:i w:val="0"/>
          <w:iCs w:val="0"/>
          <w:color w:val="0f172a"/>
          <w:sz w:val="23"/>
          <w:szCs w:val="23"/>
          <w:rtl w:val="0"/>
        </w:rPr>
        <w:t xml:space="preserve"> (Eclipse Foundation), desconectadas de simulaciones numéricas continuas y sin capacidades cognitivas de asistencia.</w:t>
      </w:r>
      <w:r w:rsidDel="00000000" w:rsidR="00000000" w:rsidRPr="00000000">
        <w:rPr>
          <w:rtl w:val="0"/>
        </w:rPr>
      </w:r>
    </w:p>
    <w:p w:rsidR="00000000" w:rsidDel="00000000" w:rsidP="00000000" w:rsidRDefault="00000000" w:rsidRPr="00000000" w14:paraId="000003A0">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Implicancia Decisoria en el Proyecto CODI</w:t>
      </w:r>
      <w:r w:rsidDel="00000000" w:rsidR="00000000" w:rsidRPr="00000000">
        <w:rPr>
          <w:rtl w:val="0"/>
        </w:rPr>
      </w:r>
    </w:p>
    <w:p w:rsidR="00000000" w:rsidDel="00000000" w:rsidP="00000000" w:rsidRDefault="00000000" w:rsidRPr="00000000" w14:paraId="000003A1">
      <w:pPr>
        <w:spacing w:after="80" w:before="0" w:line="480" w:lineRule="auto"/>
        <w:ind w:firstLine="720"/>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Decisión adoptada</w:t>
      </w:r>
      <w:r w:rsidDel="00000000" w:rsidR="00000000" w:rsidRPr="00000000">
        <w:rPr>
          <w:rFonts w:ascii="Times New Roman" w:cs="Times New Roman" w:eastAsia="Times New Roman" w:hAnsi="Times New Roman"/>
          <w:b w:val="0"/>
          <w:bCs w:val="0"/>
          <w:i w:val="0"/>
          <w:iCs w:val="0"/>
          <w:color w:val="0f172a"/>
          <w:sz w:val="24"/>
          <w:szCs w:val="24"/>
          <w:rtl w:val="0"/>
        </w:rPr>
        <w:t xml:space="preserve">: Descartar la competencia frontal con modeladores SysML corporativos, bases de datos web masivas o motores de co-simulación pesados en la nube. CODI se posiciona como un </w:t>
      </w:r>
      <w:r w:rsidDel="00000000" w:rsidR="00000000" w:rsidRPr="00000000">
        <w:rPr>
          <w:rFonts w:ascii="Times New Roman" w:cs="Times New Roman" w:eastAsia="Times New Roman" w:hAnsi="Times New Roman"/>
          <w:b w:val="1"/>
          <w:bCs w:val="1"/>
          <w:i w:val="0"/>
          <w:iCs w:val="0"/>
          <w:color w:val="0f172a"/>
          <w:sz w:val="24"/>
          <w:szCs w:val="24"/>
          <w:rtl w:val="0"/>
        </w:rPr>
        <w:t xml:space="preserve">Arnés de Asistencia Cognitiva Especializado y Ágil</w:t>
      </w:r>
      <w:r w:rsidDel="00000000" w:rsidR="00000000" w:rsidRPr="00000000">
        <w:rPr>
          <w:rFonts w:ascii="Times New Roman" w:cs="Times New Roman" w:eastAsia="Times New Roman" w:hAnsi="Times New Roman"/>
          <w:b w:val="0"/>
          <w:bCs w:val="0"/>
          <w:i w:val="0"/>
          <w:iCs w:val="0"/>
          <w:color w:val="0f172a"/>
          <w:sz w:val="24"/>
          <w:szCs w:val="24"/>
          <w:rtl w:val="0"/>
        </w:rPr>
        <w:t xml:space="preserve">, enfocado en la validación determinística instantánea del subsistema crítico de potencia eléctrica (EPS) bajo normas espaciales (ECSS-E-ST-20C Rev. 1), con despliegue local contenerizado (</w:t>
      </w:r>
      <w:r w:rsidDel="00000000" w:rsidR="00000000" w:rsidRPr="00000000">
        <w:rPr>
          <w:rFonts w:ascii="Times New Roman" w:cs="Times New Roman" w:eastAsia="Times New Roman" w:hAnsi="Times New Roman"/>
          <w:b w:val="0"/>
          <w:bCs w:val="0"/>
          <w:i w:val="1"/>
          <w:iCs w:val="1"/>
          <w:color w:val="0f172a"/>
          <w:sz w:val="24"/>
          <w:szCs w:val="24"/>
          <w:rtl w:val="0"/>
        </w:rPr>
        <w:t xml:space="preserve">on-premise</w:t>
      </w:r>
      <w:r w:rsidDel="00000000" w:rsidR="00000000" w:rsidRPr="00000000">
        <w:rPr>
          <w:rFonts w:ascii="Gungsuh" w:cs="Gungsuh" w:eastAsia="Gungsuh" w:hAnsi="Gungsuh"/>
          <w:b w:val="0"/>
          <w:bCs w:val="0"/>
          <w:i w:val="0"/>
          <w:iCs w:val="0"/>
          <w:color w:val="0f172a"/>
          <w:sz w:val="24"/>
          <w:szCs w:val="24"/>
          <w:rtl w:val="0"/>
        </w:rPr>
        <w:t xml:space="preserve"> en Docker) y un costo accesible B2B (≤ USD  5.000/año por equipo), garantizando soberanía de datos y retorno de inversión inmediato frente a la competencia importada.</w:t>
      </w:r>
      <w:r w:rsidDel="00000000" w:rsidR="00000000" w:rsidRPr="00000000">
        <w:rPr>
          <w:rtl w:val="0"/>
        </w:rPr>
      </w:r>
    </w:p>
    <w:p w:rsidR="00000000" w:rsidDel="00000000" w:rsidP="00000000" w:rsidRDefault="00000000" w:rsidRPr="00000000" w14:paraId="000003A2">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2. Amenaza de Competidores Potenciales</w:t>
      </w:r>
      <w:r w:rsidDel="00000000" w:rsidR="00000000" w:rsidRPr="00000000">
        <w:rPr>
          <w:rtl w:val="0"/>
        </w:rPr>
      </w:r>
    </w:p>
    <w:p w:rsidR="00000000" w:rsidDel="00000000" w:rsidP="00000000" w:rsidRDefault="00000000" w:rsidRPr="00000000" w14:paraId="000003A3">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Situación Relevada y Evidencia Empírica de Referencia</w:t>
      </w:r>
      <w:r w:rsidDel="00000000" w:rsidR="00000000" w:rsidRPr="00000000">
        <w:rPr>
          <w:rtl w:val="0"/>
        </w:rPr>
      </w:r>
    </w:p>
    <w:p w:rsidR="00000000" w:rsidDel="00000000" w:rsidP="00000000" w:rsidRDefault="00000000" w:rsidRPr="00000000" w14:paraId="000003A4">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Existe una proliferación constante de herramientas genéricas de IA generativa (chatbots y wrappers comerciales basados en OpenAI GPT-4o, Anthropic Claude o Google Gemini) y startups emergentes de copilotos de ingeniería para industria pesada (ej. Monolith AI, PhysicsX).</w:t>
      </w:r>
      <w:r w:rsidDel="00000000" w:rsidR="00000000" w:rsidRPr="00000000">
        <w:rPr>
          <w:rtl w:val="0"/>
        </w:rPr>
      </w:r>
    </w:p>
    <w:p w:rsidR="00000000" w:rsidDel="00000000" w:rsidP="00000000" w:rsidRDefault="00000000" w:rsidRPr="00000000" w14:paraId="000003A5">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Barrera de entrada del dominio</w:t>
      </w:r>
      <w:r w:rsidDel="00000000" w:rsidR="00000000" w:rsidRPr="00000000">
        <w:rPr>
          <w:rFonts w:ascii="Times New Roman" w:cs="Times New Roman" w:eastAsia="Times New Roman" w:hAnsi="Times New Roman"/>
          <w:b w:val="0"/>
          <w:bCs w:val="0"/>
          <w:i w:val="0"/>
          <w:iCs w:val="0"/>
          <w:color w:val="0f172a"/>
          <w:sz w:val="24"/>
          <w:szCs w:val="24"/>
          <w:rtl w:val="0"/>
        </w:rPr>
        <w:t xml:space="preserve">: El sector espacial exige cero tolerancia a las alucinaciones de parámetros de misión; un desvío analítico en el ángulo beta, la fracción de eclipse o la degradación de celdas solares deriva en el colapso energético de la batería en órbita LEO, causal del 38,8% de las pérdidas tempranas de CubeSats a nivel internacional (Swartwout, 2024; NASA S3VI). Los modelos generativos puros carecen de certificación matemática y son descartados por los ingenieros de sistemas (NASA, 2023).</w:t>
      </w:r>
      <w:r w:rsidDel="00000000" w:rsidR="00000000" w:rsidRPr="00000000">
        <w:rPr>
          <w:rtl w:val="0"/>
        </w:rPr>
      </w:r>
    </w:p>
    <w:p w:rsidR="00000000" w:rsidDel="00000000" w:rsidP="00000000" w:rsidRDefault="00000000" w:rsidRPr="00000000" w14:paraId="000003A6">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Implicancia Decisoria en el Proyecto CODI</w:t>
      </w:r>
      <w:r w:rsidDel="00000000" w:rsidR="00000000" w:rsidRPr="00000000">
        <w:rPr>
          <w:rtl w:val="0"/>
        </w:rPr>
      </w:r>
    </w:p>
    <w:p w:rsidR="00000000" w:rsidDel="00000000" w:rsidP="00000000" w:rsidRDefault="00000000" w:rsidRPr="00000000" w14:paraId="000003A7">
      <w:pPr>
        <w:spacing w:after="80" w:before="0" w:line="480" w:lineRule="auto"/>
        <w:ind w:firstLine="720"/>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Decisión adoptada</w:t>
      </w:r>
      <w:r w:rsidDel="00000000" w:rsidR="00000000" w:rsidRPr="00000000">
        <w:rPr>
          <w:rFonts w:ascii="Times New Roman" w:cs="Times New Roman" w:eastAsia="Times New Roman" w:hAnsi="Times New Roman"/>
          <w:b w:val="0"/>
          <w:bCs w:val="0"/>
          <w:i w:val="0"/>
          <w:iCs w:val="0"/>
          <w:color w:val="0f172a"/>
          <w:sz w:val="24"/>
          <w:szCs w:val="24"/>
          <w:rtl w:val="0"/>
        </w:rPr>
        <w:t xml:space="preserve">: Blindar tecnológicamente a CODI mediante una </w:t>
      </w:r>
      <w:r w:rsidDel="00000000" w:rsidR="00000000" w:rsidRPr="00000000">
        <w:rPr>
          <w:rFonts w:ascii="Times New Roman" w:cs="Times New Roman" w:eastAsia="Times New Roman" w:hAnsi="Times New Roman"/>
          <w:b w:val="1"/>
          <w:bCs w:val="1"/>
          <w:i w:val="0"/>
          <w:iCs w:val="0"/>
          <w:color w:val="0f172a"/>
          <w:sz w:val="24"/>
          <w:szCs w:val="24"/>
          <w:rtl w:val="0"/>
        </w:rPr>
        <w:t xml:space="preserve">arquitectura neuro-simbólica híbrida y desacoplada</w:t>
      </w:r>
      <w:r w:rsidDel="00000000" w:rsidR="00000000" w:rsidRPr="00000000">
        <w:rPr>
          <w:rFonts w:ascii="Gungsuh" w:cs="Gungsuh" w:eastAsia="Gungsuh" w:hAnsi="Gungsuh"/>
          <w:b w:val="0"/>
          <w:bCs w:val="0"/>
          <w:i w:val="0"/>
          <w:iCs w:val="0"/>
          <w:color w:val="0f172a"/>
          <w:sz w:val="24"/>
          <w:szCs w:val="24"/>
          <w:rtl w:val="0"/>
        </w:rPr>
        <w:t xml:space="preserve">: el cálculo físico nunca se delega al modelo de lenguaje generativo; lo ejecuta un motor determinístico kepleriano y analítico con error ≤ 1,0% (RNF-02), mientras que la IA se restringe estrictamente a la extracción contextual (RAG con citas exactas de normas, RF-06) y a la adaptación dinámica de la interfaz en el Chat de Hilo Digital según la fatiga mental NASA-TLX del operador (RF-12, Regla RN-07).</w:t>
      </w:r>
      <w:r w:rsidDel="00000000" w:rsidR="00000000" w:rsidRPr="00000000">
        <w:rPr>
          <w:rtl w:val="0"/>
        </w:rPr>
      </w:r>
    </w:p>
    <w:p w:rsidR="00000000" w:rsidDel="00000000" w:rsidP="00000000" w:rsidRDefault="00000000" w:rsidRPr="00000000" w14:paraId="000003A8">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3. Amenaza de Productos y Prácticas Sustitutas</w:t>
      </w:r>
      <w:r w:rsidDel="00000000" w:rsidR="00000000" w:rsidRPr="00000000">
        <w:rPr>
          <w:rtl w:val="0"/>
        </w:rPr>
      </w:r>
    </w:p>
    <w:p w:rsidR="00000000" w:rsidDel="00000000" w:rsidP="00000000" w:rsidRDefault="00000000" w:rsidRPr="00000000" w14:paraId="000003A9">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Situación Relevada y Evidencia Empírica de Referencia</w:t>
      </w:r>
      <w:r w:rsidDel="00000000" w:rsidR="00000000" w:rsidRPr="00000000">
        <w:rPr>
          <w:rtl w:val="0"/>
        </w:rPr>
      </w:r>
    </w:p>
    <w:p w:rsidR="00000000" w:rsidDel="00000000" w:rsidP="00000000" w:rsidRDefault="00000000" w:rsidRPr="00000000" w14:paraId="000003AA">
      <w:pPr>
        <w:spacing w:after="80" w:before="0" w:line="480" w:lineRule="auto"/>
        <w:ind w:firstLine="720"/>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La planilla de cálculo (Microsoft Excel / Google Sheets) es el sustituto dominante y más arraigado de la industria.</w:t>
      </w:r>
      <w:r w:rsidDel="00000000" w:rsidR="00000000" w:rsidRPr="00000000">
        <w:rPr>
          <w:rtl w:val="0"/>
        </w:rPr>
      </w:r>
    </w:p>
    <w:p w:rsidR="00000000" w:rsidDel="00000000" w:rsidP="00000000" w:rsidRDefault="00000000" w:rsidRPr="00000000" w14:paraId="000003AB">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En el Centro Tecnológico Aeroespacial (CTA-UNLP) y en la práctica generalizada de iniciativas de satélites pequeños y proyectos universitarios de fase temprana, la gestión de cálculos numéricos, balances de potencia preliminares, dimensionamiento de celdas y seguimiento de interfaces se realiza predominantemente mediante planillas de cálculo (Microsoft Excel o Google Sheets) aisladas y compartidas de forma informal (Capítulo I, Sec. I.3.1 y I.3.3).</w:t>
      </w:r>
      <w:r w:rsidDel="00000000" w:rsidR="00000000" w:rsidRPr="00000000">
        <w:rPr>
          <w:rtl w:val="0"/>
        </w:rPr>
      </w:r>
    </w:p>
    <w:p w:rsidR="00000000" w:rsidDel="00000000" w:rsidP="00000000" w:rsidRDefault="00000000" w:rsidRPr="00000000" w14:paraId="000003AC">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Evidencia del costo del sustituto</w:t>
      </w:r>
      <w:r w:rsidDel="00000000" w:rsidR="00000000" w:rsidRPr="00000000">
        <w:rPr>
          <w:rFonts w:ascii="Times New Roman" w:cs="Times New Roman" w:eastAsia="Times New Roman" w:hAnsi="Times New Roman"/>
          <w:b w:val="0"/>
          <w:bCs w:val="0"/>
          <w:i w:val="0"/>
          <w:iCs w:val="0"/>
          <w:color w:val="0f172a"/>
          <w:sz w:val="24"/>
          <w:szCs w:val="24"/>
          <w:rtl w:val="0"/>
        </w:rPr>
        <w:t xml:space="preserve">: Genera "números tácitos" desvinculados de los modelos CAD, desincronización de versiones frente a ICDs de 50 a 90 páginas (fallas detectadas a escasas 72 h de integración, misión Atenea) y exige una </w:t>
      </w:r>
      <w:r w:rsidDel="00000000" w:rsidR="00000000" w:rsidRPr="00000000">
        <w:rPr>
          <w:rFonts w:ascii="Times New Roman" w:cs="Times New Roman" w:eastAsia="Times New Roman" w:hAnsi="Times New Roman"/>
          <w:b w:val="1"/>
          <w:bCs w:val="1"/>
          <w:i w:val="0"/>
          <w:iCs w:val="0"/>
          <w:color w:val="0f172a"/>
          <w:sz w:val="24"/>
          <w:szCs w:val="24"/>
          <w:rtl w:val="0"/>
        </w:rPr>
        <w:t xml:space="preserve">superposición presencial obligatoria de 30 a 45 días</w:t>
      </w:r>
      <w:r w:rsidDel="00000000" w:rsidR="00000000" w:rsidRPr="00000000">
        <w:rPr>
          <w:rFonts w:ascii="Times New Roman" w:cs="Times New Roman" w:eastAsia="Times New Roman" w:hAnsi="Times New Roman"/>
          <w:b w:val="0"/>
          <w:bCs w:val="0"/>
          <w:i w:val="0"/>
          <w:iCs w:val="0"/>
          <w:color w:val="0f172a"/>
          <w:sz w:val="24"/>
          <w:szCs w:val="24"/>
          <w:rtl w:val="0"/>
        </w:rPr>
        <w:t xml:space="preserve"> en cada rotación de los 10 a 60 becarios para transmitir informalmente cómo funciona el archivo (Sonia Botta, 14/09/2026). Como sustitutos secundarios operan scripts ad-hoc en Python/MATLAB y repositorios planos sin semántica (Redmine, Google Drive).</w:t>
      </w:r>
      <w:r w:rsidDel="00000000" w:rsidR="00000000" w:rsidRPr="00000000">
        <w:rPr>
          <w:rtl w:val="0"/>
        </w:rPr>
      </w:r>
    </w:p>
    <w:p w:rsidR="00000000" w:rsidDel="00000000" w:rsidP="00000000" w:rsidRDefault="00000000" w:rsidRPr="00000000" w14:paraId="000003AD">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Implicancia Decisoria en el Proyecto CODI</w:t>
      </w:r>
      <w:r w:rsidDel="00000000" w:rsidR="00000000" w:rsidRPr="00000000">
        <w:rPr>
          <w:rtl w:val="0"/>
        </w:rPr>
      </w:r>
    </w:p>
    <w:p w:rsidR="00000000" w:rsidDel="00000000" w:rsidP="00000000" w:rsidRDefault="00000000" w:rsidRPr="00000000" w14:paraId="000003AE">
      <w:pPr>
        <w:spacing w:after="80" w:before="0" w:line="480" w:lineRule="auto"/>
        <w:ind w:firstLine="720"/>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Decisión adoptada</w:t>
      </w:r>
      <w:r w:rsidDel="00000000" w:rsidR="00000000" w:rsidRPr="00000000">
        <w:rPr>
          <w:rFonts w:ascii="Times New Roman" w:cs="Times New Roman" w:eastAsia="Times New Roman" w:hAnsi="Times New Roman"/>
          <w:b w:val="0"/>
          <w:bCs w:val="0"/>
          <w:i w:val="0"/>
          <w:iCs w:val="0"/>
          <w:color w:val="0f172a"/>
          <w:sz w:val="24"/>
          <w:szCs w:val="24"/>
          <w:rtl w:val="0"/>
        </w:rPr>
        <w:t xml:space="preserve">: Diseñar a CODI con una </w:t>
      </w:r>
      <w:r w:rsidDel="00000000" w:rsidR="00000000" w:rsidRPr="00000000">
        <w:rPr>
          <w:rFonts w:ascii="Times New Roman" w:cs="Times New Roman" w:eastAsia="Times New Roman" w:hAnsi="Times New Roman"/>
          <w:b w:val="1"/>
          <w:bCs w:val="1"/>
          <w:i w:val="0"/>
          <w:iCs w:val="0"/>
          <w:color w:val="0f172a"/>
          <w:sz w:val="24"/>
          <w:szCs w:val="24"/>
          <w:rtl w:val="0"/>
        </w:rPr>
        <w:t xml:space="preserve">estrategia de sustitución de baja fricción</w:t>
      </w:r>
      <w:r w:rsidDel="00000000" w:rsidR="00000000" w:rsidRPr="00000000">
        <w:rPr>
          <w:rFonts w:ascii="Gungsuh" w:cs="Gungsuh" w:eastAsia="Gungsuh" w:hAnsi="Gungsuh"/>
          <w:b w:val="0"/>
          <w:bCs w:val="0"/>
          <w:i w:val="0"/>
          <w:iCs w:val="0"/>
          <w:color w:val="0f172a"/>
          <w:sz w:val="24"/>
          <w:szCs w:val="24"/>
          <w:rtl w:val="0"/>
        </w:rPr>
        <w:t xml:space="preserve">: el sistema no impone una ruptura hostil que prohíba el uso de planillas, sino que absorbe y supera el flujo sustituto permitiendo la importación estructurada de tablas e ICDs en ≤ 2,0 s (RF-01) y la ingesta desacoplada de corridas numéricas de MATLAB/Python (RF-08). Resuelve el punto crítico del sustituto mediante el registro inmutable del </w:t>
      </w:r>
      <w:r w:rsidDel="00000000" w:rsidR="00000000" w:rsidRPr="00000000">
        <w:rPr>
          <w:rFonts w:ascii="Consolas" w:cs="Consolas" w:eastAsia="Consolas" w:hAnsi="Consolas"/>
          <w:b w:val="0"/>
          <w:bCs w:val="0"/>
          <w:i w:val="0"/>
          <w:iCs w:val="0"/>
          <w:color w:val="334155"/>
          <w:sz w:val="21"/>
          <w:szCs w:val="21"/>
          <w:rtl w:val="0"/>
        </w:rPr>
        <w:t xml:space="preserve">DecisionLog</w:t>
      </w:r>
      <w:r w:rsidDel="00000000" w:rsidR="00000000" w:rsidRPr="00000000">
        <w:rPr>
          <w:rFonts w:ascii="Times New Roman" w:cs="Times New Roman" w:eastAsia="Times New Roman" w:hAnsi="Times New Roman"/>
          <w:b w:val="0"/>
          <w:bCs w:val="0"/>
          <w:i w:val="0"/>
          <w:iCs w:val="0"/>
          <w:color w:val="0f172a"/>
          <w:sz w:val="24"/>
          <w:szCs w:val="24"/>
          <w:rtl w:val="0"/>
        </w:rPr>
        <w:t xml:space="preserve"> (RF-09, RNF-05), que erradica la dependencia de la memoria informal y suprime las semanas de inducción presencial improductiva.</w:t>
      </w:r>
      <w:r w:rsidDel="00000000" w:rsidR="00000000" w:rsidRPr="00000000">
        <w:rPr>
          <w:rtl w:val="0"/>
        </w:rPr>
      </w:r>
    </w:p>
    <w:p w:rsidR="00000000" w:rsidDel="00000000" w:rsidP="00000000" w:rsidRDefault="00000000" w:rsidRPr="00000000" w14:paraId="000003AF">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4. Poder de Negociación de los Proveedores</w:t>
      </w:r>
      <w:r w:rsidDel="00000000" w:rsidR="00000000" w:rsidRPr="00000000">
        <w:rPr>
          <w:rtl w:val="0"/>
        </w:rPr>
      </w:r>
    </w:p>
    <w:p w:rsidR="00000000" w:rsidDel="00000000" w:rsidP="00000000" w:rsidRDefault="00000000" w:rsidRPr="00000000" w14:paraId="000003B0">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Situación Relevada y Evidencia Empírica de Referencia</w:t>
      </w:r>
      <w:r w:rsidDel="00000000" w:rsidR="00000000" w:rsidRPr="00000000">
        <w:rPr>
          <w:rtl w:val="0"/>
        </w:rPr>
      </w:r>
    </w:p>
    <w:p w:rsidR="00000000" w:rsidDel="00000000" w:rsidP="00000000" w:rsidRDefault="00000000" w:rsidRPr="00000000" w14:paraId="000003B1">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análisis de proveedores estratégicos revela tres frentes de dependencia:</w:t>
      </w:r>
      <w:r w:rsidDel="00000000" w:rsidR="00000000" w:rsidRPr="00000000">
        <w:rPr>
          <w:rtl w:val="0"/>
        </w:rPr>
      </w:r>
    </w:p>
    <w:p w:rsidR="00000000" w:rsidDel="00000000" w:rsidP="00000000" w:rsidRDefault="00000000" w:rsidRPr="00000000" w14:paraId="000003B2">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 </w:t>
      </w:r>
      <w:r w:rsidDel="00000000" w:rsidR="00000000" w:rsidRPr="00000000">
        <w:rPr>
          <w:rFonts w:ascii="Times New Roman" w:cs="Times New Roman" w:eastAsia="Times New Roman" w:hAnsi="Times New Roman"/>
          <w:b w:val="0"/>
          <w:bCs w:val="0"/>
          <w:i w:val="1"/>
          <w:iCs w:val="1"/>
          <w:color w:val="0f172a"/>
          <w:sz w:val="23"/>
          <w:szCs w:val="23"/>
          <w:rtl w:val="0"/>
        </w:rPr>
        <w:t xml:space="preserve">Proveedores de modelos fundacionales de IA (Google, Anthropic, OpenAI)</w:t>
      </w:r>
      <w:r w:rsidDel="00000000" w:rsidR="00000000" w:rsidRPr="00000000">
        <w:rPr>
          <w:rFonts w:ascii="Times New Roman" w:cs="Times New Roman" w:eastAsia="Times New Roman" w:hAnsi="Times New Roman"/>
          <w:b w:val="0"/>
          <w:bCs w:val="0"/>
          <w:i w:val="0"/>
          <w:iCs w:val="0"/>
          <w:color w:val="0f172a"/>
          <w:sz w:val="23"/>
          <w:szCs w:val="23"/>
          <w:rtl w:val="0"/>
        </w:rPr>
        <w:t xml:space="preserve">: Poseen un elevado poder de mercado para modificar tarifas de tokens, alterar términos de servicio o suspender APIs comerciales.</w:t>
      </w:r>
      <w:r w:rsidDel="00000000" w:rsidR="00000000" w:rsidRPr="00000000">
        <w:rPr>
          <w:rtl w:val="0"/>
        </w:rPr>
      </w:r>
    </w:p>
    <w:p w:rsidR="00000000" w:rsidDel="00000000" w:rsidP="00000000" w:rsidRDefault="00000000" w:rsidRPr="00000000" w14:paraId="000003B3">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2. </w:t>
      </w:r>
      <w:r w:rsidDel="00000000" w:rsidR="00000000" w:rsidRPr="00000000">
        <w:rPr>
          <w:rFonts w:ascii="Times New Roman" w:cs="Times New Roman" w:eastAsia="Times New Roman" w:hAnsi="Times New Roman"/>
          <w:b w:val="0"/>
          <w:bCs w:val="0"/>
          <w:i w:val="1"/>
          <w:iCs w:val="1"/>
          <w:color w:val="0f172a"/>
          <w:sz w:val="23"/>
          <w:szCs w:val="23"/>
          <w:rtl w:val="0"/>
        </w:rPr>
        <w:t xml:space="preserve">Proveedores de infraestructura de cómputo y hardware (NVIDIA)</w:t>
      </w:r>
      <w:r w:rsidDel="00000000" w:rsidR="00000000" w:rsidRPr="00000000">
        <w:rPr>
          <w:rFonts w:ascii="Times New Roman" w:cs="Times New Roman" w:eastAsia="Times New Roman" w:hAnsi="Times New Roman"/>
          <w:b w:val="0"/>
          <w:bCs w:val="0"/>
          <w:i w:val="0"/>
          <w:iCs w:val="0"/>
          <w:color w:val="0f172a"/>
          <w:sz w:val="23"/>
          <w:szCs w:val="23"/>
          <w:rtl w:val="0"/>
        </w:rPr>
        <w:t xml:space="preserve">: Escasez y elevados costos de adquisición de aceleradoras GPU dedicadas en el mercado latinoamericano.</w:t>
      </w:r>
      <w:r w:rsidDel="00000000" w:rsidR="00000000" w:rsidRPr="00000000">
        <w:rPr>
          <w:rtl w:val="0"/>
        </w:rPr>
      </w:r>
    </w:p>
    <w:p w:rsidR="00000000" w:rsidDel="00000000" w:rsidP="00000000" w:rsidRDefault="00000000" w:rsidRPr="00000000" w14:paraId="000003B4">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3. </w:t>
      </w:r>
      <w:r w:rsidDel="00000000" w:rsidR="00000000" w:rsidRPr="00000000">
        <w:rPr>
          <w:rFonts w:ascii="Times New Roman" w:cs="Times New Roman" w:eastAsia="Times New Roman" w:hAnsi="Times New Roman"/>
          <w:b w:val="0"/>
          <w:bCs w:val="0"/>
          <w:i w:val="1"/>
          <w:iCs w:val="1"/>
          <w:color w:val="0f172a"/>
          <w:sz w:val="23"/>
          <w:szCs w:val="23"/>
          <w:rtl w:val="0"/>
        </w:rPr>
        <w:t xml:space="preserve">Comités de estándares (ECSS, NASA, Cal Poly)</w:t>
      </w:r>
      <w:r w:rsidDel="00000000" w:rsidR="00000000" w:rsidRPr="00000000">
        <w:rPr>
          <w:rFonts w:ascii="Times New Roman" w:cs="Times New Roman" w:eastAsia="Times New Roman" w:hAnsi="Times New Roman"/>
          <w:b w:val="0"/>
          <w:bCs w:val="0"/>
          <w:i w:val="0"/>
          <w:iCs w:val="0"/>
          <w:color w:val="0f172a"/>
          <w:sz w:val="23"/>
          <w:szCs w:val="23"/>
          <w:rtl w:val="0"/>
        </w:rPr>
        <w:t xml:space="preserve">: Publican normas públicas y abiertas pero no negociables que rigen la ingeniería espacial internacional.</w:t>
      </w:r>
      <w:r w:rsidDel="00000000" w:rsidR="00000000" w:rsidRPr="00000000">
        <w:rPr>
          <w:rtl w:val="0"/>
        </w:rPr>
      </w:r>
    </w:p>
    <w:p w:rsidR="00000000" w:rsidDel="00000000" w:rsidP="00000000" w:rsidRDefault="00000000" w:rsidRPr="00000000" w14:paraId="000003B5">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Implicancia Decisoria en el Proyecto CODI</w:t>
      </w:r>
      <w:r w:rsidDel="00000000" w:rsidR="00000000" w:rsidRPr="00000000">
        <w:rPr>
          <w:rtl w:val="0"/>
        </w:rPr>
      </w:r>
    </w:p>
    <w:p w:rsidR="00000000" w:rsidDel="00000000" w:rsidP="00000000" w:rsidRDefault="00000000" w:rsidRPr="00000000" w14:paraId="000003B6">
      <w:pPr>
        <w:spacing w:after="80" w:before="0" w:line="480" w:lineRule="auto"/>
        <w:ind w:firstLine="720"/>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Decisión adoptada</w:t>
      </w:r>
      <w:r w:rsidDel="00000000" w:rsidR="00000000" w:rsidRPr="00000000">
        <w:rPr>
          <w:rFonts w:ascii="Times New Roman" w:cs="Times New Roman" w:eastAsia="Times New Roman" w:hAnsi="Times New Roman"/>
          <w:b w:val="0"/>
          <w:bCs w:val="0"/>
          <w:i w:val="0"/>
          <w:iCs w:val="0"/>
          <w:color w:val="0f172a"/>
          <w:sz w:val="24"/>
          <w:szCs w:val="24"/>
          <w:rtl w:val="0"/>
        </w:rPr>
        <w:t xml:space="preserve">: Neutralizar el poder de los proveedores de IA mediante la adopción de una </w:t>
      </w:r>
      <w:r w:rsidDel="00000000" w:rsidR="00000000" w:rsidRPr="00000000">
        <w:rPr>
          <w:rFonts w:ascii="Times New Roman" w:cs="Times New Roman" w:eastAsia="Times New Roman" w:hAnsi="Times New Roman"/>
          <w:b w:val="1"/>
          <w:bCs w:val="1"/>
          <w:i w:val="0"/>
          <w:iCs w:val="0"/>
          <w:color w:val="0f172a"/>
          <w:sz w:val="24"/>
          <w:szCs w:val="24"/>
          <w:rtl w:val="0"/>
        </w:rPr>
        <w:t xml:space="preserve">política agnóstica de inferencia híbrida</w:t>
      </w:r>
      <w:r w:rsidDel="00000000" w:rsidR="00000000" w:rsidRPr="00000000">
        <w:rPr>
          <w:rFonts w:ascii="Times New Roman" w:cs="Times New Roman" w:eastAsia="Times New Roman" w:hAnsi="Times New Roman"/>
          <w:b w:val="0"/>
          <w:bCs w:val="0"/>
          <w:i w:val="0"/>
          <w:iCs w:val="0"/>
          <w:color w:val="0f172a"/>
          <w:sz w:val="24"/>
          <w:szCs w:val="24"/>
          <w:rtl w:val="0"/>
        </w:rPr>
        <w:t xml:space="preserve">: implementación del esquema </w:t>
      </w:r>
      <w:r w:rsidDel="00000000" w:rsidR="00000000" w:rsidRPr="00000000">
        <w:rPr>
          <w:rFonts w:ascii="Times New Roman" w:cs="Times New Roman" w:eastAsia="Times New Roman" w:hAnsi="Times New Roman"/>
          <w:b w:val="0"/>
          <w:bCs w:val="0"/>
          <w:i w:val="1"/>
          <w:iCs w:val="1"/>
          <w:color w:val="0f172a"/>
          <w:sz w:val="24"/>
          <w:szCs w:val="24"/>
          <w:rtl w:val="0"/>
        </w:rPr>
        <w:t xml:space="preserve">Bring Your Own Key</w:t>
      </w:r>
      <w:r w:rsidDel="00000000" w:rsidR="00000000" w:rsidRPr="00000000">
        <w:rPr>
          <w:rFonts w:ascii="Times New Roman" w:cs="Times New Roman" w:eastAsia="Times New Roman" w:hAnsi="Times New Roman"/>
          <w:b w:val="0"/>
          <w:bCs w:val="0"/>
          <w:i w:val="0"/>
          <w:iCs w:val="0"/>
          <w:color w:val="0f172a"/>
          <w:sz w:val="24"/>
          <w:szCs w:val="24"/>
          <w:rtl w:val="0"/>
        </w:rPr>
        <w:t xml:space="preserve"> (BYOK) para APIs comerciales y soporte nativo para </w:t>
      </w:r>
      <w:r w:rsidDel="00000000" w:rsidR="00000000" w:rsidRPr="00000000">
        <w:rPr>
          <w:rFonts w:ascii="Times New Roman" w:cs="Times New Roman" w:eastAsia="Times New Roman" w:hAnsi="Times New Roman"/>
          <w:b w:val="1"/>
          <w:bCs w:val="1"/>
          <w:i w:val="0"/>
          <w:iCs w:val="0"/>
          <w:color w:val="0f172a"/>
          <w:sz w:val="24"/>
          <w:szCs w:val="24"/>
          <w:rtl w:val="0"/>
        </w:rPr>
        <w:t xml:space="preserve">modelos de lenguaje abiertos locales (*on-premise* vía Ollama/vLLM)</w:t>
      </w:r>
      <w:r w:rsidDel="00000000" w:rsidR="00000000" w:rsidRPr="00000000">
        <w:rPr>
          <w:rFonts w:ascii="Gungsuh" w:cs="Gungsuh" w:eastAsia="Gungsuh" w:hAnsi="Gungsuh"/>
          <w:b w:val="0"/>
          <w:bCs w:val="0"/>
          <w:i w:val="0"/>
          <w:iCs w:val="0"/>
          <w:color w:val="0f172a"/>
          <w:sz w:val="24"/>
          <w:szCs w:val="24"/>
          <w:rtl w:val="0"/>
        </w:rPr>
        <w:t xml:space="preserve"> ejecutables sobre CPUs o GPUs estándar preexistentes (Llama 3, Mistral, DeepSeek), con una huella de memoria optimizada (≤ 2048 MB RAM, RNF-04). La startup traslada el costo variable de inferencia al cliente y blinda su margen bruto ante aumentos de tarifas de los proveedores de IA.</w:t>
      </w:r>
      <w:r w:rsidDel="00000000" w:rsidR="00000000" w:rsidRPr="00000000">
        <w:rPr>
          <w:rtl w:val="0"/>
        </w:rPr>
      </w:r>
    </w:p>
    <w:p w:rsidR="00000000" w:rsidDel="00000000" w:rsidP="00000000" w:rsidRDefault="00000000" w:rsidRPr="00000000" w14:paraId="000003B7">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5. Poder de Negociación de los Clientes</w:t>
      </w:r>
      <w:r w:rsidDel="00000000" w:rsidR="00000000" w:rsidRPr="00000000">
        <w:rPr>
          <w:rtl w:val="0"/>
        </w:rPr>
      </w:r>
    </w:p>
    <w:p w:rsidR="00000000" w:rsidDel="00000000" w:rsidP="00000000" w:rsidRDefault="00000000" w:rsidRPr="00000000" w14:paraId="000003B8">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Situación Relevada y Evidencia Empírica de Referencia</w:t>
      </w:r>
      <w:r w:rsidDel="00000000" w:rsidR="00000000" w:rsidRPr="00000000">
        <w:rPr>
          <w:rtl w:val="0"/>
        </w:rPr>
      </w:r>
    </w:p>
    <w:p w:rsidR="00000000" w:rsidDel="00000000" w:rsidP="00000000" w:rsidRDefault="00000000" w:rsidRPr="00000000" w14:paraId="000003B9">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Los clientes objetivo (empresas del ecosistema NewSpace regional como integradores de nanosatélites, fabricantes de cargas útiles y centros espaciales públicos como CONAE o CTA-UNLP) enfrentan presupuestos de desarrollo acotados y una rigurosa aversión al riesgo en la protección de información estratégica de defensa o patentes espaciales.</w:t>
      </w:r>
      <w:r w:rsidDel="00000000" w:rsidR="00000000" w:rsidRPr="00000000">
        <w:rPr>
          <w:rtl w:val="0"/>
        </w:rPr>
      </w:r>
    </w:p>
    <w:p w:rsidR="00000000" w:rsidDel="00000000" w:rsidP="00000000" w:rsidRDefault="00000000" w:rsidRPr="00000000" w14:paraId="000003BA">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Poseen un alto poder de rechazo presupuestario frente a suscripciones anuales en divisa extranjera que superen los USD 1.500 - 2.000 por usuario individual (Capítulo I, Sec. I.3.1; Capítulo II, Sec. II.5.1).</w:t>
      </w:r>
      <w:r w:rsidDel="00000000" w:rsidR="00000000" w:rsidRPr="00000000">
        <w:rPr>
          <w:rtl w:val="0"/>
        </w:rPr>
      </w:r>
    </w:p>
    <w:p w:rsidR="00000000" w:rsidDel="00000000" w:rsidP="00000000" w:rsidRDefault="00000000" w:rsidRPr="00000000" w14:paraId="000003BB">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Implicancia Decisoria en el Proyecto CODI</w:t>
      </w:r>
      <w:r w:rsidDel="00000000" w:rsidR="00000000" w:rsidRPr="00000000">
        <w:rPr>
          <w:rtl w:val="0"/>
        </w:rPr>
      </w:r>
    </w:p>
    <w:p w:rsidR="00000000" w:rsidDel="00000000" w:rsidP="00000000" w:rsidRDefault="00000000" w:rsidRPr="00000000" w14:paraId="000003BC">
      <w:pPr>
        <w:spacing w:after="80" w:before="0" w:line="480" w:lineRule="auto"/>
        <w:ind w:firstLine="720"/>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Decisión adoptada</w:t>
      </w:r>
      <w:r w:rsidDel="00000000" w:rsidR="00000000" w:rsidRPr="00000000">
        <w:rPr>
          <w:rFonts w:ascii="Times New Roman" w:cs="Times New Roman" w:eastAsia="Times New Roman" w:hAnsi="Times New Roman"/>
          <w:b w:val="0"/>
          <w:bCs w:val="0"/>
          <w:i w:val="0"/>
          <w:iCs w:val="0"/>
          <w:color w:val="0f172a"/>
          <w:sz w:val="24"/>
          <w:szCs w:val="24"/>
          <w:rtl w:val="0"/>
        </w:rPr>
        <w:t xml:space="preserve">: Mitigar el poder de negociación de los clientes combinando:</w:t>
      </w:r>
      <w:r w:rsidDel="00000000" w:rsidR="00000000" w:rsidRPr="00000000">
        <w:rPr>
          <w:rtl w:val="0"/>
        </w:rPr>
      </w:r>
    </w:p>
    <w:p w:rsidR="00000000" w:rsidDel="00000000" w:rsidP="00000000" w:rsidRDefault="00000000" w:rsidRPr="00000000" w14:paraId="000003BD">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 </w:t>
      </w:r>
      <w:r w:rsidDel="00000000" w:rsidR="00000000" w:rsidRPr="00000000">
        <w:rPr>
          <w:rFonts w:ascii="Times New Roman" w:cs="Times New Roman" w:eastAsia="Times New Roman" w:hAnsi="Times New Roman"/>
          <w:b w:val="0"/>
          <w:bCs w:val="0"/>
          <w:i w:val="0"/>
          <w:iCs w:val="0"/>
          <w:color w:val="0f172a"/>
          <w:sz w:val="23"/>
          <w:szCs w:val="23"/>
          <w:rtl w:val="0"/>
        </w:rPr>
        <w:t xml:space="preserve">Un esquema de precios altamente competitivo por equipo de trabajo (</w:t>
      </w:r>
      <w:r w:rsidDel="00000000" w:rsidR="00000000" w:rsidRPr="00000000">
        <w:rPr>
          <w:rFonts w:ascii="Times New Roman" w:cs="Times New Roman" w:eastAsia="Times New Roman" w:hAnsi="Times New Roman"/>
          <w:b w:val="0"/>
          <w:bCs w:val="0"/>
          <w:i w:val="1"/>
          <w:iCs w:val="1"/>
          <w:color w:val="0f172a"/>
          <w:sz w:val="23"/>
          <w:szCs w:val="23"/>
          <w:rtl w:val="0"/>
        </w:rPr>
        <w:t xml:space="preserve">Tier Enterprise</w:t>
      </w:r>
      <w:r w:rsidDel="00000000" w:rsidR="00000000" w:rsidRPr="00000000">
        <w:rPr>
          <w:rFonts w:ascii="Times New Roman" w:cs="Times New Roman" w:eastAsia="Times New Roman" w:hAnsi="Times New Roman"/>
          <w:b w:val="0"/>
          <w:bCs w:val="0"/>
          <w:i w:val="0"/>
          <w:iCs w:val="0"/>
          <w:color w:val="0f172a"/>
          <w:sz w:val="23"/>
          <w:szCs w:val="23"/>
          <w:rtl w:val="0"/>
        </w:rPr>
        <w:t xml:space="preserve"> de USD 2.500 a 5.000/año y </w:t>
      </w:r>
      <w:r w:rsidDel="00000000" w:rsidR="00000000" w:rsidRPr="00000000">
        <w:rPr>
          <w:rFonts w:ascii="Times New Roman" w:cs="Times New Roman" w:eastAsia="Times New Roman" w:hAnsi="Times New Roman"/>
          <w:b w:val="0"/>
          <w:bCs w:val="0"/>
          <w:i w:val="1"/>
          <w:iCs w:val="1"/>
          <w:color w:val="0f172a"/>
          <w:sz w:val="23"/>
          <w:szCs w:val="23"/>
          <w:rtl w:val="0"/>
        </w:rPr>
        <w:t xml:space="preserve">Tier Académico</w:t>
      </w:r>
      <w:r w:rsidDel="00000000" w:rsidR="00000000" w:rsidRPr="00000000">
        <w:rPr>
          <w:rFonts w:ascii="Times New Roman" w:cs="Times New Roman" w:eastAsia="Times New Roman" w:hAnsi="Times New Roman"/>
          <w:b w:val="0"/>
          <w:bCs w:val="0"/>
          <w:i w:val="0"/>
          <w:iCs w:val="0"/>
          <w:color w:val="0f172a"/>
          <w:sz w:val="23"/>
          <w:szCs w:val="23"/>
          <w:rtl w:val="0"/>
        </w:rPr>
        <w:t xml:space="preserve"> bonificado), garantizando soberanía de datos absoluta mediante despliegue local (</w:t>
      </w:r>
      <w:r w:rsidDel="00000000" w:rsidR="00000000" w:rsidRPr="00000000">
        <w:rPr>
          <w:rFonts w:ascii="Times New Roman" w:cs="Times New Roman" w:eastAsia="Times New Roman" w:hAnsi="Times New Roman"/>
          <w:b w:val="0"/>
          <w:bCs w:val="0"/>
          <w:i w:val="1"/>
          <w:iCs w:val="1"/>
          <w:color w:val="0f172a"/>
          <w:sz w:val="23"/>
          <w:szCs w:val="23"/>
          <w:rtl w:val="0"/>
        </w:rPr>
        <w:t xml:space="preserve">on-premise / air-gapped</w:t>
      </w:r>
      <w:r w:rsidDel="00000000" w:rsidR="00000000" w:rsidRPr="00000000">
        <w:rPr>
          <w:rFonts w:ascii="Times New Roman" w:cs="Times New Roman" w:eastAsia="Times New Roman" w:hAnsi="Times New Roman"/>
          <w:b w:val="0"/>
          <w:bCs w:val="0"/>
          <w:i w:val="0"/>
          <w:iCs w:val="0"/>
          <w:color w:val="0f172a"/>
          <w:sz w:val="23"/>
          <w:szCs w:val="23"/>
          <w:rtl w:val="0"/>
        </w:rPr>
        <w:t xml:space="preserve">) con claves </w:t>
      </w:r>
      <w:r w:rsidDel="00000000" w:rsidR="00000000" w:rsidRPr="00000000">
        <w:rPr>
          <w:rFonts w:ascii="Times New Roman" w:cs="Times New Roman" w:eastAsia="Times New Roman" w:hAnsi="Times New Roman"/>
          <w:b w:val="0"/>
          <w:bCs w:val="0"/>
          <w:i w:val="1"/>
          <w:iCs w:val="1"/>
          <w:color w:val="0f172a"/>
          <w:sz w:val="23"/>
          <w:szCs w:val="23"/>
          <w:rtl w:val="0"/>
        </w:rPr>
        <w:t xml:space="preserve">Zero-Knowledge</w:t>
      </w:r>
      <w:r w:rsidDel="00000000" w:rsidR="00000000" w:rsidRPr="00000000">
        <w:rPr>
          <w:rFonts w:ascii="Times New Roman" w:cs="Times New Roman" w:eastAsia="Times New Roman" w:hAnsi="Times New Roman"/>
          <w:b w:val="0"/>
          <w:bCs w:val="0"/>
          <w:i w:val="0"/>
          <w:iCs w:val="0"/>
          <w:color w:val="0f172a"/>
          <w:sz w:val="23"/>
          <w:szCs w:val="23"/>
          <w:rtl w:val="0"/>
        </w:rPr>
        <w:t xml:space="preserve">.</w:t>
      </w:r>
      <w:r w:rsidDel="00000000" w:rsidR="00000000" w:rsidRPr="00000000">
        <w:rPr>
          <w:rtl w:val="0"/>
        </w:rPr>
      </w:r>
    </w:p>
    <w:p w:rsidR="00000000" w:rsidDel="00000000" w:rsidP="00000000" w:rsidRDefault="00000000" w:rsidRPr="00000000" w14:paraId="000003BE">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2. </w:t>
      </w:r>
      <w:r w:rsidDel="00000000" w:rsidR="00000000" w:rsidRPr="00000000">
        <w:rPr>
          <w:rFonts w:ascii="Times New Roman" w:cs="Times New Roman" w:eastAsia="Times New Roman" w:hAnsi="Times New Roman"/>
          <w:b w:val="0"/>
          <w:bCs w:val="0"/>
          <w:i w:val="0"/>
          <w:iCs w:val="0"/>
          <w:color w:val="0f172a"/>
          <w:sz w:val="23"/>
          <w:szCs w:val="23"/>
          <w:rtl w:val="0"/>
        </w:rPr>
        <w:t xml:space="preserve">El </w:t>
      </w:r>
      <w:r w:rsidDel="00000000" w:rsidR="00000000" w:rsidRPr="00000000">
        <w:rPr>
          <w:rFonts w:ascii="Times New Roman" w:cs="Times New Roman" w:eastAsia="Times New Roman" w:hAnsi="Times New Roman"/>
          <w:b w:val="1"/>
          <w:bCs w:val="1"/>
          <w:i w:val="0"/>
          <w:iCs w:val="0"/>
          <w:color w:val="0f172a"/>
          <w:sz w:val="23"/>
          <w:szCs w:val="23"/>
          <w:rtl w:val="0"/>
        </w:rPr>
        <w:t xml:space="preserve">Programa de Co-Innovación de Extensiones (*Partner Contribution Program*)</w:t>
      </w:r>
      <w:r w:rsidDel="00000000" w:rsidR="00000000" w:rsidRPr="00000000">
        <w:rPr>
          <w:rFonts w:ascii="Times New Roman" w:cs="Times New Roman" w:eastAsia="Times New Roman" w:hAnsi="Times New Roman"/>
          <w:b w:val="0"/>
          <w:bCs w:val="0"/>
          <w:i w:val="0"/>
          <w:iCs w:val="0"/>
          <w:color w:val="0f172a"/>
          <w:sz w:val="23"/>
          <w:szCs w:val="23"/>
          <w:rtl w:val="0"/>
        </w:rPr>
        <w:t xml:space="preserve">, que reduce el costo de renovación de la licencia a los clientes que aporten módulos validados a la plataforma, transformando la presión de negociación del cliente en una alianza de desarrollo conjunto (</w:t>
      </w:r>
      <w:r w:rsidDel="00000000" w:rsidR="00000000" w:rsidRPr="00000000">
        <w:rPr>
          <w:rFonts w:ascii="Times New Roman" w:cs="Times New Roman" w:eastAsia="Times New Roman" w:hAnsi="Times New Roman"/>
          <w:b w:val="0"/>
          <w:bCs w:val="0"/>
          <w:i w:val="1"/>
          <w:iCs w:val="1"/>
          <w:color w:val="0f172a"/>
          <w:sz w:val="23"/>
          <w:szCs w:val="23"/>
          <w:rtl w:val="0"/>
        </w:rPr>
        <w:t xml:space="preserve">lock-in</w:t>
      </w:r>
      <w:r w:rsidDel="00000000" w:rsidR="00000000" w:rsidRPr="00000000">
        <w:rPr>
          <w:rFonts w:ascii="Times New Roman" w:cs="Times New Roman" w:eastAsia="Times New Roman" w:hAnsi="Times New Roman"/>
          <w:b w:val="0"/>
          <w:bCs w:val="0"/>
          <w:i w:val="0"/>
          <w:iCs w:val="0"/>
          <w:color w:val="0f172a"/>
          <w:sz w:val="23"/>
          <w:szCs w:val="23"/>
          <w:rtl w:val="0"/>
        </w:rPr>
        <w:t xml:space="preserve"> positivo y alineación de incentivos).</w:t>
      </w:r>
      <w:r w:rsidDel="00000000" w:rsidR="00000000" w:rsidRPr="00000000">
        <w:rPr>
          <w:rtl w:val="0"/>
        </w:rPr>
      </w:r>
    </w:p>
    <w:p w:rsidR="00000000" w:rsidDel="00000000" w:rsidP="00000000" w:rsidRDefault="00000000" w:rsidRPr="00000000" w14:paraId="000003BF">
      <w:pPr>
        <w:pStyle w:val="Heading2"/>
        <w:keepNext w:val="1"/>
        <w:rPr/>
      </w:pPr>
      <w:r w:rsidDel="00000000" w:rsidR="00000000" w:rsidRPr="00000000">
        <w:rPr>
          <w:rFonts w:ascii="Times New Roman" w:cs="Times New Roman" w:eastAsia="Times New Roman" w:hAnsi="Times New Roman"/>
          <w:b w:val="1"/>
          <w:bCs w:val="1"/>
          <w:i w:val="0"/>
          <w:iCs w:val="0"/>
          <w:color w:val="0f172a"/>
          <w:sz w:val="28"/>
          <w:szCs w:val="28"/>
          <w:rtl w:val="0"/>
        </w:rPr>
        <w:t xml:space="preserve">IV.4 · Mapeo de Competencia y Posicionamiento Estratégico</w:t>
      </w:r>
      <w:r w:rsidDel="00000000" w:rsidR="00000000" w:rsidRPr="00000000">
        <w:rPr>
          <w:rtl w:val="0"/>
        </w:rPr>
      </w:r>
    </w:p>
    <w:p w:rsidR="00000000" w:rsidDel="00000000" w:rsidP="00000000" w:rsidRDefault="00000000" w:rsidRPr="00000000" w14:paraId="000003C0">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mapeo de la competencia y el posicionamiento estratégico del producto CODI (</w:t>
      </w:r>
      <w:r w:rsidDel="00000000" w:rsidR="00000000" w:rsidRPr="00000000">
        <w:rPr>
          <w:rFonts w:ascii="Times New Roman" w:cs="Times New Roman" w:eastAsia="Times New Roman" w:hAnsi="Times New Roman"/>
          <w:b w:val="0"/>
          <w:bCs w:val="0"/>
          <w:i w:val="1"/>
          <w:iCs w:val="1"/>
          <w:color w:val="0f172a"/>
          <w:sz w:val="24"/>
          <w:szCs w:val="24"/>
          <w:rtl w:val="0"/>
        </w:rPr>
        <w:t xml:space="preserve">Cognitive Operations &amp; Decision Intelligence</w:t>
      </w:r>
      <w:r w:rsidDel="00000000" w:rsidR="00000000" w:rsidRPr="00000000">
        <w:rPr>
          <w:rFonts w:ascii="Times New Roman" w:cs="Times New Roman" w:eastAsia="Times New Roman" w:hAnsi="Times New Roman"/>
          <w:b w:val="0"/>
          <w:bCs w:val="0"/>
          <w:i w:val="0"/>
          <w:iCs w:val="0"/>
          <w:color w:val="0f172a"/>
          <w:sz w:val="24"/>
          <w:szCs w:val="24"/>
          <w:rtl w:val="0"/>
        </w:rPr>
        <w:t xml:space="preserve">) se estructura a partir de la tensión empírica detectada en la ingeniería de satélites pequeños (CubeSats/microsatélites) entre dos variables críticas: la </w:t>
      </w:r>
      <w:r w:rsidDel="00000000" w:rsidR="00000000" w:rsidRPr="00000000">
        <w:rPr>
          <w:rFonts w:ascii="Times New Roman" w:cs="Times New Roman" w:eastAsia="Times New Roman" w:hAnsi="Times New Roman"/>
          <w:b w:val="1"/>
          <w:bCs w:val="1"/>
          <w:i w:val="0"/>
          <w:iCs w:val="0"/>
          <w:color w:val="0f172a"/>
          <w:sz w:val="24"/>
          <w:szCs w:val="24"/>
          <w:rtl w:val="0"/>
        </w:rPr>
        <w:t xml:space="preserve">asistencia cognitiva activa con validación determinística</w:t>
      </w:r>
      <w:r w:rsidDel="00000000" w:rsidR="00000000" w:rsidRPr="00000000">
        <w:rPr>
          <w:rFonts w:ascii="Times New Roman" w:cs="Times New Roman" w:eastAsia="Times New Roman" w:hAnsi="Times New Roman"/>
          <w:b w:val="0"/>
          <w:bCs w:val="0"/>
          <w:i w:val="0"/>
          <w:iCs w:val="0"/>
          <w:color w:val="0f172a"/>
          <w:sz w:val="24"/>
          <w:szCs w:val="24"/>
          <w:rtl w:val="0"/>
        </w:rPr>
        <w:t xml:space="preserve"> frente a la </w:t>
      </w:r>
      <w:r w:rsidDel="00000000" w:rsidR="00000000" w:rsidRPr="00000000">
        <w:rPr>
          <w:rFonts w:ascii="Times New Roman" w:cs="Times New Roman" w:eastAsia="Times New Roman" w:hAnsi="Times New Roman"/>
          <w:b w:val="1"/>
          <w:bCs w:val="1"/>
          <w:i w:val="0"/>
          <w:iCs w:val="0"/>
          <w:color w:val="0f172a"/>
          <w:sz w:val="24"/>
          <w:szCs w:val="24"/>
          <w:rtl w:val="0"/>
        </w:rPr>
        <w:t xml:space="preserve">accesibilidad operativa y soberanía tecnológica</w:t>
      </w:r>
      <w:r w:rsidDel="00000000" w:rsidR="00000000" w:rsidRPr="00000000">
        <w:rPr>
          <w:rFonts w:ascii="Times New Roman" w:cs="Times New Roman" w:eastAsia="Times New Roman" w:hAnsi="Times New Roman"/>
          <w:b w:val="0"/>
          <w:bCs w:val="0"/>
          <w:i w:val="0"/>
          <w:iCs w:val="0"/>
          <w:color w:val="0f172a"/>
          <w:sz w:val="24"/>
          <w:szCs w:val="24"/>
          <w:rtl w:val="0"/>
        </w:rPr>
        <w:t xml:space="preserve">. A diferencia de los análisis genéricos de mercado, los ejes de posicionamiento adoptados en el presente estudio no constituyen dimensiones ad-hoc, sino que derivan de la evidencia relevada en el Centro Tecnológico Aeroespacial (CTA-UNLP) y en la base histórica de misiones universitarias (Capítulo I, Sec. I.3 y I.6; Capítulo II, Sec. II.3 y II.5; Botta, 2026; Swartwout, 2024).</w:t>
      </w:r>
      <w:r w:rsidDel="00000000" w:rsidR="00000000" w:rsidRPr="00000000">
        <w:rPr>
          <w:rtl w:val="0"/>
        </w:rPr>
      </w:r>
    </w:p>
    <w:p w:rsidR="00000000" w:rsidDel="00000000" w:rsidP="00000000" w:rsidRDefault="00000000" w:rsidRPr="00000000" w14:paraId="000003C1">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Justificación Empírica de los Ejes de Posicionamiento</w:t>
      </w:r>
      <w:r w:rsidDel="00000000" w:rsidR="00000000" w:rsidRPr="00000000">
        <w:rPr>
          <w:rtl w:val="0"/>
        </w:rPr>
      </w:r>
    </w:p>
    <w:p w:rsidR="00000000" w:rsidDel="00000000" w:rsidP="00000000" w:rsidRDefault="00000000" w:rsidRPr="00000000" w14:paraId="000003C2">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 </w:t>
      </w:r>
      <w:r w:rsidDel="00000000" w:rsidR="00000000" w:rsidRPr="00000000">
        <w:rPr>
          <w:rFonts w:ascii="Times New Roman" w:cs="Times New Roman" w:eastAsia="Times New Roman" w:hAnsi="Times New Roman"/>
          <w:b w:val="1"/>
          <w:bCs w:val="1"/>
          <w:i w:val="0"/>
          <w:iCs w:val="0"/>
          <w:color w:val="0f172a"/>
          <w:sz w:val="23"/>
          <w:szCs w:val="23"/>
          <w:rtl w:val="0"/>
        </w:rPr>
        <w:t xml:space="preserve">Eje Horizontal (X) · Nivel de Asistencia Cognitiva y Verificación Determinística Activa</w:t>
      </w:r>
      <w:r w:rsidDel="00000000" w:rsidR="00000000" w:rsidRPr="00000000">
        <w:rPr>
          <w:rFonts w:ascii="Times New Roman" w:cs="Times New Roman" w:eastAsia="Times New Roman" w:hAnsi="Times New Roman"/>
          <w:b w:val="0"/>
          <w:bCs w:val="0"/>
          <w:i w:val="0"/>
          <w:iCs w:val="0"/>
          <w:color w:val="0f172a"/>
          <w:sz w:val="23"/>
          <w:szCs w:val="23"/>
          <w:rtl w:val="0"/>
        </w:rPr>
        <w:t xml:space="preserve">:</w:t>
      </w: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Polo Negativo (Baja Asistencia / Pasivo)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Herramientas pasivas de documentación, planillas de cálculo aisladas y modeladores descriptivos estáticos. Exigen al ingeniero de sistemas calcular, contrastar y verificar manualmente las restricciones de misión (ej. balances de potencia, fraccionamiento de eclipse, degradación de paneles solares). La sobrecarga mental derivada y la pérdida del razonamiento de diseño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rationale</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explican que el 38,8% de las pérdidas tempranas de CubeSats en órbita LEO se originen en fallas del subsistema de potencia eléctrica (EPS) (Swartwout, 2024), así como los 30 a 45 días de inducción presencial obligatoria requeridos ante la rotación de becarios para explicar el funcionamiento de planillas heredadas (Sonia Botta, 14/09/2026).</w:t>
      </w:r>
      <w:r w:rsidDel="00000000" w:rsidR="00000000" w:rsidRPr="00000000">
        <w:rPr>
          <w:rtl w:val="0"/>
        </w:rPr>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Polo Positivo (Alta Asistencia / Arnés Neuro-Simbólico Activo)</w:t>
      </w:r>
      <w:r w:rsidDel="00000000" w:rsidR="00000000" w:rsidRPr="00000000">
        <w:rPr>
          <w:rFonts w:ascii="Gungsuh" w:cs="Gungsuh" w:eastAsia="Gungsuh" w:hAnsi="Gungsuh"/>
          <w:b w:val="0"/>
          <w:bCs w:val="0"/>
          <w:i w:val="0"/>
          <w:iCs w:val="0"/>
          <w:smallCaps w:val="0"/>
          <w:strike w:val="0"/>
          <w:color w:val="0f172a"/>
          <w:sz w:val="23"/>
          <w:szCs w:val="23"/>
          <w:u w:val="none"/>
          <w:shd w:fill="auto" w:val="clear"/>
          <w:vertAlign w:val="baseline"/>
          <w:rtl w:val="0"/>
        </w:rPr>
        <w:t xml:space="preserve">: Sistemas que proveen verificación física determinística en tiempo real (≤ 5,0 s con error ≤ 1,0%, RNF-01 y RNF-02), preservación inmutable del contexto de decisión (</w:t>
      </w: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DecisionLog</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RF-09) y adaptación contextual de la interfaz según la fatiga mental del operador mediante métricas NASA-TLX (RF-12; Hart &amp; Staveland, 1988).</w:t>
      </w:r>
      <w:r w:rsidDel="00000000" w:rsidR="00000000" w:rsidRPr="00000000">
        <w:rPr>
          <w:rtl w:val="0"/>
        </w:rPr>
      </w:r>
    </w:p>
    <w:p w:rsidR="00000000" w:rsidDel="00000000" w:rsidP="00000000" w:rsidRDefault="00000000" w:rsidRPr="00000000" w14:paraId="000003C5">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2. </w:t>
      </w:r>
      <w:r w:rsidDel="00000000" w:rsidR="00000000" w:rsidRPr="00000000">
        <w:rPr>
          <w:rFonts w:ascii="Times New Roman" w:cs="Times New Roman" w:eastAsia="Times New Roman" w:hAnsi="Times New Roman"/>
          <w:b w:val="1"/>
          <w:bCs w:val="1"/>
          <w:i w:val="0"/>
          <w:iCs w:val="0"/>
          <w:color w:val="0f172a"/>
          <w:sz w:val="23"/>
          <w:szCs w:val="23"/>
          <w:rtl w:val="0"/>
        </w:rPr>
        <w:t xml:space="preserve">Eje Vertical (Y) · Accesibilidad Operativa y Soberanía Tecnológica/Económica</w:t>
      </w:r>
      <w:r w:rsidDel="00000000" w:rsidR="00000000" w:rsidRPr="00000000">
        <w:rPr>
          <w:rFonts w:ascii="Times New Roman" w:cs="Times New Roman" w:eastAsia="Times New Roman" w:hAnsi="Times New Roman"/>
          <w:b w:val="0"/>
          <w:bCs w:val="0"/>
          <w:i w:val="0"/>
          <w:iCs w:val="0"/>
          <w:color w:val="0f172a"/>
          <w:sz w:val="23"/>
          <w:szCs w:val="23"/>
          <w:rtl w:val="0"/>
        </w:rPr>
        <w:t xml:space="preserve">:</w:t>
      </w: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Polo Negativo (Baja Accesibilidad / Servidumbre Tecnológica y Alto Costo)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Suites corporativas propietarias cerradas con costos de adquisición prohibitivos (USD 10.000 a USD 25.000 anuales por asiento), curvas de adopción de semanas o meses (SysML v1/v2), o plataformas alojadas exclusivamente en nubes públicas extranjeras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SaaS multi-tenant</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foráneo) que colisionan con restricciones de seguridad de la información, secreto industrial o normativas internacionales de defensa (ITAR/EAR).</w:t>
      </w:r>
      <w:r w:rsidDel="00000000" w:rsidR="00000000" w:rsidRPr="00000000">
        <w:rPr>
          <w:rtl w:val="0"/>
        </w:rPr>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Polo Positivo (Alta Accesibilidad / Soberanía de Datos y Despliegue Local)</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Software ligero de adopción inmediata en días, despliegue contenerizado local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on-premise / air-gapped</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sobre Docker), gestión de claves criptográficas y APIs bajo soberanía del usuario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Bring Your Own Key</w:t>
      </w:r>
      <w:r w:rsidDel="00000000" w:rsidR="00000000" w:rsidRPr="00000000">
        <w:rPr>
          <w:rFonts w:ascii="Gungsuh" w:cs="Gungsuh" w:eastAsia="Gungsuh" w:hAnsi="Gungsuh"/>
          <w:b w:val="0"/>
          <w:bCs w:val="0"/>
          <w:i w:val="0"/>
          <w:iCs w:val="0"/>
          <w:smallCaps w:val="0"/>
          <w:strike w:val="0"/>
          <w:color w:val="0f172a"/>
          <w:sz w:val="23"/>
          <w:szCs w:val="23"/>
          <w:u w:val="none"/>
          <w:shd w:fill="auto" w:val="clear"/>
          <w:vertAlign w:val="baseline"/>
          <w:rtl w:val="0"/>
        </w:rPr>
        <w:t xml:space="preserve"> - BYOK), soporte nativo de modelos de lenguaje abiertos locales (Ollama/vLLM) y esquemas de precios accesibles para empresas NewSpace y centros universitarios latinoamericanos (≤ USD  5.000/año por equipo).</w:t>
      </w:r>
      <w:r w:rsidDel="00000000" w:rsidR="00000000" w:rsidRPr="00000000">
        <w:rPr>
          <w:rtl w:val="0"/>
        </w:rPr>
      </w:r>
    </w:p>
    <w:p w:rsidR="00000000" w:rsidDel="00000000" w:rsidP="00000000" w:rsidRDefault="00000000" w:rsidRPr="00000000" w14:paraId="000003C8">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Figura 2 · Mapa de Posicionamiento Competitivo y Cuadrantes Estratégicos</w:t>
      </w:r>
      <w:r w:rsidDel="00000000" w:rsidR="00000000" w:rsidRPr="00000000">
        <w:rPr>
          <w:rtl w:val="0"/>
        </w:rPr>
      </w:r>
    </w:p>
    <w:p w:rsidR="00000000" w:rsidDel="00000000" w:rsidP="00000000" w:rsidRDefault="00000000" w:rsidRPr="00000000" w14:paraId="000003C9">
      <w:pPr>
        <w:keepNext w:val="1"/>
        <w:spacing w:after="40" w:before="160" w:lineRule="auto"/>
        <w:jc w:val="center"/>
        <w:rPr/>
      </w:pPr>
      <w:r w:rsidDel="00000000" w:rsidR="00000000" w:rsidRPr="00000000">
        <w:rPr/>
        <w:drawing>
          <wp:inline distB="0" distT="0" distL="114300" distR="114300">
            <wp:extent cx="5303520" cy="530352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03520" cy="530352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spacing w:after="160" w:before="40" w:lineRule="auto"/>
        <w:jc w:val="center"/>
        <w:rPr/>
      </w:pPr>
      <w:r w:rsidDel="00000000" w:rsidR="00000000" w:rsidRPr="00000000">
        <w:rPr>
          <w:rFonts w:ascii="Times New Roman" w:cs="Times New Roman" w:eastAsia="Times New Roman" w:hAnsi="Times New Roman"/>
          <w:i w:val="1"/>
          <w:iCs w:val="1"/>
          <w:color w:val="475569"/>
          <w:sz w:val="20"/>
          <w:szCs w:val="20"/>
          <w:rtl w:val="0"/>
        </w:rPr>
        <w:t xml:space="preserve">Figura 2. Mapa de Posicionamiento Estratégico y Cuadrantes Competitivos de CODI</w:t>
      </w:r>
      <w:r w:rsidDel="00000000" w:rsidR="00000000" w:rsidRPr="00000000">
        <w:rPr>
          <w:rtl w:val="0"/>
        </w:rPr>
      </w:r>
    </w:p>
    <w:p w:rsidR="00000000" w:rsidDel="00000000" w:rsidP="00000000" w:rsidRDefault="00000000" w:rsidRPr="00000000" w14:paraId="000003CB">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Nota. Figura 2. Elaboración propia a partir del marco de análisis estratégico de Porter (2008), la base de datos de CubeSats de Swartwout (2024) y el relevamiento empírico de campo en el CTA-UNLP (Botta, 2026). El código fuente ejecutable en sintaxis Mermaid se documenta en el Anexo IV.1.</w:t>
      </w:r>
      <w:r w:rsidDel="00000000" w:rsidR="00000000" w:rsidRPr="00000000">
        <w:rPr>
          <w:rtl w:val="0"/>
        </w:rPr>
      </w:r>
    </w:p>
    <w:p w:rsidR="00000000" w:rsidDel="00000000" w:rsidP="00000000" w:rsidRDefault="00000000" w:rsidRPr="00000000" w14:paraId="000003CC">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Lectura del Mapa y Análisis Comparativo de Soluciones</w:t>
      </w:r>
      <w:r w:rsidDel="00000000" w:rsidR="00000000" w:rsidRPr="00000000">
        <w:rPr>
          <w:rtl w:val="0"/>
        </w:rPr>
      </w:r>
    </w:p>
    <w:p w:rsidR="00000000" w:rsidDel="00000000" w:rsidP="00000000" w:rsidRDefault="00000000" w:rsidRPr="00000000" w14:paraId="000003CD">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mapa de posicionamiento revela una clara polarización en el mercado internacional, evidenciando un cuadrante desierto de alto valor estratégico (Cuadrante I) donde CODI consolida su ventaja competitiva:</w:t>
      </w:r>
      <w:r w:rsidDel="00000000" w:rsidR="00000000" w:rsidRPr="00000000">
        <w:rPr>
          <w:rtl w:val="0"/>
        </w:rPr>
      </w:r>
    </w:p>
    <w:p w:rsidR="00000000" w:rsidDel="00000000" w:rsidP="00000000" w:rsidRDefault="00000000" w:rsidRPr="00000000" w14:paraId="000003CE">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1. Cuadrante I (Superior Derecho: Alta Soberanía Tecnológica / Alta Asistencia Cognitiva Activa)</w:t>
      </w: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CODI (*Cognitive Operations &amp; Decision Intelligence*)</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Constituye la única solución que combina un arnés neuro-simbólico interactivo con despliegue local contenerizado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on-premise / air-gapped</w:t>
      </w:r>
      <w:r w:rsidDel="00000000" w:rsidR="00000000" w:rsidRPr="00000000">
        <w:rPr>
          <w:rFonts w:ascii="Gungsuh" w:cs="Gungsuh" w:eastAsia="Gungsuh" w:hAnsi="Gungsuh"/>
          <w:b w:val="0"/>
          <w:bCs w:val="0"/>
          <w:i w:val="0"/>
          <w:iCs w:val="0"/>
          <w:smallCaps w:val="0"/>
          <w:strike w:val="0"/>
          <w:color w:val="0f172a"/>
          <w:sz w:val="23"/>
          <w:szCs w:val="23"/>
          <w:u w:val="none"/>
          <w:shd w:fill="auto" w:val="clear"/>
          <w:vertAlign w:val="baseline"/>
          <w:rtl w:val="0"/>
        </w:rPr>
        <w:t xml:space="preserve">). Resuelve simultáneamente la soberanía de datos (los parámetros de misión y telemetría no abandonan la estación terrestre local) y la fiabilidad de ingeniería: el razonamiento contextual se apoya en modelos de lenguaje (RAG sobre normas ECSS y manuales de misión, RF-06), mientras que la física de potencia eléctrica (EPS) se valida determinísticamente mediante modelos keplerianos analíticos con error ≤ 1,0% (RNF-02). Su registro inmutable </w:t>
      </w: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DecisionLog</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(RF-09, RNF-05) elimina la dependencia de la memoria tácita y suprime los 30 a 45 días de inducción presencial improductiva documentados en el relevamiento de campo (Botta, 2026).</w:t>
      </w:r>
      <w:r w:rsidDel="00000000" w:rsidR="00000000" w:rsidRPr="00000000">
        <w:rPr>
          <w:rtl w:val="0"/>
        </w:rPr>
      </w:r>
    </w:p>
    <w:p w:rsidR="00000000" w:rsidDel="00000000" w:rsidP="00000000" w:rsidRDefault="00000000" w:rsidRPr="00000000" w14:paraId="000003D0">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2. Cuadrante II (Superior Izquierdo: Alta Soberanía Tecnológica / Baja Asistencia Cognitiva)</w:t>
      </w:r>
      <w:r w:rsidDel="00000000" w:rsidR="00000000" w:rsidRPr="00000000">
        <w:rPr>
          <w:rtl w:val="0"/>
        </w:rPr>
      </w:r>
    </w:p>
    <w:p w:rsidR="00000000" w:rsidDel="00000000" w:rsidP="00000000" w:rsidRDefault="00000000" w:rsidRPr="00000000" w14:paraId="00000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Microsoft Excel / Google Sheets (Microsoft Corporation, 2026)</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Representa la práctica sustituta predominante en las iniciativas de satélites pequeños y proyectos universitarios de fase temprana (Capítulo I, Sec. I.3.1). Presenta soberanía absoluta (archivos locales en los equipos de los becarios) y costo financiero marginal, pero carece por completo de semántica de sistemas, verificación cruzada automática y control de cambios formal. Origina los denominados "números tácitos" y desincronizaciones críticas frente a documentos de control de interfaz (ICD) de 50 a 90 páginas, detectadas con frecuencia en etapas tardías de integración mecánica y eléctrica (misión Atenea, a 72 h de pruebas finales; Botta, 2026).</w:t>
      </w:r>
      <w:r w:rsidDel="00000000" w:rsidR="00000000" w:rsidRPr="00000000">
        <w:rPr>
          <w:rtl w:val="0"/>
        </w:rPr>
      </w:r>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Eclipse Capella (Eclipse Foundation, 2026)</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Herramienta de código abierto desarrollada originalmente por Thales Group bajo la metodología Arcadia. Ofrece soberanía y gratuidad en la licencia de software, pero se restringe al modelado estático y descriptivo de arquitecturas funcionales y lógicas. Carece de capacidades de simulación numérica continua para balances de subsistemas (como potencia o masa) y no incorpora asistencia de inteligencia artificial ni monitoreo de fatiga cognitiva del operador.</w:t>
      </w:r>
      <w:r w:rsidDel="00000000" w:rsidR="00000000" w:rsidRPr="00000000">
        <w:rPr>
          <w:rtl w:val="0"/>
        </w:rPr>
      </w:r>
    </w:p>
    <w:p w:rsidR="00000000" w:rsidDel="00000000" w:rsidP="00000000" w:rsidRDefault="00000000" w:rsidRPr="00000000" w14:paraId="000003D3">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3. Cuadrante III (Inferior Izquierdo: Baja Soberanía Tecnológica / Baja Asistencia Cognitiva)</w:t>
      </w:r>
      <w:r w:rsidDel="00000000" w:rsidR="00000000" w:rsidRPr="00000000">
        <w:rPr>
          <w:rtl w:val="0"/>
        </w:rPr>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Cameo Systems Modeler / MagicDraw (Dassault Systèmes, 2026)</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Es el estándar corporativo dominante en grandes agencias (NASA, ESA) y contratistas de defensa de primer nivel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primes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Si bien provee un modelado formal riguroso bajo SysML, su costo anual de USD 10.000 a USD 25.000 por usuario y su curva de aprendizaje de meses resultan incompatibles con los plazos (12 a 24 meses) y presupuestos de proyectos de nanosatélites universitarios o startups regionales. Además, es un modelador descriptivo: no realiza validación física determinística en tiempo de diseño sin integrar herramientas complejas de co-simulación externa (FMI/FMU).</w:t>
      </w: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OpenMBEE / Model Management System (Delp et al., 2013; NASA Jet Propulsion Laboratory, 2026)</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Plataforma de integración colaborativa desarrollada por el NASA JPL para sincronizar modelos de ingeniería con documentos web a gran escala. Aunque de código abierto, exige una infraestructura pesada de servidores corporativos dedicados (bases de datos MMS, Elasticsearch, clústeres empresariales) diseñada para misiones interplanetarias multimillonarias (Mars 2020, Europa Clipper), resultando sobredimensionada e inoperable para estaciones de trabajo o laboratorios académicos de satélites pequeños.</w:t>
      </w:r>
      <w:r w:rsidDel="00000000" w:rsidR="00000000" w:rsidRPr="00000000">
        <w:rPr>
          <w:rtl w:val="0"/>
        </w:rPr>
      </w:r>
    </w:p>
    <w:p w:rsidR="00000000" w:rsidDel="00000000" w:rsidP="00000000" w:rsidRDefault="00000000" w:rsidRPr="00000000" w14:paraId="000003D6">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4. Cuadrante IV (Inferior Derecho: Baja Soberanía Tecnológica / Automatización Parcial de Parámetros y Simulación en Nube)</w:t>
      </w:r>
      <w:r w:rsidDel="00000000" w:rsidR="00000000" w:rsidRPr="00000000">
        <w:rPr>
          <w:rtl w:val="0"/>
        </w:rPr>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Valispace (Altium Limited, 2026)</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Plataforma moderna de ingeniería concurrente orientada a la gestión colaborativa de presupuestos de masa y potencia en tiempo real. Provee trazabilidad de parámetros mediante interfaces web ágiles y APIs REST. No obstante, se ofrece exclusivamente como un servicio SaaS alojado en servidores en la nube en el extranjero, lo que genera rechazo en agencias espaciales públicas y proyectos de defensa por riesgos de soberanía de datos y normativas de secreto industrial (Sonia Botta, 14/09/2026). Asimismo, su costo (USD 1.500 a USD 5.000 anuales) grava fuertemente los presupuestos latinoamericanos y no cuenta con motores determinísticos integrados de física orbital kepleriana ni arnés cognitivo con evaluación de fatiga NASA-TLX.</w:t>
      </w:r>
      <w:r w:rsidDel="00000000" w:rsidR="00000000" w:rsidRPr="00000000">
        <w:rPr>
          <w:rtl w:val="0"/>
        </w:rPr>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Sedaro Satellite (Sedaro Technologies, 2026)</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Plataforma cloud-native avanzada especializada en gemelos digitales y co-simulación distribuida de dinámicas orbitales, térmicas y energéticas en la nube (AWS) para satélites y constelaciones. Si bien aporta una elevada fidelidad de cómputo físico, opera como un servicio SaaS comercial privativo radicado en EE.UU., con costos elevados en divisa extranjera y restricciones de soberanía tecnológica e interoperabilidad local incompatibles con estaciones terrestres cerradas o normativas latinoamericanas. Carece de un arnés de razonamiento neuro-simbólico que preserve formalmente el árbol de decisiones de diseño (</w:t>
      </w: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DecisionLog</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y no provee mitigación de fatiga mental (NASA-TLX).</w:t>
      </w:r>
      <w:r w:rsidDel="00000000" w:rsidR="00000000" w:rsidRPr="00000000">
        <w:rPr>
          <w:rtl w:val="0"/>
        </w:rPr>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Copilotos Genéricos de IA en la Nube (Wrappers comerciales de OpenAI, Anthropic o Google)</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Herramientas emergentes basadas en modelos de lenguaje generales. Aunque ofrecen asistencia en lenguaje natural, presentan una doble vulnerabilidad crítica en el dominio espacial: 1) riesgo de fuga de propiedad intelectual confidencial al transferir prompts a servidores foráneos, y 2) propensión intrínseca a alucinaciones en cálculos matemáticos y formulaciones orbitales, inaceptable cuando un desvío analítico en el ángulo beta o el eclipse deriva en la pérdida total de la misión en órbita LEO (NASA, 2023; Swartwout, 2024).</w:t>
      </w:r>
      <w:r w:rsidDel="00000000" w:rsidR="00000000" w:rsidRPr="00000000">
        <w:rPr>
          <w:rtl w:val="0"/>
        </w:rPr>
      </w:r>
    </w:p>
    <w:p w:rsidR="00000000" w:rsidDel="00000000" w:rsidP="00000000" w:rsidRDefault="00000000" w:rsidRPr="00000000" w14:paraId="000003DA">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Decisiones de Ingeniería y Alcance Derivadas del Mapeo (Art. 21.º R.R. 97/23)</w:t>
      </w:r>
      <w:r w:rsidDel="00000000" w:rsidR="00000000" w:rsidRPr="00000000">
        <w:rPr>
          <w:rtl w:val="0"/>
        </w:rPr>
      </w:r>
    </w:p>
    <w:p w:rsidR="00000000" w:rsidDel="00000000" w:rsidP="00000000" w:rsidRDefault="00000000" w:rsidRPr="00000000" w14:paraId="000003DB">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En estricta consonancia con el artículo 21.º de la Resolución Rectoral N.º 97/23, el posicionamiento estratégico en el Cuadrante I define las siguientes decisiones vinculantes de diseño y delimitación del alcance del proyecto CODI:</w:t>
      </w:r>
      <w:r w:rsidDel="00000000" w:rsidR="00000000" w:rsidRPr="00000000">
        <w:rPr>
          <w:rtl w:val="0"/>
        </w:rPr>
      </w:r>
    </w:p>
    <w:p w:rsidR="00000000" w:rsidDel="00000000" w:rsidP="00000000" w:rsidRDefault="00000000" w:rsidRPr="00000000" w14:paraId="000003DC">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 </w:t>
      </w:r>
      <w:r w:rsidDel="00000000" w:rsidR="00000000" w:rsidRPr="00000000">
        <w:rPr>
          <w:rFonts w:ascii="Times New Roman" w:cs="Times New Roman" w:eastAsia="Times New Roman" w:hAnsi="Times New Roman"/>
          <w:b w:val="1"/>
          <w:bCs w:val="1"/>
          <w:i w:val="0"/>
          <w:iCs w:val="0"/>
          <w:color w:val="0f172a"/>
          <w:sz w:val="23"/>
          <w:szCs w:val="23"/>
          <w:rtl w:val="0"/>
        </w:rPr>
        <w:t xml:space="preserve">Adopción de un Modelo de Despliegue Local Contenerizado (*On-Premise / Air-Gapped*)</w:t>
      </w:r>
      <w:r w:rsidDel="00000000" w:rsidR="00000000" w:rsidRPr="00000000">
        <w:rPr>
          <w:rFonts w:ascii="Times New Roman" w:cs="Times New Roman" w:eastAsia="Times New Roman" w:hAnsi="Times New Roman"/>
          <w:b w:val="0"/>
          <w:bCs w:val="0"/>
          <w:i w:val="0"/>
          <w:iCs w:val="0"/>
          <w:color w:val="0f172a"/>
          <w:sz w:val="23"/>
          <w:szCs w:val="23"/>
          <w:rtl w:val="0"/>
        </w:rPr>
        <w:t xml:space="preserve">:</w:t>
      </w:r>
      <w:r w:rsidDel="00000000" w:rsidR="00000000" w:rsidRPr="00000000">
        <w:rPr>
          <w:rtl w:val="0"/>
        </w:rPr>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Decisión</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La arquitectura base de CODI se diseña para ejecución local sobre Docker (</w:t>
      </w: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docker-compose</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permitiendo su operación en redes desconectadas de internet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air-gapped</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con persistencia en SQLite/PostgreSQL local y soporte para modelos de lenguaje locales abiertos (Ollama/vLLM con Llama 3 o Mistral).</w:t>
      </w:r>
      <w:r w:rsidDel="00000000" w:rsidR="00000000" w:rsidRPr="00000000">
        <w:rPr>
          <w:rtl w:val="0"/>
        </w:rPr>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Fundamento y Evidencia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Mitiga la barrera de soberanía de datos y confidencialidad estratégica señalada por el CTA-UNLP (Botta, 2026) y neutraliza el rechazo presupuestario y de seguridad que excluye a Valispace y a las IAs comerciales en nube del Cuadrante IV (Capítulo I, Sec. I.3.1; Capítulo II, Sec. II.5.1).</w:t>
      </w:r>
      <w:r w:rsidDel="00000000" w:rsidR="00000000" w:rsidRPr="00000000">
        <w:rPr>
          <w:rtl w:val="0"/>
        </w:rPr>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Descarte</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evalúa una arquitectura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cloud-native multi-tenant</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en AWS/Azure y se descarta formalmente por generar servidumbre tecnológica, costos recurrentes de infraestructura en divisa extranjera y descalificación en licitaciones de agencias de defensa nacional.</w:t>
      </w:r>
      <w:r w:rsidDel="00000000" w:rsidR="00000000" w:rsidRPr="00000000">
        <w:rPr>
          <w:rtl w:val="0"/>
        </w:rPr>
      </w:r>
    </w:p>
    <w:p w:rsidR="00000000" w:rsidDel="00000000" w:rsidP="00000000" w:rsidRDefault="00000000" w:rsidRPr="00000000" w14:paraId="000003E0">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2. </w:t>
      </w:r>
      <w:r w:rsidDel="00000000" w:rsidR="00000000" w:rsidRPr="00000000">
        <w:rPr>
          <w:rFonts w:ascii="Times New Roman" w:cs="Times New Roman" w:eastAsia="Times New Roman" w:hAnsi="Times New Roman"/>
          <w:b w:val="1"/>
          <w:bCs w:val="1"/>
          <w:i w:val="0"/>
          <w:iCs w:val="0"/>
          <w:color w:val="0f172a"/>
          <w:sz w:val="23"/>
          <w:szCs w:val="23"/>
          <w:rtl w:val="0"/>
        </w:rPr>
        <w:t xml:space="preserve">Desacoplamiento Neuro-Simbólico del Motor Físico Determinístico</w:t>
      </w:r>
      <w:r w:rsidDel="00000000" w:rsidR="00000000" w:rsidRPr="00000000">
        <w:rPr>
          <w:rFonts w:ascii="Times New Roman" w:cs="Times New Roman" w:eastAsia="Times New Roman" w:hAnsi="Times New Roman"/>
          <w:b w:val="0"/>
          <w:bCs w:val="0"/>
          <w:i w:val="0"/>
          <w:iCs w:val="0"/>
          <w:color w:val="0f172a"/>
          <w:sz w:val="23"/>
          <w:szCs w:val="23"/>
          <w:rtl w:val="0"/>
        </w:rPr>
        <w:t xml:space="preserve">:</w:t>
      </w:r>
      <w:r w:rsidDel="00000000" w:rsidR="00000000" w:rsidRPr="00000000">
        <w:rPr>
          <w:rtl w:val="0"/>
        </w:rPr>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Decisión</w:t>
      </w:r>
      <w:r w:rsidDel="00000000" w:rsidR="00000000" w:rsidRPr="00000000">
        <w:rPr>
          <w:rFonts w:ascii="Gungsuh" w:cs="Gungsuh" w:eastAsia="Gungsuh" w:hAnsi="Gungsuh"/>
          <w:b w:val="0"/>
          <w:bCs w:val="0"/>
          <w:i w:val="0"/>
          <w:iCs w:val="0"/>
          <w:smallCaps w:val="0"/>
          <w:strike w:val="0"/>
          <w:color w:val="0f172a"/>
          <w:sz w:val="23"/>
          <w:szCs w:val="23"/>
          <w:u w:val="none"/>
          <w:shd w:fill="auto" w:val="clear"/>
          <w:vertAlign w:val="baseline"/>
          <w:rtl w:val="0"/>
        </w:rPr>
        <w:t xml:space="preserve">: El cálculo orbital, el fraccionamiento de eclipse y el balance de potencia eléctrica (EPS) se confían exclusivamente a un motor determinístico analítico en Python con error ≤ 1,0% frente a telemetría o literatura (RNF-02, RF-02), relegando a la IA a tareas de extracción semántica (RAG, RF-06) y asistencia conversacional con registro de justificaciones (</w:t>
      </w: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DecisionLog</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RF-09).</w:t>
      </w:r>
      <w:r w:rsidDel="00000000" w:rsidR="00000000" w:rsidRPr="00000000">
        <w:rPr>
          <w:rtl w:val="0"/>
        </w:rPr>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Fundamento y Evidencia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Elimina el riesgo de alucinación inherente a los copilotos de IA puros, respondiendo al hecho empírico de que el 38,8% de las pérdidas tempranas de CubeSats responden a fallas de energía derivadas de errores en el balance preliminar (Swartwout, 2024; NASA S3VI).</w:t>
      </w: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Descarte</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evalúa la utilización de modelos de lenguaje ajustados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fine-tuned</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para predecir directamente valores de potencia y se descarta por su naturaleza estocástica no certificable bajo normas ECSS-E-ST-20C Rev. 1 (ESA, 2019).</w:t>
      </w:r>
      <w:r w:rsidDel="00000000" w:rsidR="00000000" w:rsidRPr="00000000">
        <w:rPr>
          <w:rtl w:val="0"/>
        </w:rPr>
      </w:r>
    </w:p>
    <w:p w:rsidR="00000000" w:rsidDel="00000000" w:rsidP="00000000" w:rsidRDefault="00000000" w:rsidRPr="00000000" w14:paraId="000003E4">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3. </w:t>
      </w:r>
      <w:r w:rsidDel="00000000" w:rsidR="00000000" w:rsidRPr="00000000">
        <w:rPr>
          <w:rFonts w:ascii="Times New Roman" w:cs="Times New Roman" w:eastAsia="Times New Roman" w:hAnsi="Times New Roman"/>
          <w:b w:val="1"/>
          <w:bCs w:val="1"/>
          <w:i w:val="0"/>
          <w:iCs w:val="0"/>
          <w:color w:val="0f172a"/>
          <w:sz w:val="23"/>
          <w:szCs w:val="23"/>
          <w:rtl w:val="0"/>
        </w:rPr>
        <w:t xml:space="preserve">Estrategia de Sustitución No Hostil frente a la Planilla de Cálculo</w:t>
      </w:r>
      <w:r w:rsidDel="00000000" w:rsidR="00000000" w:rsidRPr="00000000">
        <w:rPr>
          <w:rFonts w:ascii="Times New Roman" w:cs="Times New Roman" w:eastAsia="Times New Roman" w:hAnsi="Times New Roman"/>
          <w:b w:val="0"/>
          <w:bCs w:val="0"/>
          <w:i w:val="0"/>
          <w:iCs w:val="0"/>
          <w:color w:val="0f172a"/>
          <w:sz w:val="23"/>
          <w:szCs w:val="23"/>
          <w:rtl w:val="0"/>
        </w:rPr>
        <w:t xml:space="preserve">:</w:t>
      </w: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Decisión</w:t>
      </w:r>
      <w:r w:rsidDel="00000000" w:rsidR="00000000" w:rsidRPr="00000000">
        <w:rPr>
          <w:rFonts w:ascii="Gungsuh" w:cs="Gungsuh" w:eastAsia="Gungsuh" w:hAnsi="Gungsuh"/>
          <w:b w:val="0"/>
          <w:bCs w:val="0"/>
          <w:i w:val="0"/>
          <w:iCs w:val="0"/>
          <w:smallCaps w:val="0"/>
          <w:strike w:val="0"/>
          <w:color w:val="0f172a"/>
          <w:sz w:val="23"/>
          <w:szCs w:val="23"/>
          <w:u w:val="none"/>
          <w:shd w:fill="auto" w:val="clear"/>
          <w:vertAlign w:val="baseline"/>
          <w:rtl w:val="0"/>
        </w:rPr>
        <w:t xml:space="preserve">: CODI incorpora capacidades nativas de ingesta y parseo estructurado de planillas Excel/CSV y matrices de interfaz (ICD) en ≤ 2,0 s (RF-01), integrándolas automáticamente al grafo de conocimiento del sistema.</w:t>
      </w:r>
      <w:r w:rsidDel="00000000" w:rsidR="00000000" w:rsidRPr="00000000">
        <w:rPr>
          <w:rtl w:val="0"/>
        </w:rPr>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Fundamento y Evidencia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Reduce a cero la fricción de adopción frente al sustituto dominante (Microsoft Excel, Cuadrante II), permitiendo que los equipos conserven sus tablas iniciales pero ganen trazabilidad inmutable, detección temprana de inconsistencias y erradicación de las 30 a 45 días de inducción presencial por rotación de personal (Botta, 2026).</w:t>
      </w: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Descarte</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evalúa prohibir el uso de planillas e imponer la captura manual exclusiva dentro de la plataforma y se descarta por generar resistencia al cambio en el equipo de ingeniería del CTA-UNLP.</w:t>
      </w:r>
      <w:r w:rsidDel="00000000" w:rsidR="00000000" w:rsidRPr="00000000">
        <w:rPr>
          <w:rtl w:val="0"/>
        </w:rPr>
      </w:r>
    </w:p>
    <w:p w:rsidR="00000000" w:rsidDel="00000000" w:rsidP="00000000" w:rsidRDefault="00000000" w:rsidRPr="00000000" w14:paraId="000003E8">
      <w:pPr>
        <w:pStyle w:val="Heading1"/>
        <w:keepNext w:val="1"/>
        <w:pageBreakBefore w:val="1"/>
        <w:rPr/>
      </w:pPr>
      <w:r w:rsidDel="00000000" w:rsidR="00000000" w:rsidRPr="00000000">
        <w:rPr>
          <w:rFonts w:ascii="Times New Roman" w:cs="Times New Roman" w:eastAsia="Times New Roman" w:hAnsi="Times New Roman"/>
          <w:b w:val="1"/>
          <w:bCs w:val="1"/>
          <w:i w:val="0"/>
          <w:iCs w:val="0"/>
          <w:color w:val="0f172a"/>
          <w:sz w:val="32"/>
          <w:szCs w:val="32"/>
          <w:rtl w:val="0"/>
        </w:rPr>
        <w:t xml:space="preserve">CAPÍTULO V · PLANIFICACIÓN DEL PROYECTO</w:t>
      </w:r>
      <w:r w:rsidDel="00000000" w:rsidR="00000000" w:rsidRPr="00000000">
        <w:rPr>
          <w:rtl w:val="0"/>
        </w:rPr>
      </w:r>
    </w:p>
    <w:p w:rsidR="00000000" w:rsidDel="00000000" w:rsidP="00000000" w:rsidRDefault="00000000" w:rsidRPr="00000000" w14:paraId="000003E9">
      <w:pPr>
        <w:pStyle w:val="Heading2"/>
        <w:keepNext w:val="1"/>
        <w:rPr/>
      </w:pPr>
      <w:r w:rsidDel="00000000" w:rsidR="00000000" w:rsidRPr="00000000">
        <w:rPr>
          <w:rFonts w:ascii="Times New Roman" w:cs="Times New Roman" w:eastAsia="Times New Roman" w:hAnsi="Times New Roman"/>
          <w:b w:val="1"/>
          <w:bCs w:val="1"/>
          <w:i w:val="0"/>
          <w:iCs w:val="0"/>
          <w:color w:val="0f172a"/>
          <w:sz w:val="28"/>
          <w:szCs w:val="28"/>
          <w:rtl w:val="0"/>
        </w:rPr>
        <w:t xml:space="preserve">V.1 · Definición de Iteraciones o Sprints</w:t>
      </w:r>
      <w:r w:rsidDel="00000000" w:rsidR="00000000" w:rsidRPr="00000000">
        <w:rPr>
          <w:rtl w:val="0"/>
        </w:rPr>
      </w:r>
    </w:p>
    <w:p w:rsidR="00000000" w:rsidDel="00000000" w:rsidP="00000000" w:rsidRDefault="00000000" w:rsidRPr="00000000" w14:paraId="000003EA">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La planificación y ejecución del proyecto CODI (</w:t>
      </w:r>
      <w:r w:rsidDel="00000000" w:rsidR="00000000" w:rsidRPr="00000000">
        <w:rPr>
          <w:rFonts w:ascii="Times New Roman" w:cs="Times New Roman" w:eastAsia="Times New Roman" w:hAnsi="Times New Roman"/>
          <w:b w:val="0"/>
          <w:bCs w:val="0"/>
          <w:i w:val="1"/>
          <w:iCs w:val="1"/>
          <w:color w:val="0f172a"/>
          <w:sz w:val="24"/>
          <w:szCs w:val="24"/>
          <w:rtl w:val="0"/>
        </w:rPr>
        <w:t xml:space="preserve">Cognitive Operations &amp; Decision Intelligence</w:t>
      </w:r>
      <w:r w:rsidDel="00000000" w:rsidR="00000000" w:rsidRPr="00000000">
        <w:rPr>
          <w:rFonts w:ascii="Times New Roman" w:cs="Times New Roman" w:eastAsia="Times New Roman" w:hAnsi="Times New Roman"/>
          <w:b w:val="0"/>
          <w:bCs w:val="0"/>
          <w:i w:val="0"/>
          <w:iCs w:val="0"/>
          <w:color w:val="0f172a"/>
          <w:sz w:val="24"/>
          <w:szCs w:val="24"/>
          <w:rtl w:val="0"/>
        </w:rPr>
        <w:t xml:space="preserve">) adopta un marco de ciclo de vida iterativo e incremental estructurado en cuatro (4) iteraciones o </w:t>
      </w:r>
      <w:r w:rsidDel="00000000" w:rsidR="00000000" w:rsidRPr="00000000">
        <w:rPr>
          <w:rFonts w:ascii="Times New Roman" w:cs="Times New Roman" w:eastAsia="Times New Roman" w:hAnsi="Times New Roman"/>
          <w:b w:val="0"/>
          <w:bCs w:val="0"/>
          <w:i w:val="1"/>
          <w:iCs w:val="1"/>
          <w:color w:val="0f172a"/>
          <w:sz w:val="24"/>
          <w:szCs w:val="24"/>
          <w:rtl w:val="0"/>
        </w:rPr>
        <w:t xml:space="preserve">sprints</w:t>
      </w:r>
      <w:r w:rsidDel="00000000" w:rsidR="00000000" w:rsidRPr="00000000">
        <w:rPr>
          <w:rFonts w:ascii="Times New Roman" w:cs="Times New Roman" w:eastAsia="Times New Roman" w:hAnsi="Times New Roman"/>
          <w:b w:val="0"/>
          <w:bCs w:val="0"/>
          <w:i w:val="0"/>
          <w:iCs w:val="0"/>
          <w:color w:val="0f172a"/>
          <w:sz w:val="24"/>
          <w:szCs w:val="24"/>
          <w:rtl w:val="0"/>
        </w:rPr>
        <w:t xml:space="preserve">, con duraciones calibradas entre tres (3) y cuatro (4) semanas. La arquitectura temporal de los ciclos se sincroniza de forma unívoca con la cadencia obligatoria de artefactos fijada para el ciclo del segundo cuatrimestre de 2026: Prototipo v0 en la semana 4, Prototipo v1 (</w:t>
      </w:r>
      <w:r w:rsidDel="00000000" w:rsidR="00000000" w:rsidRPr="00000000">
        <w:rPr>
          <w:rFonts w:ascii="Times New Roman" w:cs="Times New Roman" w:eastAsia="Times New Roman" w:hAnsi="Times New Roman"/>
          <w:b w:val="0"/>
          <w:bCs w:val="0"/>
          <w:i w:val="1"/>
          <w:iCs w:val="1"/>
          <w:color w:val="0f172a"/>
          <w:sz w:val="24"/>
          <w:szCs w:val="24"/>
          <w:rtl w:val="0"/>
        </w:rPr>
        <w:t xml:space="preserve">walking skeleton</w:t>
      </w:r>
      <w:r w:rsidDel="00000000" w:rsidR="00000000" w:rsidRPr="00000000">
        <w:rPr>
          <w:rFonts w:ascii="Times New Roman" w:cs="Times New Roman" w:eastAsia="Times New Roman" w:hAnsi="Times New Roman"/>
          <w:b w:val="0"/>
          <w:bCs w:val="0"/>
          <w:i w:val="0"/>
          <w:iCs w:val="0"/>
          <w:color w:val="0f172a"/>
          <w:sz w:val="24"/>
          <w:szCs w:val="24"/>
          <w:rtl w:val="0"/>
        </w:rPr>
        <w:t xml:space="preserve">) en la semana 8, Prototipo v2 en la semana 11, Prototipo v3 en la semana 13 y versión funcional congelada en la semana 14. La adopción de esta cadencia modular permite descubrir e intervenir de manera temprana las fricciones de integración entre capas de software mediante la entrega de un esqueleto arquitectónico ejecutable en el Sprint 2 (RF-00, RF-02, RF-03, RNF-01, RNF-04), garantizando que el costo de detección y mitigación de defectos no escale de forma geométrica como documenta Boehm (1981) en la literatura clásica de ingeniería económica de software. Se evalúan y descartan formalmente el modelo predictivo tradicional en cascada (</w:t>
      </w:r>
      <w:r w:rsidDel="00000000" w:rsidR="00000000" w:rsidRPr="00000000">
        <w:rPr>
          <w:rFonts w:ascii="Times New Roman" w:cs="Times New Roman" w:eastAsia="Times New Roman" w:hAnsi="Times New Roman"/>
          <w:b w:val="0"/>
          <w:bCs w:val="0"/>
          <w:i w:val="1"/>
          <w:iCs w:val="1"/>
          <w:color w:val="0f172a"/>
          <w:sz w:val="24"/>
          <w:szCs w:val="24"/>
          <w:rtl w:val="0"/>
        </w:rPr>
        <w:t xml:space="preserve">Waterfall</w:t>
      </w:r>
      <w:r w:rsidDel="00000000" w:rsidR="00000000" w:rsidRPr="00000000">
        <w:rPr>
          <w:rFonts w:ascii="Times New Roman" w:cs="Times New Roman" w:eastAsia="Times New Roman" w:hAnsi="Times New Roman"/>
          <w:b w:val="0"/>
          <w:bCs w:val="0"/>
          <w:i w:val="0"/>
          <w:iCs w:val="0"/>
          <w:color w:val="0f172a"/>
          <w:sz w:val="24"/>
          <w:szCs w:val="24"/>
          <w:rtl w:val="0"/>
        </w:rPr>
        <w:t xml:space="preserve">, IEEE 1074) debido a que pospone la ejecución de código hasta el tramo final del cuatrimestre incrementando el riesgo de rechazo arquitectónico, y la implementación de ciclos breves de una (1) semana de Scrum estándar por la sobrecarga administrativa y de ceremonias de gestión, incompatible con la dedicación de 19 horas semanales de un único desarrollador (Bitácora, 29/09/2026; Cap. III, Sec. III.3).</w:t>
      </w:r>
      <w:r w:rsidDel="00000000" w:rsidR="00000000" w:rsidRPr="00000000">
        <w:rPr>
          <w:rtl w:val="0"/>
        </w:rPr>
      </w:r>
    </w:p>
    <w:p w:rsidR="00000000" w:rsidDel="00000000" w:rsidP="00000000" w:rsidRDefault="00000000" w:rsidRPr="00000000" w14:paraId="000003EB">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criterio de corte de cada iteración combina la inamovilidad temporal de las fechas de control académico (</w:t>
      </w:r>
      <w:r w:rsidDel="00000000" w:rsidR="00000000" w:rsidRPr="00000000">
        <w:rPr>
          <w:rFonts w:ascii="Times New Roman" w:cs="Times New Roman" w:eastAsia="Times New Roman" w:hAnsi="Times New Roman"/>
          <w:b w:val="0"/>
          <w:bCs w:val="0"/>
          <w:i w:val="1"/>
          <w:iCs w:val="1"/>
          <w:color w:val="0f172a"/>
          <w:sz w:val="24"/>
          <w:szCs w:val="24"/>
          <w:rtl w:val="0"/>
        </w:rPr>
        <w:t xml:space="preserve">timeboxing</w:t>
      </w:r>
      <w:r w:rsidDel="00000000" w:rsidR="00000000" w:rsidRPr="00000000">
        <w:rPr>
          <w:rFonts w:ascii="Times New Roman" w:cs="Times New Roman" w:eastAsia="Times New Roman" w:hAnsi="Times New Roman"/>
          <w:b w:val="0"/>
          <w:bCs w:val="0"/>
          <w:i w:val="0"/>
          <w:iCs w:val="0"/>
          <w:color w:val="0f172a"/>
          <w:sz w:val="24"/>
          <w:szCs w:val="24"/>
          <w:rtl w:val="0"/>
        </w:rPr>
        <w:t xml:space="preserve"> rígido) con la técnica de priorización MoSCoW aplicada sobre los dieciocho (18) requisitos formalizados en el Catálogo de Requisitos (Apartado III.5). Cada ciclo asume el compromiso estricto de finalizar el 100% de los requisitos clasificados como </w:t>
      </w:r>
      <w:r w:rsidDel="00000000" w:rsidR="00000000" w:rsidRPr="00000000">
        <w:rPr>
          <w:rFonts w:ascii="Times New Roman" w:cs="Times New Roman" w:eastAsia="Times New Roman" w:hAnsi="Times New Roman"/>
          <w:b w:val="0"/>
          <w:bCs w:val="0"/>
          <w:i w:val="1"/>
          <w:iCs w:val="1"/>
          <w:color w:val="0f172a"/>
          <w:sz w:val="24"/>
          <w:szCs w:val="24"/>
          <w:rtl w:val="0"/>
        </w:rPr>
        <w:t xml:space="preserve">Must Have</w:t>
      </w:r>
      <w:r w:rsidDel="00000000" w:rsidR="00000000" w:rsidRPr="00000000">
        <w:rPr>
          <w:rFonts w:ascii="Times New Roman" w:cs="Times New Roman" w:eastAsia="Times New Roman" w:hAnsi="Times New Roman"/>
          <w:b w:val="0"/>
          <w:bCs w:val="0"/>
          <w:i w:val="0"/>
          <w:iCs w:val="0"/>
          <w:color w:val="0f172a"/>
          <w:sz w:val="24"/>
          <w:szCs w:val="24"/>
          <w:rtl w:val="0"/>
        </w:rPr>
        <w:t xml:space="preserve"> asignados a esa etapa, los cuales condicionan la aceptación del incremento. Los requisitos catalogados como </w:t>
      </w:r>
      <w:r w:rsidDel="00000000" w:rsidR="00000000" w:rsidRPr="00000000">
        <w:rPr>
          <w:rFonts w:ascii="Times New Roman" w:cs="Times New Roman" w:eastAsia="Times New Roman" w:hAnsi="Times New Roman"/>
          <w:b w:val="0"/>
          <w:bCs w:val="0"/>
          <w:i w:val="1"/>
          <w:iCs w:val="1"/>
          <w:color w:val="0f172a"/>
          <w:sz w:val="24"/>
          <w:szCs w:val="24"/>
          <w:rtl w:val="0"/>
        </w:rPr>
        <w:t xml:space="preserve">Should Have</w:t>
      </w:r>
      <w:r w:rsidDel="00000000" w:rsidR="00000000" w:rsidRPr="00000000">
        <w:rPr>
          <w:rFonts w:ascii="Times New Roman" w:cs="Times New Roman" w:eastAsia="Times New Roman" w:hAnsi="Times New Roman"/>
          <w:b w:val="0"/>
          <w:bCs w:val="0"/>
          <w:i w:val="0"/>
          <w:iCs w:val="0"/>
          <w:color w:val="0f172a"/>
          <w:sz w:val="24"/>
          <w:szCs w:val="24"/>
          <w:rtl w:val="0"/>
        </w:rPr>
        <w:t xml:space="preserve"> (RF-10 y RF-11) actúan como margen de absorción temporal frente a eventuales contingencias técnicas o períodos de reducción horaria. La Tabla V.1 detalla la matriz de iteraciones del proyecto, especificando las fechas de vigencia, los objetivos verificables, los requisitos comprometidos y el entregable concreto de cierre de cada fase.</w:t>
      </w:r>
      <w:r w:rsidDel="00000000" w:rsidR="00000000" w:rsidRPr="00000000">
        <w:rPr>
          <w:rtl w:val="0"/>
        </w:rPr>
      </w:r>
    </w:p>
    <w:p w:rsidR="00000000" w:rsidDel="00000000" w:rsidP="00000000" w:rsidRDefault="00000000" w:rsidRPr="00000000" w14:paraId="000003EC">
      <w:pPr>
        <w:spacing w:after="80" w:before="0" w:line="480" w:lineRule="auto"/>
        <w:ind w:firstLine="720"/>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Tabla V.1: Matriz de Iteraciones y Cadencia de Entregables del Proyecto CODI</w:t>
      </w:r>
      <w:r w:rsidDel="00000000" w:rsidR="00000000" w:rsidRPr="00000000">
        <w:rPr>
          <w:rtl w:val="0"/>
        </w:rPr>
      </w:r>
    </w:p>
    <w:p w:rsidR="00000000" w:rsidDel="00000000" w:rsidP="00000000" w:rsidRDefault="00000000" w:rsidRPr="00000000" w14:paraId="000003ED">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de Iteración · Sprint 1: Diagnóstico Empírico y Línea de Base</w:t>
      </w:r>
      <w:r w:rsidDel="00000000" w:rsidR="00000000" w:rsidRPr="00000000">
        <w:rPr>
          <w:rtl w:val="0"/>
        </w:rPr>
      </w:r>
    </w:p>
    <w:tbl>
      <w:tblPr>
        <w:tblStyle w:val="Table40"/>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3E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3E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Detalle de la Iteración</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3F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Iteración y Período</w:t>
            </w:r>
            <w:r w:rsidDel="00000000" w:rsidR="00000000" w:rsidRPr="00000000">
              <w:rPr>
                <w:rtl w:val="0"/>
              </w:rPr>
            </w:r>
          </w:p>
        </w:tc>
        <w:tc>
          <w:tcPr/>
          <w:p w:rsidR="00000000" w:rsidDel="00000000" w:rsidP="00000000" w:rsidRDefault="00000000" w:rsidRPr="00000000" w14:paraId="000003F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Sprint 1</w:t>
            </w:r>
            <w:r w:rsidDel="00000000" w:rsidR="00000000" w:rsidRPr="00000000">
              <w:rPr>
                <w:rFonts w:ascii="Times New Roman" w:cs="Times New Roman" w:eastAsia="Times New Roman" w:hAnsi="Times New Roman"/>
                <w:b w:val="0"/>
                <w:bCs w:val="0"/>
                <w:i w:val="0"/>
                <w:iCs w:val="0"/>
                <w:color w:val="0f172a"/>
                <w:sz w:val="18"/>
                <w:szCs w:val="18"/>
                <w:rtl w:val="0"/>
              </w:rPr>
              <w:t xml:space="preserve"> · Semanas 1 a 4 (10/08/2026 al 05/09/2026)</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3F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Objetivo Verificable</w:t>
            </w:r>
            <w:r w:rsidDel="00000000" w:rsidR="00000000" w:rsidRPr="00000000">
              <w:rPr>
                <w:rtl w:val="0"/>
              </w:rPr>
            </w:r>
          </w:p>
        </w:tc>
        <w:tc>
          <w:tcPr/>
          <w:p w:rsidR="00000000" w:rsidDel="00000000" w:rsidP="00000000" w:rsidRDefault="00000000" w:rsidRPr="00000000" w14:paraId="000003F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Relevar empíricamente el problema de fragmentación y pérdida de memoria técnica en el Centro Tecnológico Aeroespacial (CTA-UNLP); diagnosticar la línea de base del tiempo de cálculo y sobrecarga mental; relevar el mercado espacial y validar la hipótesis arquitectónica inicial.</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3F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Requisitos y Actividades</w:t>
            </w:r>
            <w:r w:rsidDel="00000000" w:rsidR="00000000" w:rsidRPr="00000000">
              <w:rPr>
                <w:rtl w:val="0"/>
              </w:rPr>
            </w:r>
          </w:p>
        </w:tc>
        <w:tc>
          <w:tcPr/>
          <w:p w:rsidR="00000000" w:rsidDel="00000000" w:rsidP="00000000" w:rsidRDefault="00000000" w:rsidRPr="00000000" w14:paraId="000003F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Relevamiento de campo (H-01 a H-06), diagnóstico de línea de base operativa y prototipado visual de bajo nivel.</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3F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Entregable de Cierre</w:t>
            </w:r>
            <w:r w:rsidDel="00000000" w:rsidR="00000000" w:rsidRPr="00000000">
              <w:rPr>
                <w:rtl w:val="0"/>
              </w:rPr>
            </w:r>
          </w:p>
        </w:tc>
        <w:tc>
          <w:tcPr/>
          <w:p w:rsidR="00000000" w:rsidDel="00000000" w:rsidP="00000000" w:rsidRDefault="00000000" w:rsidRPr="00000000" w14:paraId="000003F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Resumen consolidado de Capítulos I y II del informe; Prototipo v0 (maqueta interactiva navegable de baja fidelidad en wireframes, sin lógica de persistencia).</w:t>
            </w:r>
            <w:r w:rsidDel="00000000" w:rsidR="00000000" w:rsidRPr="00000000">
              <w:rPr>
                <w:rtl w:val="0"/>
              </w:rPr>
            </w:r>
          </w:p>
        </w:tc>
      </w:tr>
    </w:tbl>
    <w:p w:rsidR="00000000" w:rsidDel="00000000" w:rsidP="00000000" w:rsidRDefault="00000000" w:rsidRPr="00000000" w14:paraId="000003F8">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de Iteración · Sprint 2: Formulación, Dominio y Esqueleto Arquitectónico (Walking Skeleton)</w:t>
      </w:r>
      <w:r w:rsidDel="00000000" w:rsidR="00000000" w:rsidRPr="00000000">
        <w:rPr>
          <w:rtl w:val="0"/>
        </w:rPr>
      </w:r>
    </w:p>
    <w:tbl>
      <w:tblPr>
        <w:tblStyle w:val="Table41"/>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3F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3F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Detalle de la Iteración</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3F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Iteración y Período</w:t>
            </w:r>
            <w:r w:rsidDel="00000000" w:rsidR="00000000" w:rsidRPr="00000000">
              <w:rPr>
                <w:rtl w:val="0"/>
              </w:rPr>
            </w:r>
          </w:p>
        </w:tc>
        <w:tc>
          <w:tcPr/>
          <w:p w:rsidR="00000000" w:rsidDel="00000000" w:rsidP="00000000" w:rsidRDefault="00000000" w:rsidRPr="00000000" w14:paraId="000003F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Sprint 2</w:t>
            </w:r>
            <w:r w:rsidDel="00000000" w:rsidR="00000000" w:rsidRPr="00000000">
              <w:rPr>
                <w:rFonts w:ascii="Times New Roman" w:cs="Times New Roman" w:eastAsia="Times New Roman" w:hAnsi="Times New Roman"/>
                <w:b w:val="0"/>
                <w:bCs w:val="0"/>
                <w:i w:val="0"/>
                <w:iCs w:val="0"/>
                <w:color w:val="0f172a"/>
                <w:sz w:val="18"/>
                <w:szCs w:val="18"/>
                <w:rtl w:val="0"/>
              </w:rPr>
              <w:t xml:space="preserve"> · Semanas 5 a 8 (07/09/2026 al 03/10/2026)</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3F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Objetivo Verificable</w:t>
            </w:r>
            <w:r w:rsidDel="00000000" w:rsidR="00000000" w:rsidRPr="00000000">
              <w:rPr>
                <w:rtl w:val="0"/>
              </w:rPr>
            </w:r>
          </w:p>
        </w:tc>
        <w:tc>
          <w:tcPr/>
          <w:p w:rsidR="00000000" w:rsidDel="00000000" w:rsidP="00000000" w:rsidRDefault="00000000" w:rsidRPr="00000000" w14:paraId="000003F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Delimitar formalmente el entorno y dominio del sistema; estructurar el catálogo normativo de 18 requisitos con criterios de aceptación comprobables; formalizar el modelo de negocio e implicancias de alcance; construir el esqueleto arquitectónico ejecutable (</w:t>
            </w:r>
            <w:r w:rsidDel="00000000" w:rsidR="00000000" w:rsidRPr="00000000">
              <w:rPr>
                <w:rFonts w:ascii="Times New Roman" w:cs="Times New Roman" w:eastAsia="Times New Roman" w:hAnsi="Times New Roman"/>
                <w:b w:val="0"/>
                <w:bCs w:val="0"/>
                <w:i w:val="1"/>
                <w:iCs w:val="1"/>
                <w:color w:val="0f172a"/>
                <w:sz w:val="18"/>
                <w:szCs w:val="18"/>
                <w:rtl w:val="0"/>
              </w:rPr>
              <w:t xml:space="preserve">walking skeleton</w:t>
            </w:r>
            <w:r w:rsidDel="00000000" w:rsidR="00000000" w:rsidRPr="00000000">
              <w:rPr>
                <w:rFonts w:ascii="Times New Roman" w:cs="Times New Roman" w:eastAsia="Times New Roman" w:hAnsi="Times New Roman"/>
                <w:b w:val="0"/>
                <w:bCs w:val="0"/>
                <w:i w:val="0"/>
                <w:iCs w:val="0"/>
                <w:color w:val="0f172a"/>
                <w:sz w:val="18"/>
                <w:szCs w:val="18"/>
                <w:rtl w:val="0"/>
              </w:rPr>
              <w:t xml:space="preserve">) que atraviesa interfaz, lógica determinística de RN-01, persistencia relacional y retorno de datos para el dimensionamiento EPS.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3F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Requisitos Comprometidos</w:t>
            </w:r>
            <w:r w:rsidDel="00000000" w:rsidR="00000000" w:rsidRPr="00000000">
              <w:rPr>
                <w:rtl w:val="0"/>
              </w:rPr>
            </w:r>
          </w:p>
        </w:tc>
        <w:tc>
          <w:tcPr/>
          <w:p w:rsidR="00000000" w:rsidDel="00000000" w:rsidP="00000000" w:rsidRDefault="00000000" w:rsidRPr="00000000" w14:paraId="0000040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Must Have:</w:t>
            </w:r>
            <w:r w:rsidDel="00000000" w:rsidR="00000000" w:rsidRPr="00000000">
              <w:rPr>
                <w:rFonts w:ascii="Times New Roman" w:cs="Times New Roman" w:eastAsia="Times New Roman" w:hAnsi="Times New Roman"/>
                <w:b w:val="0"/>
                <w:bCs w:val="0"/>
                <w:i w:val="0"/>
                <w:iCs w:val="0"/>
                <w:color w:val="0f172a"/>
                <w:sz w:val="18"/>
                <w:szCs w:val="18"/>
                <w:rtl w:val="0"/>
              </w:rPr>
              <w:t xml:space="preserve"> RF-00 (Inicialización Cuaderno de Misión), RF-02 (Geometría orbital analítica LEO), RF-03 (Balance de profundidad de descarga DoD y RN-01), RNF-01 (Rendimiento computacional), RNF-02 (Precisión kepleriana), RNF-04 (Portabilidad en Docker), RNF-06 (Conformidad con ECSS).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0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Entregable de Cierre</w:t>
            </w:r>
            <w:r w:rsidDel="00000000" w:rsidR="00000000" w:rsidRPr="00000000">
              <w:rPr>
                <w:rtl w:val="0"/>
              </w:rPr>
            </w:r>
          </w:p>
        </w:tc>
        <w:tc>
          <w:tcPr/>
          <w:p w:rsidR="00000000" w:rsidDel="00000000" w:rsidP="00000000" w:rsidRDefault="00000000" w:rsidRPr="00000000" w14:paraId="0000040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Documento único consolidado de formulación del proyecto (Capítulos III, IV, V y X con Catálogo de Requisitos); Prototipo v1 (etiqueta git </w:t>
            </w:r>
            <w:r w:rsidDel="00000000" w:rsidR="00000000" w:rsidRPr="00000000">
              <w:rPr>
                <w:rFonts w:ascii="Consolas" w:cs="Consolas" w:eastAsia="Consolas" w:hAnsi="Consolas"/>
                <w:b w:val="0"/>
                <w:bCs w:val="0"/>
                <w:i w:val="0"/>
                <w:iCs w:val="0"/>
                <w:color w:val="334155"/>
                <w:sz w:val="15"/>
                <w:szCs w:val="15"/>
                <w:rtl w:val="0"/>
              </w:rPr>
              <w:t xml:space="preserve">v1</w:t>
            </w:r>
            <w:r w:rsidDel="00000000" w:rsidR="00000000" w:rsidRPr="00000000">
              <w:rPr>
                <w:rFonts w:ascii="Times New Roman" w:cs="Times New Roman" w:eastAsia="Times New Roman" w:hAnsi="Times New Roman"/>
                <w:b w:val="0"/>
                <w:bCs w:val="0"/>
                <w:i w:val="0"/>
                <w:iCs w:val="0"/>
                <w:color w:val="0f172a"/>
                <w:sz w:val="18"/>
                <w:szCs w:val="18"/>
                <w:rtl w:val="0"/>
              </w:rPr>
              <w:t xml:space="preserve"> en repositorio privado, ejecutable en máquina limpia con canal de CI/CD activo).</w:t>
            </w:r>
            <w:r w:rsidDel="00000000" w:rsidR="00000000" w:rsidRPr="00000000">
              <w:rPr>
                <w:rtl w:val="0"/>
              </w:rPr>
            </w:r>
          </w:p>
        </w:tc>
      </w:tr>
    </w:tbl>
    <w:p w:rsidR="00000000" w:rsidDel="00000000" w:rsidP="00000000" w:rsidRDefault="00000000" w:rsidRPr="00000000" w14:paraId="00000403">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de Iteración · Sprint 3: Motor Determinístico EPS y Verificación de Interfaces</w:t>
      </w:r>
      <w:r w:rsidDel="00000000" w:rsidR="00000000" w:rsidRPr="00000000">
        <w:rPr>
          <w:rtl w:val="0"/>
        </w:rPr>
      </w:r>
    </w:p>
    <w:tbl>
      <w:tblPr>
        <w:tblStyle w:val="Table42"/>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40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40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Detalle de la Iteración</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0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Iteración y Período</w:t>
            </w:r>
            <w:r w:rsidDel="00000000" w:rsidR="00000000" w:rsidRPr="00000000">
              <w:rPr>
                <w:rtl w:val="0"/>
              </w:rPr>
            </w:r>
          </w:p>
        </w:tc>
        <w:tc>
          <w:tcPr/>
          <w:p w:rsidR="00000000" w:rsidDel="00000000" w:rsidP="00000000" w:rsidRDefault="00000000" w:rsidRPr="00000000" w14:paraId="0000040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Sprint 3</w:t>
            </w:r>
            <w:r w:rsidDel="00000000" w:rsidR="00000000" w:rsidRPr="00000000">
              <w:rPr>
                <w:rFonts w:ascii="Times New Roman" w:cs="Times New Roman" w:eastAsia="Times New Roman" w:hAnsi="Times New Roman"/>
                <w:b w:val="0"/>
                <w:bCs w:val="0"/>
                <w:i w:val="0"/>
                <w:iCs w:val="0"/>
                <w:color w:val="0f172a"/>
                <w:sz w:val="18"/>
                <w:szCs w:val="18"/>
                <w:rtl w:val="0"/>
              </w:rPr>
              <w:t xml:space="preserve"> · Semanas 9 a 11 (05/10/2026 al 24/10/2026)</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0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Objetivo Verificable</w:t>
            </w:r>
            <w:r w:rsidDel="00000000" w:rsidR="00000000" w:rsidRPr="00000000">
              <w:rPr>
                <w:rtl w:val="0"/>
              </w:rPr>
            </w:r>
          </w:p>
        </w:tc>
        <w:tc>
          <w:tcPr/>
          <w:p w:rsidR="00000000" w:rsidDel="00000000" w:rsidP="00000000" w:rsidRDefault="00000000" w:rsidRPr="00000000" w14:paraId="0000040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Implementar el motor determinístico EPS completo con degradación fotovoltaica a fin de vida (RN-02) y restricciones físicas de envolvente Cal Poly (RN-05); desarrollar el parser de documentos ICD estructurados y la detección de incompatibilidades de bus eléctrico; instrumentar la suite de pruebas unitarias y de integración de caja blanca y caja negra.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0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Requisitos Comprometidos</w:t>
            </w:r>
            <w:r w:rsidDel="00000000" w:rsidR="00000000" w:rsidRPr="00000000">
              <w:rPr>
                <w:rtl w:val="0"/>
              </w:rPr>
            </w:r>
          </w:p>
        </w:tc>
        <w:tc>
          <w:tcPr/>
          <w:p w:rsidR="00000000" w:rsidDel="00000000" w:rsidP="00000000" w:rsidRDefault="00000000" w:rsidRPr="00000000" w14:paraId="0000040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Must Have:</w:t>
            </w:r>
            <w:r w:rsidDel="00000000" w:rsidR="00000000" w:rsidRPr="00000000">
              <w:rPr>
                <w:rFonts w:ascii="Times New Roman" w:cs="Times New Roman" w:eastAsia="Times New Roman" w:hAnsi="Times New Roman"/>
                <w:b w:val="0"/>
                <w:bCs w:val="0"/>
                <w:i w:val="0"/>
                <w:iCs w:val="0"/>
                <w:color w:val="0f172a"/>
                <w:sz w:val="18"/>
                <w:szCs w:val="18"/>
                <w:rtl w:val="0"/>
              </w:rPr>
              <w:t xml:space="preserve"> RF-01 (Ingesta y parseo de ICDs en JSON/CSV), RF-04 (Balance solar EOL &gt;= 20% y RN-02), RF-05 (Validación geométrica CubeSat 1U/3U/6U y RN-05), RF-08 (Detección de incompatibilidades de bus de potencia), RNF-02 (Tolerancia &lt;= 1,0%), RNF-05 (Integridad criptográfica base).</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0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Entregable de Cierre</w:t>
            </w:r>
            <w:r w:rsidDel="00000000" w:rsidR="00000000" w:rsidRPr="00000000">
              <w:rPr>
                <w:rtl w:val="0"/>
              </w:rPr>
            </w:r>
          </w:p>
        </w:tc>
        <w:tc>
          <w:tcPr/>
          <w:p w:rsidR="00000000" w:rsidDel="00000000" w:rsidP="00000000" w:rsidRDefault="00000000" w:rsidRPr="00000000" w14:paraId="0000040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Capítulos VI (Arquitectura y Diseño Detallado) y IX (Estrategia de Verificación y Pruebas) en versión de trabajo de ingeniería; Prototipo v2 (primer incremento funcional con suite de pruebas automatizadas y reporte de cobertura).</w:t>
            </w:r>
            <w:r w:rsidDel="00000000" w:rsidR="00000000" w:rsidRPr="00000000">
              <w:rPr>
                <w:rtl w:val="0"/>
              </w:rPr>
            </w:r>
          </w:p>
        </w:tc>
      </w:tr>
    </w:tbl>
    <w:p w:rsidR="00000000" w:rsidDel="00000000" w:rsidP="00000000" w:rsidRDefault="00000000" w:rsidRPr="00000000" w14:paraId="0000040E">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de Iteración · Sprint 4: Arnés Cognitivo, Adaptabilidad Psicométrica y Congelamiento</w:t>
      </w:r>
      <w:r w:rsidDel="00000000" w:rsidR="00000000" w:rsidRPr="00000000">
        <w:rPr>
          <w:rtl w:val="0"/>
        </w:rPr>
      </w:r>
    </w:p>
    <w:tbl>
      <w:tblPr>
        <w:tblStyle w:val="Table43"/>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40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41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Detalle de la Iteración</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1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Iteración y Período</w:t>
            </w:r>
            <w:r w:rsidDel="00000000" w:rsidR="00000000" w:rsidRPr="00000000">
              <w:rPr>
                <w:rtl w:val="0"/>
              </w:rPr>
            </w:r>
          </w:p>
        </w:tc>
        <w:tc>
          <w:tcPr/>
          <w:p w:rsidR="00000000" w:rsidDel="00000000" w:rsidP="00000000" w:rsidRDefault="00000000" w:rsidRPr="00000000" w14:paraId="0000041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Sprint 4</w:t>
            </w:r>
            <w:r w:rsidDel="00000000" w:rsidR="00000000" w:rsidRPr="00000000">
              <w:rPr>
                <w:rFonts w:ascii="Times New Roman" w:cs="Times New Roman" w:eastAsia="Times New Roman" w:hAnsi="Times New Roman"/>
                <w:b w:val="0"/>
                <w:bCs w:val="0"/>
                <w:i w:val="0"/>
                <w:iCs w:val="0"/>
                <w:color w:val="0f172a"/>
                <w:sz w:val="18"/>
                <w:szCs w:val="18"/>
                <w:rtl w:val="0"/>
              </w:rPr>
              <w:t xml:space="preserve"> · Semanas 12 a 14 (26/10/2026 al 14/11/2026)</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1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Objetivo Verificable</w:t>
            </w:r>
            <w:r w:rsidDel="00000000" w:rsidR="00000000" w:rsidRPr="00000000">
              <w:rPr>
                <w:rtl w:val="0"/>
              </w:rPr>
            </w:r>
          </w:p>
        </w:tc>
        <w:tc>
          <w:tcPr/>
          <w:p w:rsidR="00000000" w:rsidDel="00000000" w:rsidP="00000000" w:rsidRDefault="00000000" w:rsidRPr="00000000" w14:paraId="0000041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Incorporar el arnés cognitivo de recuperación normativa certificada (RAG); instrumentar el módulo de evaluación psicométrica NASA-TLX completo y el Chat de Hilo Digital adaptativo por carga mental (RN-07); consolidar la pista de auditoría inmutable (</w:t>
            </w:r>
            <w:r w:rsidDel="00000000" w:rsidR="00000000" w:rsidRPr="00000000">
              <w:rPr>
                <w:rFonts w:ascii="Consolas" w:cs="Consolas" w:eastAsia="Consolas" w:hAnsi="Consolas"/>
                <w:b w:val="0"/>
                <w:bCs w:val="0"/>
                <w:i w:val="0"/>
                <w:iCs w:val="0"/>
                <w:color w:val="334155"/>
                <w:sz w:val="15"/>
                <w:szCs w:val="15"/>
                <w:rtl w:val="0"/>
              </w:rPr>
              <w:t xml:space="preserve">DecisionLog</w:t>
            </w:r>
            <w:r w:rsidDel="00000000" w:rsidR="00000000" w:rsidRPr="00000000">
              <w:rPr>
                <w:rFonts w:ascii="Times New Roman" w:cs="Times New Roman" w:eastAsia="Times New Roman" w:hAnsi="Times New Roman"/>
                <w:b w:val="0"/>
                <w:bCs w:val="0"/>
                <w:i w:val="0"/>
                <w:iCs w:val="0"/>
                <w:color w:val="0f172a"/>
                <w:sz w:val="18"/>
                <w:szCs w:val="18"/>
                <w:rtl w:val="0"/>
              </w:rPr>
              <w:t xml:space="preserve"> con firma SHA-256); ejecutar pruebas de usabilidad y reducir la demanda mental; congelar la versión final del sistema.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1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Requisitos Comprometidos</w:t>
            </w:r>
            <w:r w:rsidDel="00000000" w:rsidR="00000000" w:rsidRPr="00000000">
              <w:rPr>
                <w:rtl w:val="0"/>
              </w:rPr>
            </w:r>
          </w:p>
        </w:tc>
        <w:tc>
          <w:tcPr/>
          <w:p w:rsidR="00000000" w:rsidDel="00000000" w:rsidP="00000000" w:rsidRDefault="00000000" w:rsidRPr="00000000" w14:paraId="0000041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Must Have:</w:t>
            </w:r>
            <w:r w:rsidDel="00000000" w:rsidR="00000000" w:rsidRPr="00000000">
              <w:rPr>
                <w:rFonts w:ascii="Times New Roman" w:cs="Times New Roman" w:eastAsia="Times New Roman" w:hAnsi="Times New Roman"/>
                <w:b w:val="0"/>
                <w:bCs w:val="0"/>
                <w:i w:val="0"/>
                <w:iCs w:val="0"/>
                <w:color w:val="0f172a"/>
                <w:sz w:val="18"/>
                <w:szCs w:val="18"/>
                <w:rtl w:val="0"/>
              </w:rPr>
              <w:t xml:space="preserve"> RF-06 (Recuperación normativa certificada), RF-07 (Evaluación NASA-TLX con comparaciones pareadas), RF-09 (</w:t>
            </w:r>
            <w:r w:rsidDel="00000000" w:rsidR="00000000" w:rsidRPr="00000000">
              <w:rPr>
                <w:rFonts w:ascii="Consolas" w:cs="Consolas" w:eastAsia="Consolas" w:hAnsi="Consolas"/>
                <w:b w:val="0"/>
                <w:bCs w:val="0"/>
                <w:i w:val="0"/>
                <w:iCs w:val="0"/>
                <w:color w:val="334155"/>
                <w:sz w:val="15"/>
                <w:szCs w:val="15"/>
                <w:rtl w:val="0"/>
              </w:rPr>
              <w:t xml:space="preserve">DecisionLog</w:t>
            </w:r>
            <w:r w:rsidDel="00000000" w:rsidR="00000000" w:rsidRPr="00000000">
              <w:rPr>
                <w:rFonts w:ascii="Times New Roman" w:cs="Times New Roman" w:eastAsia="Times New Roman" w:hAnsi="Times New Roman"/>
                <w:b w:val="0"/>
                <w:bCs w:val="0"/>
                <w:i w:val="0"/>
                <w:iCs w:val="0"/>
                <w:color w:val="0f172a"/>
                <w:sz w:val="18"/>
                <w:szCs w:val="18"/>
                <w:rtl w:val="0"/>
              </w:rPr>
              <w:t xml:space="preserve"> inmutable con hash SHA-256), RF-12 (Chat adaptativo de doble agente), RNF-03 (Reducción &gt;= 15 pts NASA-TLX; SUS &gt;= 75), RNF-05 (Pista de auditoría inmutable).</w:t>
            </w:r>
            <w:r w:rsidDel="00000000" w:rsidR="00000000" w:rsidRPr="00000000">
              <w:rPr>
                <w:rtl w:val="0"/>
              </w:rPr>
              <w:br w:type="textWrapping"/>
            </w:r>
            <w:r w:rsidDel="00000000" w:rsidR="00000000" w:rsidRPr="00000000">
              <w:rPr>
                <w:rFonts w:ascii="Times New Roman" w:cs="Times New Roman" w:eastAsia="Times New Roman" w:hAnsi="Times New Roman"/>
                <w:b w:val="1"/>
                <w:bCs w:val="1"/>
                <w:i w:val="0"/>
                <w:iCs w:val="0"/>
                <w:color w:val="0f172a"/>
                <w:sz w:val="18"/>
                <w:szCs w:val="18"/>
                <w:rtl w:val="0"/>
              </w:rPr>
              <w:t xml:space="preserve">Should Have:</w:t>
            </w:r>
            <w:r w:rsidDel="00000000" w:rsidR="00000000" w:rsidRPr="00000000">
              <w:rPr>
                <w:rFonts w:ascii="Times New Roman" w:cs="Times New Roman" w:eastAsia="Times New Roman" w:hAnsi="Times New Roman"/>
                <w:b w:val="0"/>
                <w:bCs w:val="0"/>
                <w:i w:val="0"/>
                <w:iCs w:val="0"/>
                <w:color w:val="0f172a"/>
                <w:sz w:val="18"/>
                <w:szCs w:val="18"/>
                <w:rtl w:val="0"/>
              </w:rPr>
              <w:t xml:space="preserve"> RF-10 (Matriz de trazabilidad exportable), RF-11 (Grafo interactivo de dependencias).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1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Entregable de Cierre</w:t>
            </w:r>
            <w:r w:rsidDel="00000000" w:rsidR="00000000" w:rsidRPr="00000000">
              <w:rPr>
                <w:rtl w:val="0"/>
              </w:rPr>
            </w:r>
          </w:p>
        </w:tc>
        <w:tc>
          <w:tcPr/>
          <w:p w:rsidR="00000000" w:rsidDel="00000000" w:rsidP="00000000" w:rsidRDefault="00000000" w:rsidRPr="00000000" w14:paraId="0000041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Documento consolidado final del PIF (Capítulos VII, VIII, XI, XII, XIII, Conclusiones, Bibliografía y Anexos, más VI y IX consolidados); Prototipo v3 en semana 13; Versión funcional congelada demostrada en vivo (</w:t>
            </w:r>
            <w:r w:rsidDel="00000000" w:rsidR="00000000" w:rsidRPr="00000000">
              <w:rPr>
                <w:rFonts w:ascii="Times New Roman" w:cs="Times New Roman" w:eastAsia="Times New Roman" w:hAnsi="Times New Roman"/>
                <w:b w:val="0"/>
                <w:bCs w:val="0"/>
                <w:i w:val="1"/>
                <w:iCs w:val="1"/>
                <w:color w:val="0f172a"/>
                <w:sz w:val="18"/>
                <w:szCs w:val="18"/>
                <w:rtl w:val="0"/>
              </w:rPr>
              <w:t xml:space="preserve">Code Freeze</w:t>
            </w:r>
            <w:r w:rsidDel="00000000" w:rsidR="00000000" w:rsidRPr="00000000">
              <w:rPr>
                <w:rFonts w:ascii="Times New Roman" w:cs="Times New Roman" w:eastAsia="Times New Roman" w:hAnsi="Times New Roman"/>
                <w:b w:val="0"/>
                <w:bCs w:val="0"/>
                <w:i w:val="0"/>
                <w:iCs w:val="0"/>
                <w:color w:val="0f172a"/>
                <w:sz w:val="18"/>
                <w:szCs w:val="18"/>
                <w:rtl w:val="0"/>
              </w:rPr>
              <w:t xml:space="preserve">, etiqueta git </w:t>
            </w:r>
            <w:r w:rsidDel="00000000" w:rsidR="00000000" w:rsidRPr="00000000">
              <w:rPr>
                <w:rFonts w:ascii="Consolas" w:cs="Consolas" w:eastAsia="Consolas" w:hAnsi="Consolas"/>
                <w:b w:val="0"/>
                <w:bCs w:val="0"/>
                <w:i w:val="0"/>
                <w:iCs w:val="0"/>
                <w:color w:val="334155"/>
                <w:sz w:val="15"/>
                <w:szCs w:val="15"/>
                <w:rtl w:val="0"/>
              </w:rPr>
              <w:t xml:space="preserve">v-final</w:t>
            </w:r>
            <w:r w:rsidDel="00000000" w:rsidR="00000000" w:rsidRPr="00000000">
              <w:rPr>
                <w:rFonts w:ascii="Times New Roman" w:cs="Times New Roman" w:eastAsia="Times New Roman" w:hAnsi="Times New Roman"/>
                <w:b w:val="0"/>
                <w:bCs w:val="0"/>
                <w:i w:val="0"/>
                <w:iCs w:val="0"/>
                <w:color w:val="0f172a"/>
                <w:sz w:val="18"/>
                <w:szCs w:val="18"/>
                <w:rtl w:val="0"/>
              </w:rPr>
              <w:t xml:space="preserve">) en semana 14.</w:t>
            </w:r>
            <w:r w:rsidDel="00000000" w:rsidR="00000000" w:rsidRPr="00000000">
              <w:rPr>
                <w:rtl w:val="0"/>
              </w:rPr>
            </w:r>
          </w:p>
        </w:tc>
      </w:tr>
    </w:tbl>
    <w:p w:rsidR="00000000" w:rsidDel="00000000" w:rsidP="00000000" w:rsidRDefault="00000000" w:rsidRPr="00000000" w14:paraId="00000419">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Nota. Fechas y cadencia de artefactos alineadas con el cronograma oficial de formulación del proyecto integrador final y la cadencia planificada de prototipos ejecutables.</w:t>
      </w:r>
      <w:r w:rsidDel="00000000" w:rsidR="00000000" w:rsidRPr="00000000">
        <w:rPr>
          <w:rtl w:val="0"/>
        </w:rPr>
      </w:r>
    </w:p>
    <w:p w:rsidR="00000000" w:rsidDel="00000000" w:rsidP="00000000" w:rsidRDefault="00000000" w:rsidRPr="00000000" w14:paraId="0000041A">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Definición de Terminado Común (</w:t>
      </w:r>
      <w:r w:rsidDel="00000000" w:rsidR="00000000" w:rsidRPr="00000000">
        <w:rPr>
          <w:rFonts w:ascii="Times New Roman" w:cs="Times New Roman" w:eastAsia="Times New Roman" w:hAnsi="Times New Roman"/>
          <w:b w:val="1"/>
          <w:bCs w:val="1"/>
          <w:i w:val="1"/>
          <w:iCs w:val="1"/>
          <w:color w:val="0f172a"/>
          <w:sz w:val="24"/>
          <w:szCs w:val="24"/>
          <w:rtl w:val="0"/>
        </w:rPr>
        <w:t xml:space="preserve">Definition of Done</w:t>
      </w:r>
      <w:r w:rsidDel="00000000" w:rsidR="00000000" w:rsidRPr="00000000">
        <w:rPr>
          <w:rFonts w:ascii="Times New Roman" w:cs="Times New Roman" w:eastAsia="Times New Roman" w:hAnsi="Times New Roman"/>
          <w:b w:val="1"/>
          <w:bCs w:val="1"/>
          <w:i w:val="0"/>
          <w:iCs w:val="0"/>
          <w:color w:val="0f172a"/>
          <w:sz w:val="24"/>
          <w:szCs w:val="24"/>
          <w:rtl w:val="0"/>
        </w:rPr>
        <w:t xml:space="preserve"> - DoD)</w:t>
      </w:r>
      <w:r w:rsidDel="00000000" w:rsidR="00000000" w:rsidRPr="00000000">
        <w:rPr>
          <w:rtl w:val="0"/>
        </w:rPr>
      </w:r>
    </w:p>
    <w:p w:rsidR="00000000" w:rsidDel="00000000" w:rsidP="00000000" w:rsidRDefault="00000000" w:rsidRPr="00000000" w14:paraId="0000041B">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En estricto cumplimiento de las directrices metodológicas de formulación de proyectos (Schwaber &amp; Sutherland, 2020), el avance del sistema no se fundamenta en apreciaciones subjetivas de progreso sino en la satisfacción integral de una Definición de Terminado (</w:t>
      </w:r>
      <w:r w:rsidDel="00000000" w:rsidR="00000000" w:rsidRPr="00000000">
        <w:rPr>
          <w:rFonts w:ascii="Times New Roman" w:cs="Times New Roman" w:eastAsia="Times New Roman" w:hAnsi="Times New Roman"/>
          <w:b w:val="0"/>
          <w:bCs w:val="0"/>
          <w:i w:val="1"/>
          <w:iCs w:val="1"/>
          <w:color w:val="0f172a"/>
          <w:sz w:val="24"/>
          <w:szCs w:val="24"/>
          <w:rtl w:val="0"/>
        </w:rPr>
        <w:t xml:space="preserve">Definition of Done</w:t>
      </w:r>
      <w:r w:rsidDel="00000000" w:rsidR="00000000" w:rsidRPr="00000000">
        <w:rPr>
          <w:rFonts w:ascii="Times New Roman" w:cs="Times New Roman" w:eastAsia="Times New Roman" w:hAnsi="Times New Roman"/>
          <w:b w:val="0"/>
          <w:bCs w:val="0"/>
          <w:i w:val="0"/>
          <w:iCs w:val="0"/>
          <w:color w:val="0f172a"/>
          <w:sz w:val="24"/>
          <w:szCs w:val="24"/>
          <w:rtl w:val="0"/>
        </w:rPr>
        <w:t xml:space="preserve">, DoD) común, obligatoria y homogénea para todas las iteraciones. Un incremento de software o entrega de etapa se considera formalmente «Terminado» (</w:t>
      </w:r>
      <w:r w:rsidDel="00000000" w:rsidR="00000000" w:rsidRPr="00000000">
        <w:rPr>
          <w:rFonts w:ascii="Times New Roman" w:cs="Times New Roman" w:eastAsia="Times New Roman" w:hAnsi="Times New Roman"/>
          <w:b w:val="0"/>
          <w:bCs w:val="0"/>
          <w:i w:val="1"/>
          <w:iCs w:val="1"/>
          <w:color w:val="0f172a"/>
          <w:sz w:val="24"/>
          <w:szCs w:val="24"/>
          <w:rtl w:val="0"/>
        </w:rPr>
        <w:t xml:space="preserve">Done</w:t>
      </w:r>
      <w:r w:rsidDel="00000000" w:rsidR="00000000" w:rsidRPr="00000000">
        <w:rPr>
          <w:rFonts w:ascii="Times New Roman" w:cs="Times New Roman" w:eastAsia="Times New Roman" w:hAnsi="Times New Roman"/>
          <w:b w:val="0"/>
          <w:bCs w:val="0"/>
          <w:i w:val="0"/>
          <w:iCs w:val="0"/>
          <w:color w:val="0f172a"/>
          <w:sz w:val="24"/>
          <w:szCs w:val="24"/>
          <w:rtl w:val="0"/>
        </w:rPr>
        <w:t xml:space="preserve">) únicamente cuando satisface de manera simultánea las siguientes cuatro (4) condiciones objetivas, auditables y verificables por un tercero:</w:t>
      </w:r>
      <w:r w:rsidDel="00000000" w:rsidR="00000000" w:rsidRPr="00000000">
        <w:rPr>
          <w:rtl w:val="0"/>
        </w:rPr>
      </w:r>
    </w:p>
    <w:p w:rsidR="00000000" w:rsidDel="00000000" w:rsidP="00000000" w:rsidRDefault="00000000" w:rsidRPr="00000000" w14:paraId="0000041C">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 </w:t>
      </w:r>
      <w:r w:rsidDel="00000000" w:rsidR="00000000" w:rsidRPr="00000000">
        <w:rPr>
          <w:rFonts w:ascii="Times New Roman" w:cs="Times New Roman" w:eastAsia="Times New Roman" w:hAnsi="Times New Roman"/>
          <w:b w:val="1"/>
          <w:bCs w:val="1"/>
          <w:i w:val="0"/>
          <w:iCs w:val="0"/>
          <w:color w:val="0f172a"/>
          <w:sz w:val="23"/>
          <w:szCs w:val="23"/>
          <w:rtl w:val="0"/>
        </w:rPr>
        <w:t xml:space="preserve">Integración Continua y Construcción Exitosa:</w:t>
      </w:r>
      <w:r w:rsidDel="00000000" w:rsidR="00000000" w:rsidRPr="00000000">
        <w:rPr>
          <w:rFonts w:ascii="Times New Roman" w:cs="Times New Roman" w:eastAsia="Times New Roman" w:hAnsi="Times New Roman"/>
          <w:b w:val="0"/>
          <w:bCs w:val="0"/>
          <w:i w:val="0"/>
          <w:iCs w:val="0"/>
          <w:color w:val="0f172a"/>
          <w:sz w:val="23"/>
          <w:szCs w:val="23"/>
          <w:rtl w:val="0"/>
        </w:rPr>
        <w:t xml:space="preserve"> El código fuente correspondiente a las capacidades del sprint se encuentra fusionado en la rama principal (</w:t>
      </w:r>
      <w:r w:rsidDel="00000000" w:rsidR="00000000" w:rsidRPr="00000000">
        <w:rPr>
          <w:rFonts w:ascii="Consolas" w:cs="Consolas" w:eastAsia="Consolas" w:hAnsi="Consolas"/>
          <w:b w:val="0"/>
          <w:bCs w:val="0"/>
          <w:i w:val="0"/>
          <w:iCs w:val="0"/>
          <w:color w:val="334155"/>
          <w:sz w:val="20"/>
          <w:szCs w:val="20"/>
          <w:rtl w:val="0"/>
        </w:rPr>
        <w:t xml:space="preserve">main</w:t>
      </w:r>
      <w:r w:rsidDel="00000000" w:rsidR="00000000" w:rsidRPr="00000000">
        <w:rPr>
          <w:rFonts w:ascii="Times New Roman" w:cs="Times New Roman" w:eastAsia="Times New Roman" w:hAnsi="Times New Roman"/>
          <w:b w:val="0"/>
          <w:bCs w:val="0"/>
          <w:i w:val="0"/>
          <w:iCs w:val="0"/>
          <w:color w:val="0f172a"/>
          <w:sz w:val="23"/>
          <w:szCs w:val="23"/>
          <w:rtl w:val="0"/>
        </w:rPr>
        <w:t xml:space="preserve">) del repositorio institucional de GitHub sin ramas de trabajo huérfanas. El canal automatizado de integración continua (flujo de trabajo de GitHub Actions) finalizó su ejecución en estado exitoso (</w:t>
      </w:r>
      <w:r w:rsidDel="00000000" w:rsidR="00000000" w:rsidRPr="00000000">
        <w:rPr>
          <w:rFonts w:ascii="Times New Roman" w:cs="Times New Roman" w:eastAsia="Times New Roman" w:hAnsi="Times New Roman"/>
          <w:b w:val="0"/>
          <w:bCs w:val="0"/>
          <w:i w:val="1"/>
          <w:iCs w:val="1"/>
          <w:color w:val="0f172a"/>
          <w:sz w:val="23"/>
          <w:szCs w:val="23"/>
          <w:rtl w:val="0"/>
        </w:rPr>
        <w:t xml:space="preserve">green build</w:t>
      </w:r>
      <w:r w:rsidDel="00000000" w:rsidR="00000000" w:rsidRPr="00000000">
        <w:rPr>
          <w:rFonts w:ascii="Times New Roman" w:cs="Times New Roman" w:eastAsia="Times New Roman" w:hAnsi="Times New Roman"/>
          <w:b w:val="0"/>
          <w:bCs w:val="0"/>
          <w:i w:val="0"/>
          <w:iCs w:val="0"/>
          <w:color w:val="0f172a"/>
          <w:sz w:val="23"/>
          <w:szCs w:val="23"/>
          <w:rtl w:val="0"/>
        </w:rPr>
        <w:t xml:space="preserve">), acreditando la instalación limpia de dependencias, la compilación libre de errores y la inexistencia de advertencias críticas en el análisis estático de código.</w:t>
      </w:r>
      <w:r w:rsidDel="00000000" w:rsidR="00000000" w:rsidRPr="00000000">
        <w:rPr>
          <w:rtl w:val="0"/>
        </w:rPr>
      </w:r>
    </w:p>
    <w:p w:rsidR="00000000" w:rsidDel="00000000" w:rsidP="00000000" w:rsidRDefault="00000000" w:rsidRPr="00000000" w14:paraId="0000041D">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2. </w:t>
      </w:r>
      <w:r w:rsidDel="00000000" w:rsidR="00000000" w:rsidRPr="00000000">
        <w:rPr>
          <w:rFonts w:ascii="Times New Roman" w:cs="Times New Roman" w:eastAsia="Times New Roman" w:hAnsi="Times New Roman"/>
          <w:b w:val="1"/>
          <w:bCs w:val="1"/>
          <w:i w:val="0"/>
          <w:iCs w:val="0"/>
          <w:color w:val="0f172a"/>
          <w:sz w:val="23"/>
          <w:szCs w:val="23"/>
          <w:rtl w:val="0"/>
        </w:rPr>
        <w:t xml:space="preserve">Ejecución y Registro de Criterios de Aceptación:</w:t>
      </w:r>
      <w:r w:rsidDel="00000000" w:rsidR="00000000" w:rsidRPr="00000000">
        <w:rPr>
          <w:rFonts w:ascii="Times New Roman" w:cs="Times New Roman" w:eastAsia="Times New Roman" w:hAnsi="Times New Roman"/>
          <w:b w:val="0"/>
          <w:bCs w:val="0"/>
          <w:i w:val="0"/>
          <w:iCs w:val="0"/>
          <w:color w:val="0f172a"/>
          <w:sz w:val="23"/>
          <w:szCs w:val="23"/>
          <w:rtl w:val="0"/>
        </w:rPr>
        <w:t xml:space="preserve"> Cada uno de los requisitos funcionales y no funcionales comprometidos para la iteración cuenta con su procedimiento de aceptación ejecutado de acuerdo con la fórmula finita establecida en el Catálogo de Requisitos (Apartado III.5: </w:t>
      </w:r>
      <w:r w:rsidDel="00000000" w:rsidR="00000000" w:rsidRPr="00000000">
        <w:rPr>
          <w:rFonts w:ascii="Consolas" w:cs="Consolas" w:eastAsia="Consolas" w:hAnsi="Consolas"/>
          <w:b w:val="0"/>
          <w:bCs w:val="0"/>
          <w:i w:val="0"/>
          <w:iCs w:val="0"/>
          <w:color w:val="334155"/>
          <w:sz w:val="20"/>
          <w:szCs w:val="20"/>
          <w:rtl w:val="0"/>
        </w:rPr>
        <w:t xml:space="preserve">[Condición Inicial + Acción + Resultado Observable con Valores]</w:t>
      </w:r>
      <w:r w:rsidDel="00000000" w:rsidR="00000000" w:rsidRPr="00000000">
        <w:rPr>
          <w:rFonts w:ascii="Times New Roman" w:cs="Times New Roman" w:eastAsia="Times New Roman" w:hAnsi="Times New Roman"/>
          <w:b w:val="0"/>
          <w:bCs w:val="0"/>
          <w:i w:val="0"/>
          <w:iCs w:val="0"/>
          <w:color w:val="0f172a"/>
          <w:sz w:val="23"/>
          <w:szCs w:val="23"/>
          <w:rtl w:val="0"/>
        </w:rPr>
        <w:t xml:space="preserve">). Los resultados numéricos de las pruebas (tiempos de respuesta en segundos, precisión del cálculo analítico, márgenes de tolerancia keplerianos y validaciones de esquema) se encuentran registrados formalmente en el reporte de verificación del incremento.</w:t>
      </w:r>
      <w:r w:rsidDel="00000000" w:rsidR="00000000" w:rsidRPr="00000000">
        <w:rPr>
          <w:rtl w:val="0"/>
        </w:rPr>
      </w:r>
    </w:p>
    <w:p w:rsidR="00000000" w:rsidDel="00000000" w:rsidP="00000000" w:rsidRDefault="00000000" w:rsidRPr="00000000" w14:paraId="0000041E">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3. </w:t>
      </w:r>
      <w:r w:rsidDel="00000000" w:rsidR="00000000" w:rsidRPr="00000000">
        <w:rPr>
          <w:rFonts w:ascii="Times New Roman" w:cs="Times New Roman" w:eastAsia="Times New Roman" w:hAnsi="Times New Roman"/>
          <w:b w:val="1"/>
          <w:bCs w:val="1"/>
          <w:i w:val="0"/>
          <w:iCs w:val="0"/>
          <w:color w:val="0f172a"/>
          <w:sz w:val="23"/>
          <w:szCs w:val="23"/>
          <w:rtl w:val="0"/>
        </w:rPr>
        <w:t xml:space="preserve">Actualización Sincronizada de Artefactos de Dominio y Repositorio:</w:t>
      </w:r>
      <w:r w:rsidDel="00000000" w:rsidR="00000000" w:rsidRPr="00000000">
        <w:rPr>
          <w:rFonts w:ascii="Times New Roman" w:cs="Times New Roman" w:eastAsia="Times New Roman" w:hAnsi="Times New Roman"/>
          <w:b w:val="0"/>
          <w:bCs w:val="0"/>
          <w:i w:val="0"/>
          <w:iCs w:val="0"/>
          <w:color w:val="0f172a"/>
          <w:sz w:val="23"/>
          <w:szCs w:val="23"/>
          <w:rtl w:val="0"/>
        </w:rPr>
        <w:t xml:space="preserve"> Ante cualquier refinamiento técnico adoptado durante la iteración, los documentos rectores del proyecto se encuentran actualizados en sus versiones correspondientes. Esto exige la concordancia plena del Catálogo de Requisitos (III.5), el modelo del dominio (III.2), el registro de reglas de negocio, el archivo de instrucciones de despliegue (</w:t>
      </w:r>
      <w:r w:rsidDel="00000000" w:rsidR="00000000" w:rsidRPr="00000000">
        <w:rPr>
          <w:rFonts w:ascii="Consolas" w:cs="Consolas" w:eastAsia="Consolas" w:hAnsi="Consolas"/>
          <w:b w:val="0"/>
          <w:bCs w:val="0"/>
          <w:i w:val="0"/>
          <w:iCs w:val="0"/>
          <w:color w:val="334155"/>
          <w:sz w:val="20"/>
          <w:szCs w:val="20"/>
          <w:rtl w:val="0"/>
        </w:rPr>
        <w:t xml:space="preserve">README.md</w:t>
      </w:r>
      <w:r w:rsidDel="00000000" w:rsidR="00000000" w:rsidRPr="00000000">
        <w:rPr>
          <w:rFonts w:ascii="Times New Roman" w:cs="Times New Roman" w:eastAsia="Times New Roman" w:hAnsi="Times New Roman"/>
          <w:b w:val="0"/>
          <w:bCs w:val="0"/>
          <w:i w:val="0"/>
          <w:iCs w:val="0"/>
          <w:color w:val="0f172a"/>
          <w:sz w:val="23"/>
          <w:szCs w:val="23"/>
          <w:rtl w:val="0"/>
        </w:rPr>
        <w:t xml:space="preserve"> con los pasos explícitos de clonado, configuración de entorno y comandos de ejecución) y el archivo de parámetros de prueba (</w:t>
      </w:r>
      <w:r w:rsidDel="00000000" w:rsidR="00000000" w:rsidRPr="00000000">
        <w:rPr>
          <w:rFonts w:ascii="Consolas" w:cs="Consolas" w:eastAsia="Consolas" w:hAnsi="Consolas"/>
          <w:b w:val="0"/>
          <w:bCs w:val="0"/>
          <w:i w:val="0"/>
          <w:iCs w:val="0"/>
          <w:color w:val="334155"/>
          <w:sz w:val="20"/>
          <w:szCs w:val="20"/>
          <w:rtl w:val="0"/>
        </w:rPr>
        <w:t xml:space="preserve">.env.example</w:t>
      </w:r>
      <w:r w:rsidDel="00000000" w:rsidR="00000000" w:rsidRPr="00000000">
        <w:rPr>
          <w:rFonts w:ascii="Times New Roman" w:cs="Times New Roman" w:eastAsia="Times New Roman" w:hAnsi="Times New Roman"/>
          <w:b w:val="0"/>
          <w:bCs w:val="0"/>
          <w:i w:val="0"/>
          <w:iCs w:val="0"/>
          <w:color w:val="0f172a"/>
          <w:sz w:val="23"/>
          <w:szCs w:val="23"/>
          <w:rtl w:val="0"/>
        </w:rPr>
        <w:t xml:space="preserve">), garantizando que la ejecución en máquina limpia sea completamente reproducible sin intervención del autor.</w:t>
      </w:r>
      <w:r w:rsidDel="00000000" w:rsidR="00000000" w:rsidRPr="00000000">
        <w:rPr>
          <w:rtl w:val="0"/>
        </w:rPr>
      </w:r>
    </w:p>
    <w:p w:rsidR="00000000" w:rsidDel="00000000" w:rsidP="00000000" w:rsidRDefault="00000000" w:rsidRPr="00000000" w14:paraId="0000041F">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4. </w:t>
      </w:r>
      <w:r w:rsidDel="00000000" w:rsidR="00000000" w:rsidRPr="00000000">
        <w:rPr>
          <w:rFonts w:ascii="Times New Roman" w:cs="Times New Roman" w:eastAsia="Times New Roman" w:hAnsi="Times New Roman"/>
          <w:b w:val="1"/>
          <w:bCs w:val="1"/>
          <w:i w:val="0"/>
          <w:iCs w:val="0"/>
          <w:color w:val="0f172a"/>
          <w:sz w:val="23"/>
          <w:szCs w:val="23"/>
          <w:rtl w:val="0"/>
        </w:rPr>
        <w:t xml:space="preserve">Trazabilidad Formal en la Bitácora Individual:</w:t>
      </w:r>
      <w:r w:rsidDel="00000000" w:rsidR="00000000" w:rsidRPr="00000000">
        <w:rPr>
          <w:rFonts w:ascii="Times New Roman" w:cs="Times New Roman" w:eastAsia="Times New Roman" w:hAnsi="Times New Roman"/>
          <w:b w:val="0"/>
          <w:bCs w:val="0"/>
          <w:i w:val="0"/>
          <w:iCs w:val="0"/>
          <w:color w:val="0f172a"/>
          <w:sz w:val="23"/>
          <w:szCs w:val="23"/>
          <w:rtl w:val="0"/>
        </w:rPr>
        <w:t xml:space="preserve"> La Bitácora Individual de desarrollo (</w:t>
      </w:r>
      <w:r w:rsidDel="00000000" w:rsidR="00000000" w:rsidRPr="00000000">
        <w:rPr>
          <w:rFonts w:ascii="Consolas" w:cs="Consolas" w:eastAsia="Consolas" w:hAnsi="Consolas"/>
          <w:b w:val="0"/>
          <w:bCs w:val="0"/>
          <w:i w:val="0"/>
          <w:iCs w:val="0"/>
          <w:color w:val="334155"/>
          <w:sz w:val="20"/>
          <w:szCs w:val="20"/>
          <w:rtl w:val="0"/>
        </w:rPr>
        <w:t xml:space="preserve">00-gestion/BITACORA.md</w:t>
      </w:r>
      <w:r w:rsidDel="00000000" w:rsidR="00000000" w:rsidRPr="00000000">
        <w:rPr>
          <w:rFonts w:ascii="Times New Roman" w:cs="Times New Roman" w:eastAsia="Times New Roman" w:hAnsi="Times New Roman"/>
          <w:b w:val="0"/>
          <w:bCs w:val="0"/>
          <w:i w:val="0"/>
          <w:iCs w:val="0"/>
          <w:color w:val="0f172a"/>
          <w:sz w:val="23"/>
          <w:szCs w:val="23"/>
          <w:rtl w:val="0"/>
        </w:rPr>
        <w:t xml:space="preserve">) registra una entrada fechada al cierre de la iteración que formaliza los seis (6) elementos normativos reglamentarios exigidos por la reglamentación del Proyecto Integrador Final (delimitación decidida, alternativas evaluadas y criterios de descarte, evidencias de respaldo, aporte personal verificado en commits, resolución de desacuerdos metodológicos y declaración ética del uso de herramientas auxiliares conforme al Protocolo de Uso Autorizado).</w:t>
      </w:r>
      <w:r w:rsidDel="00000000" w:rsidR="00000000" w:rsidRPr="00000000">
        <w:rPr>
          <w:rtl w:val="0"/>
        </w:rPr>
      </w:r>
    </w:p>
    <w:p w:rsidR="00000000" w:rsidDel="00000000" w:rsidP="00000000" w:rsidRDefault="00000000" w:rsidRPr="00000000" w14:paraId="00000420">
      <w:pPr>
        <w:pStyle w:val="Heading2"/>
        <w:keepNext w:val="1"/>
        <w:rPr/>
      </w:pPr>
      <w:r w:rsidDel="00000000" w:rsidR="00000000" w:rsidRPr="00000000">
        <w:rPr>
          <w:rFonts w:ascii="Times New Roman" w:cs="Times New Roman" w:eastAsia="Times New Roman" w:hAnsi="Times New Roman"/>
          <w:b w:val="1"/>
          <w:bCs w:val="1"/>
          <w:i w:val="0"/>
          <w:iCs w:val="0"/>
          <w:color w:val="0f172a"/>
          <w:sz w:val="28"/>
          <w:szCs w:val="28"/>
          <w:rtl w:val="0"/>
        </w:rPr>
        <w:t xml:space="preserve">V.2 · Entregables de Cada Etapa</w:t>
      </w:r>
      <w:r w:rsidDel="00000000" w:rsidR="00000000" w:rsidRPr="00000000">
        <w:rPr>
          <w:rtl w:val="0"/>
        </w:rPr>
      </w:r>
    </w:p>
    <w:p w:rsidR="00000000" w:rsidDel="00000000" w:rsidP="00000000" w:rsidRDefault="00000000" w:rsidRPr="00000000" w14:paraId="00000421">
      <w:pPr>
        <w:spacing w:after="80" w:before="0" w:line="480" w:lineRule="auto"/>
        <w:ind w:firstLine="720"/>
        <w:rPr/>
      </w:pPr>
      <w:r w:rsidDel="00000000" w:rsidR="00000000" w:rsidRPr="00000000">
        <w:rPr>
          <w:rFonts w:ascii="Gungsuh" w:cs="Gungsuh" w:eastAsia="Gungsuh" w:hAnsi="Gungsuh"/>
          <w:b w:val="0"/>
          <w:bCs w:val="0"/>
          <w:i w:val="0"/>
          <w:iCs w:val="0"/>
          <w:color w:val="0f172a"/>
          <w:sz w:val="24"/>
          <w:szCs w:val="24"/>
          <w:rtl w:val="0"/>
        </w:rPr>
        <w:t xml:space="preserve">La especificación de entregables del proyecto CODI formaliza un conjunto de artefactos verificables de ingeniería —tanto documentales como de software ejecutable— para el cierre de cada una de las cuatro iteraciones, asociando a cada uno una condición binaria y comprobable de aceptación que descarta aprobaciones subjetivas o basadas en porcentajes de avance autodeclarados. Este criterio se fundamenta en el principio de verificabilidad de la ingeniería de software y de requisitos (ISO/IEC/IEEE 29148:2018; Wiegers &amp; Beatty, 2013), el cual establece que un entregable solo adquiere validez técnica cuando existe un procedimiento reproducible que permite a un evaluador externo declararlo inequívocamente aceptado o rechazado frente a magnitudes medibles y contrastables (tiempos de balance ≤ 1,5 s en RNF-01, error relativo ≤ 1,0% en RNF-02, corridas de integración continua exitosas y reducción ≥ 15 puntos NASA-TLX en RNF-03). Se evalúan y descartan el cómputo de entregables basados en maquetas visuales estáticas no funcionales o especificaciones teóricas desacopladas de código con pruebas automatizadas, remitiendo el detalle de los procedimientos de comprobación y la matriz de evidencias a la Bitácora y al Anexo III.</w:t>
      </w:r>
      <w:r w:rsidDel="00000000" w:rsidR="00000000" w:rsidRPr="00000000">
        <w:rPr>
          <w:rtl w:val="0"/>
        </w:rPr>
      </w:r>
    </w:p>
    <w:p w:rsidR="00000000" w:rsidDel="00000000" w:rsidP="00000000" w:rsidRDefault="00000000" w:rsidRPr="00000000" w14:paraId="00000422">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La Tabla V.2 consolida la totalidad de los entregables previstos para el ciclo de vida del proyecto, delimitando el soporte documental, el artefacto de software correspondiente (con su identificador de etiqueta en el repositorio de control de versiones), el procedimiento de verificación aplicable y el resultado observable exigido para autorizar su recepción formal.</w:t>
      </w:r>
      <w:r w:rsidDel="00000000" w:rsidR="00000000" w:rsidRPr="00000000">
        <w:rPr>
          <w:rtl w:val="0"/>
        </w:rPr>
      </w:r>
    </w:p>
    <w:p w:rsidR="00000000" w:rsidDel="00000000" w:rsidP="00000000" w:rsidRDefault="00000000" w:rsidRPr="00000000" w14:paraId="00000423">
      <w:pPr>
        <w:spacing w:after="80" w:before="0" w:line="480" w:lineRule="auto"/>
        <w:ind w:firstLine="720"/>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Tabla V.2: Catálogo de Entregables por Etapa y Condiciones de Aceptación del Proyecto CODI</w:t>
      </w:r>
      <w:r w:rsidDel="00000000" w:rsidR="00000000" w:rsidRPr="00000000">
        <w:rPr>
          <w:rtl w:val="0"/>
        </w:rPr>
      </w:r>
    </w:p>
    <w:p w:rsidR="00000000" w:rsidDel="00000000" w:rsidP="00000000" w:rsidRDefault="00000000" w:rsidRPr="00000000" w14:paraId="00000424">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de Entregable · Sprint 1: Diagnóstico y Prototipo v0</w:t>
      </w:r>
      <w:r w:rsidDel="00000000" w:rsidR="00000000" w:rsidRPr="00000000">
        <w:rPr>
          <w:rtl w:val="0"/>
        </w:rPr>
      </w:r>
    </w:p>
    <w:tbl>
      <w:tblPr>
        <w:tblStyle w:val="Table44"/>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42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42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del Entregable</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2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Iteración y Período</w:t>
            </w:r>
            <w:r w:rsidDel="00000000" w:rsidR="00000000" w:rsidRPr="00000000">
              <w:rPr>
                <w:rtl w:val="0"/>
              </w:rPr>
            </w:r>
          </w:p>
        </w:tc>
        <w:tc>
          <w:tcPr/>
          <w:p w:rsidR="00000000" w:rsidDel="00000000" w:rsidP="00000000" w:rsidRDefault="00000000" w:rsidRPr="00000000" w14:paraId="0000042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Sprint 1</w:t>
            </w:r>
            <w:r w:rsidDel="00000000" w:rsidR="00000000" w:rsidRPr="00000000">
              <w:rPr>
                <w:rFonts w:ascii="Times New Roman" w:cs="Times New Roman" w:eastAsia="Times New Roman" w:hAnsi="Times New Roman"/>
                <w:b w:val="0"/>
                <w:bCs w:val="0"/>
                <w:i w:val="0"/>
                <w:iCs w:val="0"/>
                <w:color w:val="0f172a"/>
                <w:sz w:val="18"/>
                <w:szCs w:val="18"/>
                <w:rtl w:val="0"/>
              </w:rPr>
              <w:t xml:space="preserve"> · Semanas 1 a 4</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2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Entregable Documental</w:t>
            </w:r>
            <w:r w:rsidDel="00000000" w:rsidR="00000000" w:rsidRPr="00000000">
              <w:rPr>
                <w:rtl w:val="0"/>
              </w:rPr>
            </w:r>
          </w:p>
        </w:tc>
        <w:tc>
          <w:tcPr/>
          <w:p w:rsidR="00000000" w:rsidDel="00000000" w:rsidP="00000000" w:rsidRDefault="00000000" w:rsidRPr="00000000" w14:paraId="0000042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Informe de Diagnóstico y Línea de Base:</w:t>
            </w:r>
            <w:r w:rsidDel="00000000" w:rsidR="00000000" w:rsidRPr="00000000">
              <w:rPr>
                <w:rFonts w:ascii="Times New Roman" w:cs="Times New Roman" w:eastAsia="Times New Roman" w:hAnsi="Times New Roman"/>
                <w:b w:val="0"/>
                <w:bCs w:val="0"/>
                <w:i w:val="0"/>
                <w:iCs w:val="0"/>
                <w:color w:val="0f172a"/>
                <w:sz w:val="18"/>
                <w:szCs w:val="18"/>
                <w:rtl w:val="0"/>
              </w:rPr>
              <w:t xml:space="preserve"> Capítulos I (Definición del Proyecto) y II (Relevamiento del Mercado), con formulación del problema (H-01 a H-06), objetivos de ingeniería y matriz de 35 fuentes bibliográficas.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2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Artefacto de Software</w:t>
            </w:r>
            <w:r w:rsidDel="00000000" w:rsidR="00000000" w:rsidRPr="00000000">
              <w:rPr>
                <w:rtl w:val="0"/>
              </w:rPr>
            </w:r>
          </w:p>
        </w:tc>
        <w:tc>
          <w:tcPr/>
          <w:p w:rsidR="00000000" w:rsidDel="00000000" w:rsidP="00000000" w:rsidRDefault="00000000" w:rsidRPr="00000000" w14:paraId="0000042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Prototipo v0:</w:t>
            </w:r>
            <w:r w:rsidDel="00000000" w:rsidR="00000000" w:rsidRPr="00000000">
              <w:rPr>
                <w:rFonts w:ascii="Times New Roman" w:cs="Times New Roman" w:eastAsia="Times New Roman" w:hAnsi="Times New Roman"/>
                <w:b w:val="0"/>
                <w:bCs w:val="0"/>
                <w:i w:val="0"/>
                <w:iCs w:val="0"/>
                <w:color w:val="0f172a"/>
                <w:sz w:val="18"/>
                <w:szCs w:val="18"/>
                <w:rtl w:val="0"/>
              </w:rPr>
              <w:t xml:space="preserve"> Maqueta interactiva navegable de baja fidelidad en wireframes interactivos (sin persistencia en base de datos).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2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Condición de Aceptación Comprobable</w:t>
            </w:r>
            <w:r w:rsidDel="00000000" w:rsidR="00000000" w:rsidRPr="00000000">
              <w:rPr>
                <w:rtl w:val="0"/>
              </w:rPr>
            </w:r>
          </w:p>
        </w:tc>
        <w:tc>
          <w:tcPr/>
          <w:p w:rsidR="00000000" w:rsidDel="00000000" w:rsidP="00000000" w:rsidRDefault="00000000" w:rsidRPr="00000000" w14:paraId="0000042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1. Recorrido navegable completo de la interfaz entre los 4 estados de pantalla (inicialización de misión, configuración de parámetros, cálculo preliminar y panel de resultados) sin excepciones de enrutamiento.</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8"/>
                <w:szCs w:val="18"/>
                <w:rtl w:val="0"/>
              </w:rPr>
              <w:t xml:space="preserve">2. Conformidad técnica del diagnóstico empírico acreditada mediante el Acta de Reunión Técnica con el referente del CTA-UNLP (14/09/2026).</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2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Criterio de Decisión</w:t>
            </w:r>
            <w:r w:rsidDel="00000000" w:rsidR="00000000" w:rsidRPr="00000000">
              <w:rPr>
                <w:rtl w:val="0"/>
              </w:rPr>
            </w:r>
          </w:p>
        </w:tc>
        <w:tc>
          <w:tcPr/>
          <w:p w:rsidR="00000000" w:rsidDel="00000000" w:rsidP="00000000" w:rsidRDefault="00000000" w:rsidRPr="00000000" w14:paraId="0000043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Aceptado / Rechazado:</w:t>
            </w:r>
            <w:r w:rsidDel="00000000" w:rsidR="00000000" w:rsidRPr="00000000">
              <w:rPr>
                <w:rFonts w:ascii="Times New Roman" w:cs="Times New Roman" w:eastAsia="Times New Roman" w:hAnsi="Times New Roman"/>
                <w:b w:val="0"/>
                <w:bCs w:val="0"/>
                <w:i w:val="0"/>
                <w:iCs w:val="0"/>
                <w:color w:val="0f172a"/>
                <w:sz w:val="18"/>
                <w:szCs w:val="18"/>
                <w:rtl w:val="0"/>
              </w:rPr>
              <w:t xml:space="preserve"> Requiere navegación fluida integral y firma de acta técnica de conformidad.</w:t>
            </w:r>
            <w:r w:rsidDel="00000000" w:rsidR="00000000" w:rsidRPr="00000000">
              <w:rPr>
                <w:rtl w:val="0"/>
              </w:rPr>
            </w:r>
          </w:p>
        </w:tc>
      </w:tr>
    </w:tbl>
    <w:p w:rsidR="00000000" w:rsidDel="00000000" w:rsidP="00000000" w:rsidRDefault="00000000" w:rsidRPr="00000000" w14:paraId="00000431">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de Entregable · Sprint 2: Formulación y Prototipo v1 (Walking Skeleton)</w:t>
      </w:r>
      <w:r w:rsidDel="00000000" w:rsidR="00000000" w:rsidRPr="00000000">
        <w:rPr>
          <w:rtl w:val="0"/>
        </w:rPr>
      </w:r>
    </w:p>
    <w:tbl>
      <w:tblPr>
        <w:tblStyle w:val="Table45"/>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43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43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del Entregable</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3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Iteración y Período</w:t>
            </w:r>
            <w:r w:rsidDel="00000000" w:rsidR="00000000" w:rsidRPr="00000000">
              <w:rPr>
                <w:rtl w:val="0"/>
              </w:rPr>
            </w:r>
          </w:p>
        </w:tc>
        <w:tc>
          <w:tcPr/>
          <w:p w:rsidR="00000000" w:rsidDel="00000000" w:rsidP="00000000" w:rsidRDefault="00000000" w:rsidRPr="00000000" w14:paraId="0000043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Sprint 2</w:t>
            </w:r>
            <w:r w:rsidDel="00000000" w:rsidR="00000000" w:rsidRPr="00000000">
              <w:rPr>
                <w:rFonts w:ascii="Times New Roman" w:cs="Times New Roman" w:eastAsia="Times New Roman" w:hAnsi="Times New Roman"/>
                <w:b w:val="0"/>
                <w:bCs w:val="0"/>
                <w:i w:val="0"/>
                <w:iCs w:val="0"/>
                <w:color w:val="0f172a"/>
                <w:sz w:val="18"/>
                <w:szCs w:val="18"/>
                <w:rtl w:val="0"/>
              </w:rPr>
              <w:t xml:space="preserve"> · Semanas 5 a 8</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3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Entregable Documental</w:t>
            </w:r>
            <w:r w:rsidDel="00000000" w:rsidR="00000000" w:rsidRPr="00000000">
              <w:rPr>
                <w:rtl w:val="0"/>
              </w:rPr>
            </w:r>
          </w:p>
        </w:tc>
        <w:tc>
          <w:tcPr/>
          <w:p w:rsidR="00000000" w:rsidDel="00000000" w:rsidP="00000000" w:rsidRDefault="00000000" w:rsidRPr="00000000" w14:paraId="0000043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Documento de Formulación y Especificación:</w:t>
            </w:r>
            <w:r w:rsidDel="00000000" w:rsidR="00000000" w:rsidRPr="00000000">
              <w:rPr>
                <w:rFonts w:ascii="Times New Roman" w:cs="Times New Roman" w:eastAsia="Times New Roman" w:hAnsi="Times New Roman"/>
                <w:b w:val="0"/>
                <w:bCs w:val="0"/>
                <w:i w:val="0"/>
                <w:iCs w:val="0"/>
                <w:color w:val="0f172a"/>
                <w:sz w:val="18"/>
                <w:szCs w:val="18"/>
                <w:rtl w:val="0"/>
              </w:rPr>
              <w:t xml:space="preserve"> Capítulos III (Entorno y Dominio con Catálogo de Requisitos III.5), IV (Modelo de Negocios), V (Planificación) y X (Recursos del Proyecto).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3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Artefacto de Software</w:t>
            </w:r>
            <w:r w:rsidDel="00000000" w:rsidR="00000000" w:rsidRPr="00000000">
              <w:rPr>
                <w:rtl w:val="0"/>
              </w:rPr>
            </w:r>
          </w:p>
        </w:tc>
        <w:tc>
          <w:tcPr/>
          <w:p w:rsidR="00000000" w:rsidDel="00000000" w:rsidP="00000000" w:rsidRDefault="00000000" w:rsidRPr="00000000" w14:paraId="0000043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Prototipo v1:</w:t>
            </w:r>
            <w:r w:rsidDel="00000000" w:rsidR="00000000" w:rsidRPr="00000000">
              <w:rPr>
                <w:rFonts w:ascii="Times New Roman" w:cs="Times New Roman" w:eastAsia="Times New Roman" w:hAnsi="Times New Roman"/>
                <w:b w:val="0"/>
                <w:bCs w:val="0"/>
                <w:i w:val="0"/>
                <w:iCs w:val="0"/>
                <w:color w:val="0f172a"/>
                <w:sz w:val="18"/>
                <w:szCs w:val="18"/>
                <w:rtl w:val="0"/>
              </w:rPr>
              <w:t xml:space="preserve"> Esqueleto arquitectónico ejecutable (</w:t>
            </w:r>
            <w:r w:rsidDel="00000000" w:rsidR="00000000" w:rsidRPr="00000000">
              <w:rPr>
                <w:rFonts w:ascii="Times New Roman" w:cs="Times New Roman" w:eastAsia="Times New Roman" w:hAnsi="Times New Roman"/>
                <w:b w:val="0"/>
                <w:bCs w:val="0"/>
                <w:i w:val="1"/>
                <w:iCs w:val="1"/>
                <w:color w:val="0f172a"/>
                <w:sz w:val="18"/>
                <w:szCs w:val="18"/>
                <w:rtl w:val="0"/>
              </w:rPr>
              <w:t xml:space="preserve">walking skeleton</w:t>
            </w:r>
            <w:r w:rsidDel="00000000" w:rsidR="00000000" w:rsidRPr="00000000">
              <w:rPr>
                <w:rFonts w:ascii="Times New Roman" w:cs="Times New Roman" w:eastAsia="Times New Roman" w:hAnsi="Times New Roman"/>
                <w:b w:val="0"/>
                <w:bCs w:val="0"/>
                <w:i w:val="0"/>
                <w:iCs w:val="0"/>
                <w:color w:val="0f172a"/>
                <w:sz w:val="18"/>
                <w:szCs w:val="18"/>
                <w:rtl w:val="0"/>
              </w:rPr>
              <w:t xml:space="preserve">), etiquetado en git como </w:t>
            </w:r>
            <w:r w:rsidDel="00000000" w:rsidR="00000000" w:rsidRPr="00000000">
              <w:rPr>
                <w:rFonts w:ascii="Consolas" w:cs="Consolas" w:eastAsia="Consolas" w:hAnsi="Consolas"/>
                <w:b w:val="0"/>
                <w:bCs w:val="0"/>
                <w:i w:val="0"/>
                <w:iCs w:val="0"/>
                <w:color w:val="334155"/>
                <w:sz w:val="15"/>
                <w:szCs w:val="15"/>
                <w:rtl w:val="0"/>
              </w:rPr>
              <w:t xml:space="preserve">v1</w:t>
            </w:r>
            <w:r w:rsidDel="00000000" w:rsidR="00000000" w:rsidRPr="00000000">
              <w:rPr>
                <w:rFonts w:ascii="Times New Roman" w:cs="Times New Roman" w:eastAsia="Times New Roman" w:hAnsi="Times New Roman"/>
                <w:b w:val="0"/>
                <w:bCs w:val="0"/>
                <w:i w:val="0"/>
                <w:iCs w:val="0"/>
                <w:color w:val="0f172a"/>
                <w:sz w:val="18"/>
                <w:szCs w:val="18"/>
                <w:rtl w:val="0"/>
              </w:rPr>
              <w:t xml:space="preserve"> en el repositorio privado institucional.</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3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Condición de Aceptación Comprobable</w:t>
            </w:r>
            <w:r w:rsidDel="00000000" w:rsidR="00000000" w:rsidRPr="00000000">
              <w:rPr>
                <w:rtl w:val="0"/>
              </w:rPr>
            </w:r>
          </w:p>
        </w:tc>
        <w:tc>
          <w:tcPr/>
          <w:p w:rsidR="00000000" w:rsidDel="00000000" w:rsidP="00000000" w:rsidRDefault="00000000" w:rsidRPr="00000000" w14:paraId="0000043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1. Clonado y despliegue autónomo en máquina limpia siguiendo exclusivamente el archivo </w:t>
            </w:r>
            <w:r w:rsidDel="00000000" w:rsidR="00000000" w:rsidRPr="00000000">
              <w:rPr>
                <w:rFonts w:ascii="Consolas" w:cs="Consolas" w:eastAsia="Consolas" w:hAnsi="Consolas"/>
                <w:b w:val="0"/>
                <w:bCs w:val="0"/>
                <w:i w:val="0"/>
                <w:iCs w:val="0"/>
                <w:color w:val="334155"/>
                <w:sz w:val="15"/>
                <w:szCs w:val="15"/>
                <w:rtl w:val="0"/>
              </w:rPr>
              <w:t xml:space="preserve">README.md</w:t>
            </w:r>
            <w:r w:rsidDel="00000000" w:rsidR="00000000" w:rsidRPr="00000000">
              <w:rPr>
                <w:rFonts w:ascii="Times New Roman" w:cs="Times New Roman" w:eastAsia="Times New Roman" w:hAnsi="Times New Roman"/>
                <w:b w:val="0"/>
                <w:bCs w:val="0"/>
                <w:i w:val="0"/>
                <w:iCs w:val="0"/>
                <w:color w:val="0f172a"/>
                <w:sz w:val="18"/>
                <w:szCs w:val="18"/>
                <w:rtl w:val="0"/>
              </w:rPr>
              <w:t xml:space="preserve"> (Docker o entorno virtual Python con </w:t>
            </w:r>
            <w:r w:rsidDel="00000000" w:rsidR="00000000" w:rsidRPr="00000000">
              <w:rPr>
                <w:rFonts w:ascii="Consolas" w:cs="Consolas" w:eastAsia="Consolas" w:hAnsi="Consolas"/>
                <w:b w:val="0"/>
                <w:bCs w:val="0"/>
                <w:i w:val="0"/>
                <w:iCs w:val="0"/>
                <w:color w:val="334155"/>
                <w:sz w:val="15"/>
                <w:szCs w:val="15"/>
                <w:rtl w:val="0"/>
              </w:rPr>
              <w:t xml:space="preserve">.env.example</w:t>
            </w:r>
            <w:r w:rsidDel="00000000" w:rsidR="00000000" w:rsidRPr="00000000">
              <w:rPr>
                <w:rFonts w:ascii="Times New Roman" w:cs="Times New Roman" w:eastAsia="Times New Roman" w:hAnsi="Times New Roman"/>
                <w:b w:val="0"/>
                <w:bCs w:val="0"/>
                <w:i w:val="0"/>
                <w:iCs w:val="0"/>
                <w:color w:val="0f172a"/>
                <w:sz w:val="18"/>
                <w:szCs w:val="18"/>
                <w:rtl w:val="0"/>
              </w:rPr>
              <w:t xml:space="preserve">).</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8"/>
                <w:szCs w:val="18"/>
                <w:rtl w:val="0"/>
              </w:rPr>
              <w:t xml:space="preserve">2. Ejecución del caso vertical completo del subsistema EPS: captura de h = 500 km, C_bat = 40 Wh, P_ecl = 15 W; derivación analítica de período orbital kepleriano y DoD = 22,13%; validación determinística de RN-01 (DoD &lt;= 30%, estado «Conforme»); persistencia efectiva en tabla relacional y retorno a vista en tiempo &lt;= 1,5 s (RNF-01). Ante P_ecl = 25 W (DoD = 36,88%), la lógica debe bloquear la persistencia y emitir alerta de violación de RN-01.</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8"/>
                <w:szCs w:val="18"/>
                <w:rtl w:val="0"/>
              </w:rPr>
              <w:t xml:space="preserve">3. Flujo de integración continua (CI/CD en GitHub Actions) en verde (</w:t>
            </w:r>
            <w:r w:rsidDel="00000000" w:rsidR="00000000" w:rsidRPr="00000000">
              <w:rPr>
                <w:rFonts w:ascii="Times New Roman" w:cs="Times New Roman" w:eastAsia="Times New Roman" w:hAnsi="Times New Roman"/>
                <w:b w:val="0"/>
                <w:bCs w:val="0"/>
                <w:i w:val="1"/>
                <w:iCs w:val="1"/>
                <w:color w:val="0f172a"/>
                <w:sz w:val="18"/>
                <w:szCs w:val="18"/>
                <w:rtl w:val="0"/>
              </w:rPr>
              <w:t xml:space="preserve">green build</w:t>
            </w:r>
            <w:r w:rsidDel="00000000" w:rsidR="00000000" w:rsidRPr="00000000">
              <w:rPr>
                <w:rFonts w:ascii="Times New Roman" w:cs="Times New Roman" w:eastAsia="Times New Roman" w:hAnsi="Times New Roman"/>
                <w:b w:val="0"/>
                <w:bCs w:val="0"/>
                <w:i w:val="0"/>
                <w:iCs w:val="0"/>
                <w:color w:val="0f172a"/>
                <w:sz w:val="18"/>
                <w:szCs w:val="18"/>
                <w:rtl w:val="0"/>
              </w:rPr>
              <w:t xml:space="preserve">), ejecutando al menos una prueba unitaria automatizada sobre RN-01 con cero fallas de compilación.</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3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Criterio de Decisión</w:t>
            </w:r>
            <w:r w:rsidDel="00000000" w:rsidR="00000000" w:rsidRPr="00000000">
              <w:rPr>
                <w:rtl w:val="0"/>
              </w:rPr>
            </w:r>
          </w:p>
        </w:tc>
        <w:tc>
          <w:tcPr/>
          <w:p w:rsidR="00000000" w:rsidDel="00000000" w:rsidP="00000000" w:rsidRDefault="00000000" w:rsidRPr="00000000" w14:paraId="0000043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Aceptado / Rechazado:</w:t>
            </w:r>
            <w:r w:rsidDel="00000000" w:rsidR="00000000" w:rsidRPr="00000000">
              <w:rPr>
                <w:rFonts w:ascii="Times New Roman" w:cs="Times New Roman" w:eastAsia="Times New Roman" w:hAnsi="Times New Roman"/>
                <w:b w:val="0"/>
                <w:bCs w:val="0"/>
                <w:i w:val="0"/>
                <w:iCs w:val="0"/>
                <w:color w:val="0f172a"/>
                <w:sz w:val="18"/>
                <w:szCs w:val="18"/>
                <w:rtl w:val="0"/>
              </w:rPr>
              <w:t xml:space="preserve"> La imposibilidad de clonar, compilar o ejecutar el caso vertical determina el rechazo automático del entregable.</w:t>
            </w:r>
            <w:r w:rsidDel="00000000" w:rsidR="00000000" w:rsidRPr="00000000">
              <w:rPr>
                <w:rtl w:val="0"/>
              </w:rPr>
            </w:r>
          </w:p>
        </w:tc>
      </w:tr>
    </w:tbl>
    <w:p w:rsidR="00000000" w:rsidDel="00000000" w:rsidP="00000000" w:rsidRDefault="00000000" w:rsidRPr="00000000" w14:paraId="0000043E">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de Entregable · Sprint 3: Arquitectura, Motor EPS y Prototipo v2</w:t>
      </w:r>
      <w:r w:rsidDel="00000000" w:rsidR="00000000" w:rsidRPr="00000000">
        <w:rPr>
          <w:rtl w:val="0"/>
        </w:rPr>
      </w:r>
    </w:p>
    <w:tbl>
      <w:tblPr>
        <w:tblStyle w:val="Table46"/>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43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44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del Entregable</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4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Iteración y Período</w:t>
            </w:r>
            <w:r w:rsidDel="00000000" w:rsidR="00000000" w:rsidRPr="00000000">
              <w:rPr>
                <w:rtl w:val="0"/>
              </w:rPr>
            </w:r>
          </w:p>
        </w:tc>
        <w:tc>
          <w:tcPr/>
          <w:p w:rsidR="00000000" w:rsidDel="00000000" w:rsidP="00000000" w:rsidRDefault="00000000" w:rsidRPr="00000000" w14:paraId="0000044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Sprint 3</w:t>
            </w:r>
            <w:r w:rsidDel="00000000" w:rsidR="00000000" w:rsidRPr="00000000">
              <w:rPr>
                <w:rFonts w:ascii="Times New Roman" w:cs="Times New Roman" w:eastAsia="Times New Roman" w:hAnsi="Times New Roman"/>
                <w:b w:val="0"/>
                <w:bCs w:val="0"/>
                <w:i w:val="0"/>
                <w:iCs w:val="0"/>
                <w:color w:val="0f172a"/>
                <w:sz w:val="18"/>
                <w:szCs w:val="18"/>
                <w:rtl w:val="0"/>
              </w:rPr>
              <w:t xml:space="preserve"> · Semanas 9 a 11</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4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Entregable Documental</w:t>
            </w:r>
            <w:r w:rsidDel="00000000" w:rsidR="00000000" w:rsidRPr="00000000">
              <w:rPr>
                <w:rtl w:val="0"/>
              </w:rPr>
            </w:r>
          </w:p>
        </w:tc>
        <w:tc>
          <w:tcPr/>
          <w:p w:rsidR="00000000" w:rsidDel="00000000" w:rsidP="00000000" w:rsidRDefault="00000000" w:rsidRPr="00000000" w14:paraId="0000044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Documento de Arquitectura y Calidad:</w:t>
            </w:r>
            <w:r w:rsidDel="00000000" w:rsidR="00000000" w:rsidRPr="00000000">
              <w:rPr>
                <w:rFonts w:ascii="Times New Roman" w:cs="Times New Roman" w:eastAsia="Times New Roman" w:hAnsi="Times New Roman"/>
                <w:b w:val="0"/>
                <w:bCs w:val="0"/>
                <w:i w:val="0"/>
                <w:iCs w:val="0"/>
                <w:color w:val="0f172a"/>
                <w:sz w:val="18"/>
                <w:szCs w:val="18"/>
                <w:rtl w:val="0"/>
              </w:rPr>
              <w:t xml:space="preserve"> Capítulos VI (Arquitectura y Diseño Detallado del Sistema) y IX (Estrategia de Verificación y Pruebas) en versión de trabajo de ingeniería.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4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Artefacto de Software</w:t>
            </w:r>
            <w:r w:rsidDel="00000000" w:rsidR="00000000" w:rsidRPr="00000000">
              <w:rPr>
                <w:rtl w:val="0"/>
              </w:rPr>
            </w:r>
          </w:p>
        </w:tc>
        <w:tc>
          <w:tcPr/>
          <w:p w:rsidR="00000000" w:rsidDel="00000000" w:rsidP="00000000" w:rsidRDefault="00000000" w:rsidRPr="00000000" w14:paraId="0000044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Prototipo v2:</w:t>
            </w:r>
            <w:r w:rsidDel="00000000" w:rsidR="00000000" w:rsidRPr="00000000">
              <w:rPr>
                <w:rFonts w:ascii="Times New Roman" w:cs="Times New Roman" w:eastAsia="Times New Roman" w:hAnsi="Times New Roman"/>
                <w:b w:val="0"/>
                <w:bCs w:val="0"/>
                <w:i w:val="0"/>
                <w:iCs w:val="0"/>
                <w:color w:val="0f172a"/>
                <w:sz w:val="18"/>
                <w:szCs w:val="18"/>
                <w:rtl w:val="0"/>
              </w:rPr>
              <w:t xml:space="preserve"> Primer incremento funcional integrado con motor determinístico EPS y suite de pruebas automatizadas, etiquetado en git como </w:t>
            </w:r>
            <w:r w:rsidDel="00000000" w:rsidR="00000000" w:rsidRPr="00000000">
              <w:rPr>
                <w:rFonts w:ascii="Consolas" w:cs="Consolas" w:eastAsia="Consolas" w:hAnsi="Consolas"/>
                <w:b w:val="0"/>
                <w:bCs w:val="0"/>
                <w:i w:val="0"/>
                <w:iCs w:val="0"/>
                <w:color w:val="334155"/>
                <w:sz w:val="15"/>
                <w:szCs w:val="15"/>
                <w:rtl w:val="0"/>
              </w:rPr>
              <w:t xml:space="preserve">v2</w:t>
            </w:r>
            <w:r w:rsidDel="00000000" w:rsidR="00000000" w:rsidRPr="00000000">
              <w:rPr>
                <w:rFonts w:ascii="Times New Roman" w:cs="Times New Roman" w:eastAsia="Times New Roman" w:hAnsi="Times New Roman"/>
                <w:b w:val="0"/>
                <w:bCs w:val="0"/>
                <w:i w:val="0"/>
                <w:iCs w:val="0"/>
                <w:color w:val="0f172a"/>
                <w:sz w:val="18"/>
                <w:szCs w:val="18"/>
                <w:rtl w:val="0"/>
              </w:rPr>
              <w:t xml:space="preserve">.</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4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Condición de Aceptación Comprobable</w:t>
            </w:r>
            <w:r w:rsidDel="00000000" w:rsidR="00000000" w:rsidRPr="00000000">
              <w:rPr>
                <w:rtl w:val="0"/>
              </w:rPr>
            </w:r>
          </w:p>
        </w:tc>
        <w:tc>
          <w:tcPr/>
          <w:p w:rsidR="00000000" w:rsidDel="00000000" w:rsidP="00000000" w:rsidRDefault="00000000" w:rsidRPr="00000000" w14:paraId="0000044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1. Ingesta y parseo automático de un archivo ICD estructurado (JSON/CSV) de 20 parámetros de componentes en tiempo &lt;= 2,0 s con cero pérdida de atributos obligatorios (RF-01).</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8"/>
                <w:szCs w:val="18"/>
                <w:rtl w:val="0"/>
              </w:rPr>
              <w:t xml:space="preserve">2. Ejecución del balance de potencia fotovoltaica a fin de vida útil (P_sa,EOL &gt;= 20%, RF-04 / RN-02) y verificación de envolvente dimensional y masa para factores de forma 1U, 3U y 6U según Cal Poly CDS REV 14.1 (RF-05 / RN-05).</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8"/>
                <w:szCs w:val="18"/>
                <w:rtl w:val="0"/>
              </w:rPr>
              <w:t xml:space="preserve">3. Detección automática y alerta de incompatibilidad eléctrica de bus entre subsistemas declarados en los ICDs (RF-08).</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8"/>
                <w:szCs w:val="18"/>
                <w:rtl w:val="0"/>
              </w:rPr>
              <w:t xml:space="preserve">4. Suite de pruebas automatizadas unitarias y de integración ejecutada en el canal de CI con cobertura &gt;= 80% sobre el módulo determinístico, comprobando error analítico &lt;= 1,0% frente a casos patrón de New SMAD y ECSS (RNF-02).</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4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Criterio de Decisión</w:t>
            </w:r>
            <w:r w:rsidDel="00000000" w:rsidR="00000000" w:rsidRPr="00000000">
              <w:rPr>
                <w:rtl w:val="0"/>
              </w:rPr>
            </w:r>
          </w:p>
        </w:tc>
        <w:tc>
          <w:tcPr/>
          <w:p w:rsidR="00000000" w:rsidDel="00000000" w:rsidP="00000000" w:rsidRDefault="00000000" w:rsidRPr="00000000" w14:paraId="0000044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Aceptado / Rechazado:</w:t>
            </w:r>
            <w:r w:rsidDel="00000000" w:rsidR="00000000" w:rsidRPr="00000000">
              <w:rPr>
                <w:rFonts w:ascii="Times New Roman" w:cs="Times New Roman" w:eastAsia="Times New Roman" w:hAnsi="Times New Roman"/>
                <w:b w:val="0"/>
                <w:bCs w:val="0"/>
                <w:i w:val="0"/>
                <w:iCs w:val="0"/>
                <w:color w:val="0f172a"/>
                <w:sz w:val="18"/>
                <w:szCs w:val="18"/>
                <w:rtl w:val="0"/>
              </w:rPr>
              <w:t xml:space="preserve"> Requiere cobertura &gt;= 80% en pruebas automatizadas y resolución analítica conforme a tolerancia normativa.</w:t>
            </w:r>
            <w:r w:rsidDel="00000000" w:rsidR="00000000" w:rsidRPr="00000000">
              <w:rPr>
                <w:rtl w:val="0"/>
              </w:rPr>
            </w:r>
          </w:p>
        </w:tc>
      </w:tr>
    </w:tbl>
    <w:p w:rsidR="00000000" w:rsidDel="00000000" w:rsidP="00000000" w:rsidRDefault="00000000" w:rsidRPr="00000000" w14:paraId="0000044B">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de Entregable · Sprint 4: Informe Consolidado, Prototipo v3 y Versión Congelada</w:t>
      </w:r>
      <w:r w:rsidDel="00000000" w:rsidR="00000000" w:rsidRPr="00000000">
        <w:rPr>
          <w:rtl w:val="0"/>
        </w:rPr>
      </w:r>
    </w:p>
    <w:tbl>
      <w:tblPr>
        <w:tblStyle w:val="Table47"/>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44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44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del Entregable</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4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Iteración y Período</w:t>
            </w:r>
            <w:r w:rsidDel="00000000" w:rsidR="00000000" w:rsidRPr="00000000">
              <w:rPr>
                <w:rtl w:val="0"/>
              </w:rPr>
            </w:r>
          </w:p>
        </w:tc>
        <w:tc>
          <w:tcPr/>
          <w:p w:rsidR="00000000" w:rsidDel="00000000" w:rsidP="00000000" w:rsidRDefault="00000000" w:rsidRPr="00000000" w14:paraId="0000044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Sprint 4</w:t>
            </w:r>
            <w:r w:rsidDel="00000000" w:rsidR="00000000" w:rsidRPr="00000000">
              <w:rPr>
                <w:rFonts w:ascii="Times New Roman" w:cs="Times New Roman" w:eastAsia="Times New Roman" w:hAnsi="Times New Roman"/>
                <w:b w:val="0"/>
                <w:bCs w:val="0"/>
                <w:i w:val="0"/>
                <w:iCs w:val="0"/>
                <w:color w:val="0f172a"/>
                <w:sz w:val="18"/>
                <w:szCs w:val="18"/>
                <w:rtl w:val="0"/>
              </w:rPr>
              <w:t xml:space="preserve"> · Semanas 12 a 14</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5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Entregable Documental</w:t>
            </w:r>
            <w:r w:rsidDel="00000000" w:rsidR="00000000" w:rsidRPr="00000000">
              <w:rPr>
                <w:rtl w:val="0"/>
              </w:rPr>
            </w:r>
          </w:p>
        </w:tc>
        <w:tc>
          <w:tcPr/>
          <w:p w:rsidR="00000000" w:rsidDel="00000000" w:rsidP="00000000" w:rsidRDefault="00000000" w:rsidRPr="00000000" w14:paraId="0000045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Informe Consolidado Final:</w:t>
            </w:r>
            <w:r w:rsidDel="00000000" w:rsidR="00000000" w:rsidRPr="00000000">
              <w:rPr>
                <w:rFonts w:ascii="Times New Roman" w:cs="Times New Roman" w:eastAsia="Times New Roman" w:hAnsi="Times New Roman"/>
                <w:b w:val="0"/>
                <w:bCs w:val="0"/>
                <w:i w:val="0"/>
                <w:iCs w:val="0"/>
                <w:color w:val="0f172a"/>
                <w:sz w:val="18"/>
                <w:szCs w:val="18"/>
                <w:rtl w:val="0"/>
              </w:rPr>
              <w:t xml:space="preserve"> Capítulos VII, VIII, XI, XII, XIII, Conclusiones, Bibliografía completa bajo normas APA 7.ª edición y Anexos técnicos, con Capítulos VI y IX consolidados.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5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Artefacto de Software</w:t>
            </w:r>
            <w:r w:rsidDel="00000000" w:rsidR="00000000" w:rsidRPr="00000000">
              <w:rPr>
                <w:rtl w:val="0"/>
              </w:rPr>
            </w:r>
          </w:p>
        </w:tc>
        <w:tc>
          <w:tcPr/>
          <w:p w:rsidR="00000000" w:rsidDel="00000000" w:rsidP="00000000" w:rsidRDefault="00000000" w:rsidRPr="00000000" w14:paraId="0000045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Prototipo v3 y Versión Congelada:</w:t>
            </w:r>
            <w:r w:rsidDel="00000000" w:rsidR="00000000" w:rsidRPr="00000000">
              <w:rPr>
                <w:rFonts w:ascii="Times New Roman" w:cs="Times New Roman" w:eastAsia="Times New Roman" w:hAnsi="Times New Roman"/>
                <w:b w:val="0"/>
                <w:bCs w:val="0"/>
                <w:i w:val="0"/>
                <w:iCs w:val="0"/>
                <w:color w:val="0f172a"/>
                <w:sz w:val="18"/>
                <w:szCs w:val="18"/>
                <w:rtl w:val="0"/>
              </w:rPr>
              <w:t xml:space="preserve"> Incremento con arnés cognitivo integrado (semana 13) y versión funcional congelada demostrada en vivo (</w:t>
            </w:r>
            <w:r w:rsidDel="00000000" w:rsidR="00000000" w:rsidRPr="00000000">
              <w:rPr>
                <w:rFonts w:ascii="Times New Roman" w:cs="Times New Roman" w:eastAsia="Times New Roman" w:hAnsi="Times New Roman"/>
                <w:b w:val="0"/>
                <w:bCs w:val="0"/>
                <w:i w:val="1"/>
                <w:iCs w:val="1"/>
                <w:color w:val="0f172a"/>
                <w:sz w:val="18"/>
                <w:szCs w:val="18"/>
                <w:rtl w:val="0"/>
              </w:rPr>
              <w:t xml:space="preserve">Code Freeze</w:t>
            </w:r>
            <w:r w:rsidDel="00000000" w:rsidR="00000000" w:rsidRPr="00000000">
              <w:rPr>
                <w:rFonts w:ascii="Times New Roman" w:cs="Times New Roman" w:eastAsia="Times New Roman" w:hAnsi="Times New Roman"/>
                <w:b w:val="0"/>
                <w:bCs w:val="0"/>
                <w:i w:val="0"/>
                <w:iCs w:val="0"/>
                <w:color w:val="0f172a"/>
                <w:sz w:val="18"/>
                <w:szCs w:val="18"/>
                <w:rtl w:val="0"/>
              </w:rPr>
              <w:t xml:space="preserve">, etiqueta git </w:t>
            </w:r>
            <w:r w:rsidDel="00000000" w:rsidR="00000000" w:rsidRPr="00000000">
              <w:rPr>
                <w:rFonts w:ascii="Consolas" w:cs="Consolas" w:eastAsia="Consolas" w:hAnsi="Consolas"/>
                <w:b w:val="0"/>
                <w:bCs w:val="0"/>
                <w:i w:val="0"/>
                <w:iCs w:val="0"/>
                <w:color w:val="334155"/>
                <w:sz w:val="15"/>
                <w:szCs w:val="15"/>
                <w:rtl w:val="0"/>
              </w:rPr>
              <w:t xml:space="preserve">v-final</w:t>
            </w:r>
            <w:r w:rsidDel="00000000" w:rsidR="00000000" w:rsidRPr="00000000">
              <w:rPr>
                <w:rFonts w:ascii="Times New Roman" w:cs="Times New Roman" w:eastAsia="Times New Roman" w:hAnsi="Times New Roman"/>
                <w:b w:val="0"/>
                <w:bCs w:val="0"/>
                <w:i w:val="0"/>
                <w:iCs w:val="0"/>
                <w:color w:val="0f172a"/>
                <w:sz w:val="18"/>
                <w:szCs w:val="18"/>
                <w:rtl w:val="0"/>
              </w:rPr>
              <w:t xml:space="preserve">) en semana 14.</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5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Condición de Aceptación Comprobable</w:t>
            </w:r>
            <w:r w:rsidDel="00000000" w:rsidR="00000000" w:rsidRPr="00000000">
              <w:rPr>
                <w:rtl w:val="0"/>
              </w:rPr>
            </w:r>
          </w:p>
        </w:tc>
        <w:tc>
          <w:tcPr/>
          <w:p w:rsidR="00000000" w:rsidDel="00000000" w:rsidP="00000000" w:rsidRDefault="00000000" w:rsidRPr="00000000" w14:paraId="0000045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1. Operación del Chat de Hilo Digital con doble agente adaptativo, alternando dinámicamente el estilo de respuesta según el índice NASA-TLX (&gt;= 60: sintético/tarjetas; &lt; 60: explicativo analítico) en tiempo &lt;= 2,5 s (RF-12 / RN-07).</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8"/>
                <w:szCs w:val="18"/>
                <w:rtl w:val="0"/>
              </w:rPr>
              <w:t xml:space="preserve">2. Recuperación contextual certificada de directrices normativas (RAG) con indicación de estándar, sección y página sin alucinaciones (RF-06).</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8"/>
                <w:szCs w:val="18"/>
                <w:rtl w:val="0"/>
              </w:rPr>
              <w:t xml:space="preserve">3. Registro inmutable en </w:t>
            </w:r>
            <w:r w:rsidDel="00000000" w:rsidR="00000000" w:rsidRPr="00000000">
              <w:rPr>
                <w:rFonts w:ascii="Consolas" w:cs="Consolas" w:eastAsia="Consolas" w:hAnsi="Consolas"/>
                <w:b w:val="0"/>
                <w:bCs w:val="0"/>
                <w:i w:val="0"/>
                <w:iCs w:val="0"/>
                <w:color w:val="334155"/>
                <w:sz w:val="15"/>
                <w:szCs w:val="15"/>
                <w:rtl w:val="0"/>
              </w:rPr>
              <w:t xml:space="preserve">DecisionLog</w:t>
            </w:r>
            <w:r w:rsidDel="00000000" w:rsidR="00000000" w:rsidRPr="00000000">
              <w:rPr>
                <w:rFonts w:ascii="Times New Roman" w:cs="Times New Roman" w:eastAsia="Times New Roman" w:hAnsi="Times New Roman"/>
                <w:b w:val="0"/>
                <w:bCs w:val="0"/>
                <w:i w:val="0"/>
                <w:iCs w:val="0"/>
                <w:color w:val="0f172a"/>
                <w:sz w:val="18"/>
                <w:szCs w:val="18"/>
                <w:rtl w:val="0"/>
              </w:rPr>
              <w:t xml:space="preserve"> con firma criptográfica SHA-256 por cada alteración de parámetros asociada al </w:t>
            </w:r>
            <w:r w:rsidDel="00000000" w:rsidR="00000000" w:rsidRPr="00000000">
              <w:rPr>
                <w:rFonts w:ascii="Consolas" w:cs="Consolas" w:eastAsia="Consolas" w:hAnsi="Consolas"/>
                <w:b w:val="0"/>
                <w:bCs w:val="0"/>
                <w:i w:val="0"/>
                <w:iCs w:val="0"/>
                <w:color w:val="334155"/>
                <w:sz w:val="15"/>
                <w:szCs w:val="15"/>
                <w:rtl w:val="0"/>
              </w:rPr>
              <w:t xml:space="preserve">PerfilIngeniero</w:t>
            </w:r>
            <w:r w:rsidDel="00000000" w:rsidR="00000000" w:rsidRPr="00000000">
              <w:rPr>
                <w:rFonts w:ascii="Times New Roman" w:cs="Times New Roman" w:eastAsia="Times New Roman" w:hAnsi="Times New Roman"/>
                <w:b w:val="0"/>
                <w:bCs w:val="0"/>
                <w:i w:val="0"/>
                <w:iCs w:val="0"/>
                <w:color w:val="0f172a"/>
                <w:sz w:val="18"/>
                <w:szCs w:val="18"/>
                <w:rtl w:val="0"/>
              </w:rPr>
              <w:t xml:space="preserve"> (RF-09, RNF-05).</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8"/>
                <w:szCs w:val="18"/>
                <w:rtl w:val="0"/>
              </w:rPr>
              <w:t xml:space="preserve">4. Protocolo psicométrico NASA-TLX operativo con matriz de 15 comparaciones pareadas y derivación del índice global TLX_global (RF-07).</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8"/>
                <w:szCs w:val="18"/>
                <w:rtl w:val="0"/>
              </w:rPr>
              <w:t xml:space="preserve">5. Reporte de validación experimental con ingenieros del CTA-UNLP certificando una reducción media &gt;= 15 puntos en NASA-TLX y puntaje SUS &gt;= 75 puntos (RNF-03).</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8"/>
                <w:szCs w:val="18"/>
                <w:rtl w:val="0"/>
              </w:rPr>
              <w:t xml:space="preserve">6. Demostración en vivo en máquina limpia desde contenedor Docker sin conexión externa obligatoria (RNF-04).</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5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Criterio de Decisión</w:t>
            </w:r>
            <w:r w:rsidDel="00000000" w:rsidR="00000000" w:rsidRPr="00000000">
              <w:rPr>
                <w:rtl w:val="0"/>
              </w:rPr>
            </w:r>
          </w:p>
        </w:tc>
        <w:tc>
          <w:tcPr/>
          <w:p w:rsidR="00000000" w:rsidDel="00000000" w:rsidP="00000000" w:rsidRDefault="00000000" w:rsidRPr="00000000" w14:paraId="0000045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Aceptado / Rechazado:</w:t>
            </w:r>
            <w:r w:rsidDel="00000000" w:rsidR="00000000" w:rsidRPr="00000000">
              <w:rPr>
                <w:rFonts w:ascii="Times New Roman" w:cs="Times New Roman" w:eastAsia="Times New Roman" w:hAnsi="Times New Roman"/>
                <w:b w:val="0"/>
                <w:bCs w:val="0"/>
                <w:i w:val="0"/>
                <w:iCs w:val="0"/>
                <w:color w:val="0f172a"/>
                <w:sz w:val="18"/>
                <w:szCs w:val="18"/>
                <w:rtl w:val="0"/>
              </w:rPr>
              <w:t xml:space="preserve"> Requiere aprobación de la reducción psicométrica empírica y ejecución en vivo de la versión congelada.</w:t>
            </w:r>
            <w:r w:rsidDel="00000000" w:rsidR="00000000" w:rsidRPr="00000000">
              <w:rPr>
                <w:rtl w:val="0"/>
              </w:rPr>
            </w:r>
          </w:p>
        </w:tc>
      </w:tr>
    </w:tbl>
    <w:p w:rsidR="00000000" w:rsidDel="00000000" w:rsidP="00000000" w:rsidRDefault="00000000" w:rsidRPr="00000000" w14:paraId="00000458">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Nota. Elaboración propia sobre los estándares ISO/IEC/IEEE 29148:2018, ECSS-E-ST-20C Rev. 1, CubeSat Design Specification REV 14.1 y la planificación de iteraciones del proyecto.</w:t>
      </w:r>
      <w:r w:rsidDel="00000000" w:rsidR="00000000" w:rsidRPr="00000000">
        <w:rPr>
          <w:rtl w:val="0"/>
        </w:rPr>
      </w:r>
    </w:p>
    <w:p w:rsidR="00000000" w:rsidDel="00000000" w:rsidP="00000000" w:rsidRDefault="00000000" w:rsidRPr="00000000" w14:paraId="00000459">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Criterio de Aceptación Binaria y Condiciones de Rechazo</w:t>
      </w:r>
      <w:r w:rsidDel="00000000" w:rsidR="00000000" w:rsidRPr="00000000">
        <w:rPr>
          <w:rtl w:val="0"/>
        </w:rPr>
      </w:r>
    </w:p>
    <w:p w:rsidR="00000000" w:rsidDel="00000000" w:rsidP="00000000" w:rsidRDefault="00000000" w:rsidRPr="00000000" w14:paraId="0000045A">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En concordancia con las mejores prácticas de aseguramiento de calidad de software (Humble &amp; Farley, 2010; Pressman, 2011), los entregables de cada etapa no admiten estados intermedios ni aprobaciones condicionales. La evaluación de cada incremento aplica una regla de decisión binaria:</w:t>
      </w:r>
      <w:r w:rsidDel="00000000" w:rsidR="00000000" w:rsidRPr="00000000">
        <w:rPr>
          <w:rtl w:val="0"/>
        </w:rPr>
      </w:r>
    </w:p>
    <w:p w:rsidR="00000000" w:rsidDel="00000000" w:rsidP="00000000" w:rsidRDefault="00000000" w:rsidRPr="00000000" w14:paraId="0000045B">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 </w:t>
      </w:r>
      <w:r w:rsidDel="00000000" w:rsidR="00000000" w:rsidRPr="00000000">
        <w:rPr>
          <w:rFonts w:ascii="Times New Roman" w:cs="Times New Roman" w:eastAsia="Times New Roman" w:hAnsi="Times New Roman"/>
          <w:b w:val="1"/>
          <w:bCs w:val="1"/>
          <w:i w:val="0"/>
          <w:iCs w:val="0"/>
          <w:color w:val="0f172a"/>
          <w:sz w:val="23"/>
          <w:szCs w:val="23"/>
          <w:rtl w:val="0"/>
        </w:rPr>
        <w:t xml:space="preserve">Condición de Aceptación Plena:</w:t>
      </w:r>
      <w:r w:rsidDel="00000000" w:rsidR="00000000" w:rsidRPr="00000000">
        <w:rPr>
          <w:rFonts w:ascii="Times New Roman" w:cs="Times New Roman" w:eastAsia="Times New Roman" w:hAnsi="Times New Roman"/>
          <w:b w:val="0"/>
          <w:bCs w:val="0"/>
          <w:i w:val="0"/>
          <w:iCs w:val="0"/>
          <w:color w:val="0f172a"/>
          <w:sz w:val="23"/>
          <w:szCs w:val="23"/>
          <w:rtl w:val="0"/>
        </w:rPr>
        <w:t xml:space="preserve"> El entregable se declara «Aceptado» únicamente si satisface el 100% de los procedimientos comprobables estipulados en la Tabla V.2 para la etapa correspondiente, registrando la evidencia de ejecución en el canal de integración continua y en la bitácora técnica de desarrollo.</w:t>
      </w:r>
      <w:r w:rsidDel="00000000" w:rsidR="00000000" w:rsidRPr="00000000">
        <w:rPr>
          <w:rtl w:val="0"/>
        </w:rPr>
      </w:r>
    </w:p>
    <w:p w:rsidR="00000000" w:rsidDel="00000000" w:rsidP="00000000" w:rsidRDefault="00000000" w:rsidRPr="00000000" w14:paraId="0000045C">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2. </w:t>
      </w:r>
      <w:r w:rsidDel="00000000" w:rsidR="00000000" w:rsidRPr="00000000">
        <w:rPr>
          <w:rFonts w:ascii="Times New Roman" w:cs="Times New Roman" w:eastAsia="Times New Roman" w:hAnsi="Times New Roman"/>
          <w:b w:val="1"/>
          <w:bCs w:val="1"/>
          <w:i w:val="0"/>
          <w:iCs w:val="0"/>
          <w:color w:val="0f172a"/>
          <w:sz w:val="23"/>
          <w:szCs w:val="23"/>
          <w:rtl w:val="0"/>
        </w:rPr>
        <w:t xml:space="preserve">Condiciones de Rechazo Inmediato:</w:t>
      </w:r>
      <w:r w:rsidDel="00000000" w:rsidR="00000000" w:rsidRPr="00000000">
        <w:rPr>
          <w:rFonts w:ascii="Times New Roman" w:cs="Times New Roman" w:eastAsia="Times New Roman" w:hAnsi="Times New Roman"/>
          <w:b w:val="0"/>
          <w:bCs w:val="0"/>
          <w:i w:val="0"/>
          <w:iCs w:val="0"/>
          <w:color w:val="0f172a"/>
          <w:sz w:val="23"/>
          <w:szCs w:val="23"/>
          <w:rtl w:val="0"/>
        </w:rPr>
        <w:t xml:space="preserve"> El entregable se declara formalmente «Rechazado» ante la concurrencia de cualquiera de las siguientes circunstancias:</w:t>
      </w:r>
      <w:r w:rsidDel="00000000" w:rsidR="00000000" w:rsidRPr="00000000">
        <w:rPr>
          <w:rtl w:val="0"/>
        </w:rPr>
      </w:r>
    </w:p>
    <w:p w:rsidR="00000000" w:rsidDel="00000000" w:rsidP="00000000" w:rsidRDefault="00000000" w:rsidRPr="00000000" w14:paraId="00000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Falla o detención en la compilación, instalación de dependencias o ejecución del canal de construcción automatizado (CI/CD en estado rojo).</w:t>
      </w:r>
      <w:r w:rsidDel="00000000" w:rsidR="00000000" w:rsidRPr="00000000">
        <w:rPr>
          <w:rtl w:val="0"/>
        </w:rPr>
      </w:r>
    </w:p>
    <w:p w:rsidR="00000000" w:rsidDel="00000000" w:rsidP="00000000" w:rsidRDefault="00000000" w:rsidRPr="00000000" w14:paraId="00000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Inconsistencia o ausencia de instrucciones reproducibles en el archivo </w:t>
      </w: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README.md</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requiriendo conocimiento tácito o intervención manual no documentada del autor para ejecutar el software.</w:t>
      </w:r>
      <w:r w:rsidDel="00000000" w:rsidR="00000000" w:rsidRPr="00000000">
        <w:rPr>
          <w:rtl w:val="0"/>
        </w:rPr>
      </w:r>
    </w:p>
    <w:p w:rsidR="00000000" w:rsidDel="00000000" w:rsidP="00000000" w:rsidRDefault="00000000" w:rsidRPr="00000000" w14:paraId="000004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Incumplimiento de las tolerancias cuantitativas normativas (ej. error de cálculo kepleriano &gt; 1,0% o tiempo de respuesta de balance &gt; 1,5 s).</w:t>
      </w:r>
      <w:r w:rsidDel="00000000" w:rsidR="00000000" w:rsidRPr="00000000">
        <w:rPr>
          <w:rtl w:val="0"/>
        </w:rPr>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Discrepancia no justificada entre el Catálogo de Requisitos formalizado y las capacidades comprobables en el prototipo de la iteración.</w:t>
      </w:r>
      <w:r w:rsidDel="00000000" w:rsidR="00000000" w:rsidRPr="00000000">
        <w:rPr>
          <w:rtl w:val="0"/>
        </w:rPr>
      </w:r>
    </w:p>
    <w:p w:rsidR="00000000" w:rsidDel="00000000" w:rsidP="00000000" w:rsidRDefault="00000000" w:rsidRPr="00000000" w14:paraId="00000461">
      <w:pPr>
        <w:pStyle w:val="Heading2"/>
        <w:keepNext w:val="1"/>
        <w:rPr/>
      </w:pPr>
      <w:r w:rsidDel="00000000" w:rsidR="00000000" w:rsidRPr="00000000">
        <w:rPr>
          <w:rFonts w:ascii="Times New Roman" w:cs="Times New Roman" w:eastAsia="Times New Roman" w:hAnsi="Times New Roman"/>
          <w:b w:val="1"/>
          <w:bCs w:val="1"/>
          <w:i w:val="0"/>
          <w:iCs w:val="0"/>
          <w:color w:val="0f172a"/>
          <w:sz w:val="28"/>
          <w:szCs w:val="28"/>
          <w:rtl w:val="0"/>
        </w:rPr>
        <w:t xml:space="preserve">V.3 · Organización del Equipo</w:t>
      </w:r>
      <w:r w:rsidDel="00000000" w:rsidR="00000000" w:rsidRPr="00000000">
        <w:rPr>
          <w:rtl w:val="0"/>
        </w:rPr>
      </w:r>
    </w:p>
    <w:p w:rsidR="00000000" w:rsidDel="00000000" w:rsidP="00000000" w:rsidRDefault="00000000" w:rsidRPr="00000000" w14:paraId="00000462">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La ejecución técnica y la formulación metodológica del proyecto CODI se desarrollan bajo la modalidad de autoría individual a cargo del estudiante Santiago Agustín Núñez, quien asume de manera integral los roles de ingeniería de software, arquitectura de sistemas y modelado del dominio aeroespacial, con una dedicación sostenida de 19 horas semanales a lo largo de diez semanas de trabajo efectivo (190 horas de capacidad total). Esta organización unipersonal se encuadra en las disposiciones del Reglamento General del Proyecto Integrador Final (Resolución Rectoral N.º 97/23, Art. 16.º) y se calibra para absorber las 184 horas-persona de demanda técnica requeridas por el Producto Mínimo Viable (Capítulo III, Sec. III.3; Capítulo X, Sec. X.1), garantizando una holgura operativa de 6 horas para contingencias. Se evalúa y descarta formalmente la asignación de responsabilidades a colaboradores externos o estructuras ficticias de equipo, estableciendo en su lugar un protocolo formal y jerárquico de toma de decisiones técnicas que supedita cualquier criterio de diseño a estándares espaciales (ECSS, NASA) y actas de validación con el socio de diseño (Bitácora, 29/09/2026; Anexo II).</w:t>
      </w:r>
      <w:r w:rsidDel="00000000" w:rsidR="00000000" w:rsidRPr="00000000">
        <w:rPr>
          <w:rtl w:val="0"/>
        </w:rPr>
      </w:r>
    </w:p>
    <w:p w:rsidR="00000000" w:rsidDel="00000000" w:rsidP="00000000" w:rsidRDefault="00000000" w:rsidRPr="00000000" w14:paraId="00000463">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Declaración de Trabajo Individual y Asignación de Roles</w:t>
      </w:r>
      <w:r w:rsidDel="00000000" w:rsidR="00000000" w:rsidRPr="00000000">
        <w:rPr>
          <w:rtl w:val="0"/>
        </w:rPr>
      </w:r>
    </w:p>
    <w:p w:rsidR="00000000" w:rsidDel="00000000" w:rsidP="00000000" w:rsidRDefault="00000000" w:rsidRPr="00000000" w14:paraId="00000464">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Conforme a las pautas de organización para proyectos de graduación unipersonales, la totalidad de los componentes arquitectónicos, módulos de software y apartados documentales del informe son planificados, implementados, verificados y defendidos por el autor. La Tabla V.3 especifica la distribución de roles asumidos, el compromiso horario semanal y el desglose de componentes técnicos bajo su responsabilidad directa.</w:t>
      </w:r>
      <w:r w:rsidDel="00000000" w:rsidR="00000000" w:rsidRPr="00000000">
        <w:rPr>
          <w:rtl w:val="0"/>
        </w:rPr>
      </w:r>
    </w:p>
    <w:p w:rsidR="00000000" w:rsidDel="00000000" w:rsidP="00000000" w:rsidRDefault="00000000" w:rsidRPr="00000000" w14:paraId="00000465">
      <w:pPr>
        <w:spacing w:after="80" w:before="0" w:line="480" w:lineRule="auto"/>
        <w:ind w:firstLine="720"/>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Tabla V.3: Estructura de Roles, Dedicación y Asignación de Componentes del Proyecto CODI</w:t>
      </w:r>
      <w:r w:rsidDel="00000000" w:rsidR="00000000" w:rsidRPr="00000000">
        <w:rPr>
          <w:rtl w:val="0"/>
        </w:rPr>
      </w:r>
    </w:p>
    <w:tbl>
      <w:tblPr>
        <w:tblStyle w:val="Table48"/>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2126"/>
        <w:gridCol w:w="2126"/>
        <w:gridCol w:w="2126"/>
        <w:gridCol w:w="2126"/>
        <w:tblGridChange w:id="0">
          <w:tblGrid>
            <w:gridCol w:w="2126"/>
            <w:gridCol w:w="2126"/>
            <w:gridCol w:w="2126"/>
            <w:gridCol w:w="2126"/>
          </w:tblGrid>
        </w:tblGridChange>
      </w:tblGrid>
      <w:tr>
        <w:trPr>
          <w:cantSplit w:val="1"/>
          <w:tblHeader w:val="1"/>
        </w:trPr>
        <w:tc>
          <w:tcPr>
            <w:shd w:fill="f1f5f9" w:val="clear"/>
          </w:tcPr>
          <w:p w:rsidR="00000000" w:rsidDel="00000000" w:rsidP="00000000" w:rsidRDefault="00000000" w:rsidRPr="00000000" w14:paraId="0000046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Integrante</w:t>
            </w:r>
            <w:r w:rsidDel="00000000" w:rsidR="00000000" w:rsidRPr="00000000">
              <w:rPr>
                <w:rtl w:val="0"/>
              </w:rPr>
            </w:r>
          </w:p>
        </w:tc>
        <w:tc>
          <w:tcPr>
            <w:shd w:fill="f1f5f9" w:val="clear"/>
          </w:tcPr>
          <w:p w:rsidR="00000000" w:rsidDel="00000000" w:rsidP="00000000" w:rsidRDefault="00000000" w:rsidRPr="00000000" w14:paraId="0000046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Rol y Responsabilidades Asumidas</w:t>
            </w:r>
            <w:r w:rsidDel="00000000" w:rsidR="00000000" w:rsidRPr="00000000">
              <w:rPr>
                <w:rtl w:val="0"/>
              </w:rPr>
            </w:r>
          </w:p>
        </w:tc>
        <w:tc>
          <w:tcPr>
            <w:shd w:fill="f1f5f9" w:val="clear"/>
          </w:tcPr>
          <w:p w:rsidR="00000000" w:rsidDel="00000000" w:rsidP="00000000" w:rsidRDefault="00000000" w:rsidRPr="00000000" w14:paraId="0000046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Horas Semanales Comprometidas</w:t>
            </w:r>
            <w:r w:rsidDel="00000000" w:rsidR="00000000" w:rsidRPr="00000000">
              <w:rPr>
                <w:rtl w:val="0"/>
              </w:rPr>
            </w:r>
          </w:p>
        </w:tc>
        <w:tc>
          <w:tcPr>
            <w:shd w:fill="f1f5f9" w:val="clear"/>
          </w:tcPr>
          <w:p w:rsidR="00000000" w:rsidDel="00000000" w:rsidP="00000000" w:rsidRDefault="00000000" w:rsidRPr="00000000" w14:paraId="0000046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Apartados y Componentes Técnicos a Cargo</w:t>
            </w:r>
            <w:r w:rsidDel="00000000" w:rsidR="00000000" w:rsidRPr="00000000">
              <w:rPr>
                <w:rtl w:val="0"/>
              </w:rPr>
            </w:r>
          </w:p>
        </w:tc>
      </w:tr>
      <w:tr>
        <w:trPr>
          <w:cantSplit w:val="1"/>
          <w:tblHeader w:val="0"/>
        </w:trPr>
        <w:tc>
          <w:tcPr/>
          <w:p w:rsidR="00000000" w:rsidDel="00000000" w:rsidP="00000000" w:rsidRDefault="00000000" w:rsidRPr="00000000" w14:paraId="0000046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Santiago Agustín Núñez</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8"/>
                <w:szCs w:val="18"/>
                <w:rtl w:val="0"/>
              </w:rPr>
              <w:t xml:space="preserve">Estudiante de Ingeniería en Sistemas de Información</w:t>
            </w:r>
            <w:r w:rsidDel="00000000" w:rsidR="00000000" w:rsidRPr="00000000">
              <w:rPr>
                <w:rtl w:val="0"/>
              </w:rPr>
              <w:br w:type="textWrapping"/>
            </w:r>
          </w:p>
        </w:tc>
        <w:tc>
          <w:tcPr/>
          <w:p w:rsidR="00000000" w:rsidDel="00000000" w:rsidP="00000000" w:rsidRDefault="00000000" w:rsidRPr="00000000" w14:paraId="0000046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 Ingeniero de Sistemas de Información:</w:t>
            </w:r>
            <w:r w:rsidDel="00000000" w:rsidR="00000000" w:rsidRPr="00000000">
              <w:rPr>
                <w:rFonts w:ascii="Times New Roman" w:cs="Times New Roman" w:eastAsia="Times New Roman" w:hAnsi="Times New Roman"/>
                <w:b w:val="0"/>
                <w:bCs w:val="0"/>
                <w:i w:val="0"/>
                <w:iCs w:val="0"/>
                <w:color w:val="0f172a"/>
                <w:sz w:val="18"/>
                <w:szCs w:val="18"/>
                <w:rtl w:val="0"/>
              </w:rPr>
              <w:t xml:space="preserve"> Relevamiento empírico de campo, especificación de requisitos (RF/RNF), modelado de reglas de negocio y análisis de modelo de negocios.</w:t>
            </w:r>
            <w:r w:rsidDel="00000000" w:rsidR="00000000" w:rsidRPr="00000000">
              <w:rPr>
                <w:rtl w:val="0"/>
              </w:rPr>
              <w:br w:type="textWrapping"/>
            </w:r>
            <w:r w:rsidDel="00000000" w:rsidR="00000000" w:rsidRPr="00000000">
              <w:rPr>
                <w:rFonts w:ascii="Times New Roman" w:cs="Times New Roman" w:eastAsia="Times New Roman" w:hAnsi="Times New Roman"/>
                <w:b w:val="1"/>
                <w:bCs w:val="1"/>
                <w:i w:val="0"/>
                <w:iCs w:val="0"/>
                <w:color w:val="0f172a"/>
                <w:sz w:val="18"/>
                <w:szCs w:val="18"/>
                <w:rtl w:val="0"/>
              </w:rPr>
              <w:t xml:space="preserve">• Arquitecto de Software:</w:t>
            </w:r>
            <w:r w:rsidDel="00000000" w:rsidR="00000000" w:rsidRPr="00000000">
              <w:rPr>
                <w:rFonts w:ascii="Times New Roman" w:cs="Times New Roman" w:eastAsia="Times New Roman" w:hAnsi="Times New Roman"/>
                <w:b w:val="0"/>
                <w:bCs w:val="0"/>
                <w:i w:val="0"/>
                <w:iCs w:val="0"/>
                <w:color w:val="0f172a"/>
                <w:sz w:val="18"/>
                <w:szCs w:val="18"/>
                <w:rtl w:val="0"/>
              </w:rPr>
              <w:t xml:space="preserve"> Diseño de la arquitectura de microservicios contenerizada en Docker, esquema de base de datos relacional y configuración del pipeline de CI/CD.</w:t>
            </w:r>
            <w:r w:rsidDel="00000000" w:rsidR="00000000" w:rsidRPr="00000000">
              <w:rPr>
                <w:rtl w:val="0"/>
              </w:rPr>
              <w:br w:type="textWrapping"/>
            </w:r>
            <w:r w:rsidDel="00000000" w:rsidR="00000000" w:rsidRPr="00000000">
              <w:rPr>
                <w:rFonts w:ascii="Times New Roman" w:cs="Times New Roman" w:eastAsia="Times New Roman" w:hAnsi="Times New Roman"/>
                <w:b w:val="1"/>
                <w:bCs w:val="1"/>
                <w:i w:val="0"/>
                <w:iCs w:val="0"/>
                <w:color w:val="0f172a"/>
                <w:sz w:val="18"/>
                <w:szCs w:val="18"/>
                <w:rtl w:val="0"/>
              </w:rPr>
              <w:t xml:space="preserve">• Desarrollador Full-Stack:</w:t>
            </w:r>
            <w:r w:rsidDel="00000000" w:rsidR="00000000" w:rsidRPr="00000000">
              <w:rPr>
                <w:rFonts w:ascii="Times New Roman" w:cs="Times New Roman" w:eastAsia="Times New Roman" w:hAnsi="Times New Roman"/>
                <w:b w:val="0"/>
                <w:bCs w:val="0"/>
                <w:i w:val="0"/>
                <w:iCs w:val="0"/>
                <w:color w:val="0f172a"/>
                <w:sz w:val="18"/>
                <w:szCs w:val="18"/>
                <w:rtl w:val="0"/>
              </w:rPr>
              <w:t xml:space="preserve"> Implementación del motor analítico determinístico EPS en Python, arnés cognitivo RAG, chat adaptativo de doble agente y módulo psicométrico NASA-TLX.</w:t>
            </w:r>
            <w:r w:rsidDel="00000000" w:rsidR="00000000" w:rsidRPr="00000000">
              <w:rPr>
                <w:rtl w:val="0"/>
              </w:rPr>
              <w:br w:type="textWrapping"/>
            </w:r>
            <w:r w:rsidDel="00000000" w:rsidR="00000000" w:rsidRPr="00000000">
              <w:rPr>
                <w:rFonts w:ascii="Times New Roman" w:cs="Times New Roman" w:eastAsia="Times New Roman" w:hAnsi="Times New Roman"/>
                <w:b w:val="1"/>
                <w:bCs w:val="1"/>
                <w:i w:val="0"/>
                <w:iCs w:val="0"/>
                <w:color w:val="0f172a"/>
                <w:sz w:val="18"/>
                <w:szCs w:val="18"/>
                <w:rtl w:val="0"/>
              </w:rPr>
              <w:t xml:space="preserve">• Aseguramiento de Calidad:</w:t>
            </w:r>
            <w:r w:rsidDel="00000000" w:rsidR="00000000" w:rsidRPr="00000000">
              <w:rPr>
                <w:rFonts w:ascii="Times New Roman" w:cs="Times New Roman" w:eastAsia="Times New Roman" w:hAnsi="Times New Roman"/>
                <w:b w:val="0"/>
                <w:bCs w:val="0"/>
                <w:i w:val="0"/>
                <w:iCs w:val="0"/>
                <w:color w:val="0f172a"/>
                <w:sz w:val="18"/>
                <w:szCs w:val="18"/>
                <w:rtl w:val="0"/>
              </w:rPr>
              <w:t xml:space="preserve"> Construcción y ejecución de suites de pruebas unitarias, de integración y pruebas de usabilidad con usuarios de dominio.</w:t>
            </w:r>
            <w:r w:rsidDel="00000000" w:rsidR="00000000" w:rsidRPr="00000000">
              <w:rPr>
                <w:rtl w:val="0"/>
              </w:rPr>
            </w:r>
          </w:p>
        </w:tc>
        <w:tc>
          <w:tcPr/>
          <w:p w:rsidR="00000000" w:rsidDel="00000000" w:rsidP="00000000" w:rsidRDefault="00000000" w:rsidRPr="00000000" w14:paraId="0000046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19 h / semana</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8"/>
                <w:szCs w:val="18"/>
                <w:rtl w:val="0"/>
              </w:rPr>
              <w:t xml:space="preserve">(10 semanas = 190 h de presupuesto efectivo)</w:t>
            </w:r>
            <w:r w:rsidDel="00000000" w:rsidR="00000000" w:rsidRPr="00000000">
              <w:rPr>
                <w:rtl w:val="0"/>
              </w:rPr>
            </w:r>
          </w:p>
        </w:tc>
        <w:tc>
          <w:tcPr/>
          <w:p w:rsidR="00000000" w:rsidDel="00000000" w:rsidP="00000000" w:rsidRDefault="00000000" w:rsidRPr="00000000" w14:paraId="0000046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Componentes Documentales:</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8"/>
                <w:szCs w:val="18"/>
                <w:rtl w:val="0"/>
              </w:rPr>
              <w:t xml:space="preserve">Capítulos I a XIII del informe técnico consolidado, Catálogo normativo de 18 Requisitos (Apartado III.5), Glosario del Dominio, Matriz de Trazabilidad bidireccional y Anexos técnicos.</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1"/>
                <w:bCs w:val="1"/>
                <w:i w:val="0"/>
                <w:iCs w:val="0"/>
                <w:color w:val="0f172a"/>
                <w:sz w:val="18"/>
                <w:szCs w:val="18"/>
                <w:rtl w:val="0"/>
              </w:rPr>
              <w:t xml:space="preserve">Componentes de Software:</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8"/>
                <w:szCs w:val="18"/>
                <w:rtl w:val="0"/>
              </w:rPr>
              <w:t xml:space="preserve">1. Repositorio institucional y flujo de integración continua en GitHub Actions (</w:t>
            </w:r>
            <w:r w:rsidDel="00000000" w:rsidR="00000000" w:rsidRPr="00000000">
              <w:rPr>
                <w:rFonts w:ascii="Consolas" w:cs="Consolas" w:eastAsia="Consolas" w:hAnsi="Consolas"/>
                <w:b w:val="0"/>
                <w:bCs w:val="0"/>
                <w:i w:val="0"/>
                <w:iCs w:val="0"/>
                <w:color w:val="334155"/>
                <w:sz w:val="15"/>
                <w:szCs w:val="15"/>
                <w:rtl w:val="0"/>
              </w:rPr>
              <w:t xml:space="preserve">.github/workflows/ci.yml</w:t>
            </w:r>
            <w:r w:rsidDel="00000000" w:rsidR="00000000" w:rsidRPr="00000000">
              <w:rPr>
                <w:rFonts w:ascii="Times New Roman" w:cs="Times New Roman" w:eastAsia="Times New Roman" w:hAnsi="Times New Roman"/>
                <w:b w:val="0"/>
                <w:bCs w:val="0"/>
                <w:i w:val="0"/>
                <w:iCs w:val="0"/>
                <w:color w:val="0f172a"/>
                <w:sz w:val="18"/>
                <w:szCs w:val="18"/>
                <w:rtl w:val="0"/>
              </w:rPr>
              <w:t xml:space="preserve">).</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8"/>
                <w:szCs w:val="18"/>
                <w:rtl w:val="0"/>
              </w:rPr>
              <w:t xml:space="preserve">2. Capa de persistencia relacional (</w:t>
            </w:r>
            <w:r w:rsidDel="00000000" w:rsidR="00000000" w:rsidRPr="00000000">
              <w:rPr>
                <w:rFonts w:ascii="Consolas" w:cs="Consolas" w:eastAsia="Consolas" w:hAnsi="Consolas"/>
                <w:b w:val="0"/>
                <w:bCs w:val="0"/>
                <w:i w:val="0"/>
                <w:iCs w:val="0"/>
                <w:color w:val="334155"/>
                <w:sz w:val="15"/>
                <w:szCs w:val="15"/>
                <w:rtl w:val="0"/>
              </w:rPr>
              <w:t xml:space="preserve">Mision</w:t>
            </w:r>
            <w:r w:rsidDel="00000000" w:rsidR="00000000" w:rsidRPr="00000000">
              <w:rPr>
                <w:rFonts w:ascii="Times New Roman" w:cs="Times New Roman" w:eastAsia="Times New Roman" w:hAnsi="Times New Roman"/>
                <w:b w:val="0"/>
                <w:bCs w:val="0"/>
                <w:i w:val="0"/>
                <w:iCs w:val="0"/>
                <w:color w:val="0f172a"/>
                <w:sz w:val="18"/>
                <w:szCs w:val="18"/>
                <w:rtl w:val="0"/>
              </w:rPr>
              <w:t xml:space="preserve">, </w:t>
            </w:r>
            <w:r w:rsidDel="00000000" w:rsidR="00000000" w:rsidRPr="00000000">
              <w:rPr>
                <w:rFonts w:ascii="Consolas" w:cs="Consolas" w:eastAsia="Consolas" w:hAnsi="Consolas"/>
                <w:b w:val="0"/>
                <w:bCs w:val="0"/>
                <w:i w:val="0"/>
                <w:iCs w:val="0"/>
                <w:color w:val="334155"/>
                <w:sz w:val="15"/>
                <w:szCs w:val="15"/>
                <w:rtl w:val="0"/>
              </w:rPr>
              <w:t xml:space="preserve">SubsistemaEPS</w:t>
            </w:r>
            <w:r w:rsidDel="00000000" w:rsidR="00000000" w:rsidRPr="00000000">
              <w:rPr>
                <w:rFonts w:ascii="Times New Roman" w:cs="Times New Roman" w:eastAsia="Times New Roman" w:hAnsi="Times New Roman"/>
                <w:b w:val="0"/>
                <w:bCs w:val="0"/>
                <w:i w:val="0"/>
                <w:iCs w:val="0"/>
                <w:color w:val="0f172a"/>
                <w:sz w:val="18"/>
                <w:szCs w:val="18"/>
                <w:rtl w:val="0"/>
              </w:rPr>
              <w:t xml:space="preserve">, </w:t>
            </w:r>
            <w:r w:rsidDel="00000000" w:rsidR="00000000" w:rsidRPr="00000000">
              <w:rPr>
                <w:rFonts w:ascii="Consolas" w:cs="Consolas" w:eastAsia="Consolas" w:hAnsi="Consolas"/>
                <w:b w:val="0"/>
                <w:bCs w:val="0"/>
                <w:i w:val="0"/>
                <w:iCs w:val="0"/>
                <w:color w:val="334155"/>
                <w:sz w:val="15"/>
                <w:szCs w:val="15"/>
                <w:rtl w:val="0"/>
              </w:rPr>
              <w:t xml:space="preserve">DecisionLog</w:t>
            </w:r>
            <w:r w:rsidDel="00000000" w:rsidR="00000000" w:rsidRPr="00000000">
              <w:rPr>
                <w:rFonts w:ascii="Times New Roman" w:cs="Times New Roman" w:eastAsia="Times New Roman" w:hAnsi="Times New Roman"/>
                <w:b w:val="0"/>
                <w:bCs w:val="0"/>
                <w:i w:val="0"/>
                <w:iCs w:val="0"/>
                <w:color w:val="0f172a"/>
                <w:sz w:val="18"/>
                <w:szCs w:val="18"/>
                <w:rtl w:val="0"/>
              </w:rPr>
              <w:t xml:space="preserve">).</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8"/>
                <w:szCs w:val="18"/>
                <w:rtl w:val="0"/>
              </w:rPr>
              <w:t xml:space="preserve">3. Motor determinístico EPS: cálculo kepleriano, balance de potencia, profundidad de descarga (RN-01), degradación solar EOL (RN-02) y envolvente Cal Poly (RN-05).</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8"/>
                <w:szCs w:val="18"/>
                <w:rtl w:val="0"/>
              </w:rPr>
              <w:t xml:space="preserve">4. Parser de documentos ICD estructurados en JSON/CSV (RF-01).</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8"/>
                <w:szCs w:val="18"/>
                <w:rtl w:val="0"/>
              </w:rPr>
              <w:t xml:space="preserve">5. Arnés cognitivo con RAG normativo (RF-06), Chat adaptativo (RF-12, RN-07) y evaluación NASA-TLX (RF-07).</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8"/>
                <w:szCs w:val="18"/>
                <w:rtl w:val="0"/>
              </w:rPr>
              <w:t xml:space="preserve">6. Pista inmutable de auditoría con firma SHA-256 (</w:t>
            </w:r>
            <w:r w:rsidDel="00000000" w:rsidR="00000000" w:rsidRPr="00000000">
              <w:rPr>
                <w:rFonts w:ascii="Consolas" w:cs="Consolas" w:eastAsia="Consolas" w:hAnsi="Consolas"/>
                <w:b w:val="0"/>
                <w:bCs w:val="0"/>
                <w:i w:val="0"/>
                <w:iCs w:val="0"/>
                <w:color w:val="334155"/>
                <w:sz w:val="15"/>
                <w:szCs w:val="15"/>
                <w:rtl w:val="0"/>
              </w:rPr>
              <w:t xml:space="preserve">PerfilIngeniero</w:t>
            </w:r>
            <w:r w:rsidDel="00000000" w:rsidR="00000000" w:rsidRPr="00000000">
              <w:rPr>
                <w:rFonts w:ascii="Times New Roman" w:cs="Times New Roman" w:eastAsia="Times New Roman" w:hAnsi="Times New Roman"/>
                <w:b w:val="0"/>
                <w:bCs w:val="0"/>
                <w:i w:val="0"/>
                <w:iCs w:val="0"/>
                <w:color w:val="0f172a"/>
                <w:sz w:val="18"/>
                <w:szCs w:val="18"/>
                <w:rtl w:val="0"/>
              </w:rPr>
              <w:t xml:space="preserve">).</w:t>
            </w:r>
            <w:r w:rsidDel="00000000" w:rsidR="00000000" w:rsidRPr="00000000">
              <w:rPr>
                <w:rtl w:val="0"/>
              </w:rPr>
            </w:r>
          </w:p>
        </w:tc>
      </w:tr>
    </w:tbl>
    <w:p w:rsidR="00000000" w:rsidDel="00000000" w:rsidP="00000000" w:rsidRDefault="00000000" w:rsidRPr="00000000" w14:paraId="0000046E">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Nota. Dedicación semanal y presupuesto horario en estricta coherencia con las declaraciones del Capítulo III (Sec. III.3) y los Capítulos V y X.</w:t>
      </w:r>
      <w:r w:rsidDel="00000000" w:rsidR="00000000" w:rsidRPr="00000000">
        <w:rPr>
          <w:rtl w:val="0"/>
        </w:rPr>
      </w:r>
    </w:p>
    <w:p w:rsidR="00000000" w:rsidDel="00000000" w:rsidP="00000000" w:rsidRDefault="00000000" w:rsidRPr="00000000" w14:paraId="0000046F">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Protocolo Jerárquico de Toma de Decisiones Técnicas y Resolución de Discrepancias</w:t>
      </w:r>
      <w:r w:rsidDel="00000000" w:rsidR="00000000" w:rsidRPr="00000000">
        <w:rPr>
          <w:rtl w:val="0"/>
        </w:rPr>
      </w:r>
    </w:p>
    <w:p w:rsidR="00000000" w:rsidDel="00000000" w:rsidP="00000000" w:rsidRDefault="00000000" w:rsidRPr="00000000" w14:paraId="00000470">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En un proyecto de autoría individual, la regla de resolución de desacuerdos no se dirime mediante votación entre pares, sino a través de un </w:t>
      </w:r>
      <w:r w:rsidDel="00000000" w:rsidR="00000000" w:rsidRPr="00000000">
        <w:rPr>
          <w:rFonts w:ascii="Times New Roman" w:cs="Times New Roman" w:eastAsia="Times New Roman" w:hAnsi="Times New Roman"/>
          <w:b w:val="1"/>
          <w:bCs w:val="1"/>
          <w:i w:val="0"/>
          <w:iCs w:val="0"/>
          <w:color w:val="0f172a"/>
          <w:sz w:val="24"/>
          <w:szCs w:val="24"/>
          <w:rtl w:val="0"/>
        </w:rPr>
        <w:t xml:space="preserve">protocolo normativo de gobernanza técnica</w:t>
      </w:r>
      <w:r w:rsidDel="00000000" w:rsidR="00000000" w:rsidRPr="00000000">
        <w:rPr>
          <w:rFonts w:ascii="Times New Roman" w:cs="Times New Roman" w:eastAsia="Times New Roman" w:hAnsi="Times New Roman"/>
          <w:b w:val="0"/>
          <w:bCs w:val="0"/>
          <w:i w:val="0"/>
          <w:iCs w:val="0"/>
          <w:color w:val="0f172a"/>
          <w:sz w:val="24"/>
          <w:szCs w:val="24"/>
          <w:rtl w:val="0"/>
        </w:rPr>
        <w:t xml:space="preserve"> diseñado para erradicar la arbitrariedad subjetiva del desarrollador y asegurar la validez formal del sistema frente a los estándares de la ingeniería aeroespacial. Ante cualquier disyuntiva de arquitectura, delimitación de alcance o divergencia de cálculo, el autor aplica la siguiente escala jerárquica de resolución en cuatro (4) niveles:</w:t>
      </w:r>
      <w:r w:rsidDel="00000000" w:rsidR="00000000" w:rsidRPr="00000000">
        <w:rPr>
          <w:rtl w:val="0"/>
        </w:rPr>
      </w:r>
    </w:p>
    <w:p w:rsidR="00000000" w:rsidDel="00000000" w:rsidP="00000000" w:rsidRDefault="00000000" w:rsidRPr="00000000" w14:paraId="00000471">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 </w:t>
      </w:r>
      <w:r w:rsidDel="00000000" w:rsidR="00000000" w:rsidRPr="00000000">
        <w:rPr>
          <w:rFonts w:ascii="Times New Roman" w:cs="Times New Roman" w:eastAsia="Times New Roman" w:hAnsi="Times New Roman"/>
          <w:b w:val="1"/>
          <w:bCs w:val="1"/>
          <w:i w:val="0"/>
          <w:iCs w:val="0"/>
          <w:color w:val="0f172a"/>
          <w:sz w:val="23"/>
          <w:szCs w:val="23"/>
          <w:rtl w:val="0"/>
        </w:rPr>
        <w:t xml:space="preserve">Nivel 1 — Primacía de Estándares Espaciales Internacionales (Normas Duras):</w:t>
      </w:r>
      <w:r w:rsidDel="00000000" w:rsidR="00000000" w:rsidRPr="00000000">
        <w:rPr>
          <w:rtl w:val="0"/>
        </w:rPr>
      </w:r>
    </w:p>
    <w:p w:rsidR="00000000" w:rsidDel="00000000" w:rsidP="00000000" w:rsidRDefault="00000000" w:rsidRPr="00000000" w14:paraId="00000472">
      <w:pPr>
        <w:spacing w:after="80" w:before="0" w:line="480" w:lineRule="auto"/>
        <w:ind w:firstLine="720"/>
        <w:rPr/>
      </w:pPr>
      <w:r w:rsidDel="00000000" w:rsidR="00000000" w:rsidRPr="00000000">
        <w:rPr>
          <w:rFonts w:ascii="Gungsuh" w:cs="Gungsuh" w:eastAsia="Gungsuh" w:hAnsi="Gungsuh"/>
          <w:b w:val="0"/>
          <w:bCs w:val="0"/>
          <w:i w:val="0"/>
          <w:iCs w:val="0"/>
          <w:color w:val="0f172a"/>
          <w:sz w:val="24"/>
          <w:szCs w:val="24"/>
          <w:rtl w:val="0"/>
        </w:rPr>
        <w:t xml:space="preserve">Toda fórmula matemática, margen de reserva energético y restricción dimensional se subordina de manera estricta y previa a los estándares del dominio: ECSS-E-ST-20C Rev. 1 (márgenes de potencia eléctrica y límite DoD ≤ 30%), ECSS-E-ST-10C (ingeniería de sistemas espaciales) y Cal Poly CubeSat Design Specification REV 14.1 (límites geométricos y masa para factores 1U/3U/6U). Ninguna preferencia de programación o simplificación analítica puede relajar estas cláusulas normativas.</w:t>
      </w:r>
      <w:r w:rsidDel="00000000" w:rsidR="00000000" w:rsidRPr="00000000">
        <w:rPr>
          <w:rtl w:val="0"/>
        </w:rPr>
      </w:r>
    </w:p>
    <w:p w:rsidR="00000000" w:rsidDel="00000000" w:rsidP="00000000" w:rsidRDefault="00000000" w:rsidRPr="00000000" w14:paraId="00000473">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2. </w:t>
      </w:r>
      <w:r w:rsidDel="00000000" w:rsidR="00000000" w:rsidRPr="00000000">
        <w:rPr>
          <w:rFonts w:ascii="Times New Roman" w:cs="Times New Roman" w:eastAsia="Times New Roman" w:hAnsi="Times New Roman"/>
          <w:b w:val="1"/>
          <w:bCs w:val="1"/>
          <w:i w:val="0"/>
          <w:iCs w:val="0"/>
          <w:color w:val="0f172a"/>
          <w:sz w:val="23"/>
          <w:szCs w:val="23"/>
          <w:rtl w:val="0"/>
        </w:rPr>
        <w:t xml:space="preserve">Nivel 2 — Evidencia Empírica y Validación Técnica con el Socio de Diseño:</w:t>
      </w:r>
      <w:r w:rsidDel="00000000" w:rsidR="00000000" w:rsidRPr="00000000">
        <w:rPr>
          <w:rtl w:val="0"/>
        </w:rPr>
      </w:r>
    </w:p>
    <w:p w:rsidR="00000000" w:rsidDel="00000000" w:rsidP="00000000" w:rsidRDefault="00000000" w:rsidRPr="00000000" w14:paraId="00000474">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Cuando un estándar internacional admite rangos de parámetros, modos alternativos de operación o deja márgenes de discrecionalidad técnica, la decisión se adopta en función de los requerimientos y condiciones operativas reales acordados con el Centro Tecnológico Aeroespacial (CTA-UNLP), formalizados en actas técnicas fechadas suscritas con la coordinación de proyectos satelitales (Ing. Sonia Botta).</w:t>
      </w:r>
      <w:r w:rsidDel="00000000" w:rsidR="00000000" w:rsidRPr="00000000">
        <w:rPr>
          <w:rtl w:val="0"/>
        </w:rPr>
      </w:r>
    </w:p>
    <w:p w:rsidR="00000000" w:rsidDel="00000000" w:rsidP="00000000" w:rsidRDefault="00000000" w:rsidRPr="00000000" w14:paraId="00000475">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3. </w:t>
      </w:r>
      <w:r w:rsidDel="00000000" w:rsidR="00000000" w:rsidRPr="00000000">
        <w:rPr>
          <w:rFonts w:ascii="Times New Roman" w:cs="Times New Roman" w:eastAsia="Times New Roman" w:hAnsi="Times New Roman"/>
          <w:b w:val="1"/>
          <w:bCs w:val="1"/>
          <w:i w:val="0"/>
          <w:iCs w:val="0"/>
          <w:color w:val="0f172a"/>
          <w:sz w:val="23"/>
          <w:szCs w:val="23"/>
          <w:rtl w:val="0"/>
        </w:rPr>
        <w:t xml:space="preserve">Nivel 3 — Priorización MoSCoW y Preservación del Presupuesto de Horas:</w:t>
      </w:r>
      <w:r w:rsidDel="00000000" w:rsidR="00000000" w:rsidRPr="00000000">
        <w:rPr>
          <w:rtl w:val="0"/>
        </w:rPr>
      </w:r>
    </w:p>
    <w:p w:rsidR="00000000" w:rsidDel="00000000" w:rsidP="00000000" w:rsidRDefault="00000000" w:rsidRPr="00000000" w14:paraId="00000476">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Ante eventuales tensiones entre la sofisticación de una función y los plazos del calendario académico, se aplica rígidamente la escala MoSCoW formalizada en el Catálogo de Requisitos: los requisitos clasificados como </w:t>
      </w:r>
      <w:r w:rsidDel="00000000" w:rsidR="00000000" w:rsidRPr="00000000">
        <w:rPr>
          <w:rFonts w:ascii="Times New Roman" w:cs="Times New Roman" w:eastAsia="Times New Roman" w:hAnsi="Times New Roman"/>
          <w:b w:val="0"/>
          <w:bCs w:val="0"/>
          <w:i w:val="1"/>
          <w:iCs w:val="1"/>
          <w:color w:val="0f172a"/>
          <w:sz w:val="24"/>
          <w:szCs w:val="24"/>
          <w:rtl w:val="0"/>
        </w:rPr>
        <w:t xml:space="preserve">Must Have</w:t>
      </w:r>
      <w:r w:rsidDel="00000000" w:rsidR="00000000" w:rsidRPr="00000000">
        <w:rPr>
          <w:rFonts w:ascii="Times New Roman" w:cs="Times New Roman" w:eastAsia="Times New Roman" w:hAnsi="Times New Roman"/>
          <w:b w:val="0"/>
          <w:bCs w:val="0"/>
          <w:i w:val="0"/>
          <w:iCs w:val="0"/>
          <w:color w:val="0f172a"/>
          <w:sz w:val="24"/>
          <w:szCs w:val="24"/>
          <w:rtl w:val="0"/>
        </w:rPr>
        <w:t xml:space="preserve"> (núcleo del MVP) son innegociables y prioritarios; cualquier funcionalidad secundaria (</w:t>
      </w:r>
      <w:r w:rsidDel="00000000" w:rsidR="00000000" w:rsidRPr="00000000">
        <w:rPr>
          <w:rFonts w:ascii="Times New Roman" w:cs="Times New Roman" w:eastAsia="Times New Roman" w:hAnsi="Times New Roman"/>
          <w:b w:val="0"/>
          <w:bCs w:val="0"/>
          <w:i w:val="1"/>
          <w:iCs w:val="1"/>
          <w:color w:val="0f172a"/>
          <w:sz w:val="24"/>
          <w:szCs w:val="24"/>
          <w:rtl w:val="0"/>
        </w:rPr>
        <w:t xml:space="preserve">Should Have</w:t>
      </w:r>
      <w:r w:rsidDel="00000000" w:rsidR="00000000" w:rsidRPr="00000000">
        <w:rPr>
          <w:rFonts w:ascii="Times New Roman" w:cs="Times New Roman" w:eastAsia="Times New Roman" w:hAnsi="Times New Roman"/>
          <w:b w:val="0"/>
          <w:bCs w:val="0"/>
          <w:i w:val="0"/>
          <w:iCs w:val="0"/>
          <w:color w:val="0f172a"/>
          <w:sz w:val="24"/>
          <w:szCs w:val="24"/>
          <w:rtl w:val="0"/>
        </w:rPr>
        <w:t xml:space="preserve"> o </w:t>
      </w:r>
      <w:r w:rsidDel="00000000" w:rsidR="00000000" w:rsidRPr="00000000">
        <w:rPr>
          <w:rFonts w:ascii="Times New Roman" w:cs="Times New Roman" w:eastAsia="Times New Roman" w:hAnsi="Times New Roman"/>
          <w:b w:val="0"/>
          <w:bCs w:val="0"/>
          <w:i w:val="1"/>
          <w:iCs w:val="1"/>
          <w:color w:val="0f172a"/>
          <w:sz w:val="24"/>
          <w:szCs w:val="24"/>
          <w:rtl w:val="0"/>
        </w:rPr>
        <w:t xml:space="preserve">Could Have</w:t>
      </w:r>
      <w:r w:rsidDel="00000000" w:rsidR="00000000" w:rsidRPr="00000000">
        <w:rPr>
          <w:rFonts w:ascii="Times New Roman" w:cs="Times New Roman" w:eastAsia="Times New Roman" w:hAnsi="Times New Roman"/>
          <w:b w:val="0"/>
          <w:bCs w:val="0"/>
          <w:i w:val="0"/>
          <w:iCs w:val="0"/>
          <w:color w:val="0f172a"/>
          <w:sz w:val="24"/>
          <w:szCs w:val="24"/>
          <w:rtl w:val="0"/>
        </w:rPr>
        <w:t xml:space="preserve">) se transfiere de forma explícita a la hoja de ruta posterior a la graduación (</w:t>
      </w:r>
      <w:r w:rsidDel="00000000" w:rsidR="00000000" w:rsidRPr="00000000">
        <w:rPr>
          <w:rFonts w:ascii="Times New Roman" w:cs="Times New Roman" w:eastAsia="Times New Roman" w:hAnsi="Times New Roman"/>
          <w:b w:val="0"/>
          <w:bCs w:val="0"/>
          <w:i w:val="1"/>
          <w:iCs w:val="1"/>
          <w:color w:val="0f172a"/>
          <w:sz w:val="24"/>
          <w:szCs w:val="24"/>
          <w:rtl w:val="0"/>
        </w:rPr>
        <w:t xml:space="preserve">Roadmap Post-PIF</w:t>
      </w:r>
      <w:r w:rsidDel="00000000" w:rsidR="00000000" w:rsidRPr="00000000">
        <w:rPr>
          <w:rFonts w:ascii="Times New Roman" w:cs="Times New Roman" w:eastAsia="Times New Roman" w:hAnsi="Times New Roman"/>
          <w:b w:val="0"/>
          <w:bCs w:val="0"/>
          <w:i w:val="0"/>
          <w:iCs w:val="0"/>
          <w:color w:val="0f172a"/>
          <w:sz w:val="24"/>
          <w:szCs w:val="24"/>
          <w:rtl w:val="0"/>
        </w:rPr>
        <w:t xml:space="preserve">) para salvaguardar el presupuesto de 190 horas-persona y la calidad de los artefactos obligatorios.</w:t>
      </w:r>
      <w:r w:rsidDel="00000000" w:rsidR="00000000" w:rsidRPr="00000000">
        <w:rPr>
          <w:rtl w:val="0"/>
        </w:rPr>
      </w:r>
    </w:p>
    <w:p w:rsidR="00000000" w:rsidDel="00000000" w:rsidP="00000000" w:rsidRDefault="00000000" w:rsidRPr="00000000" w14:paraId="00000477">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4. </w:t>
      </w:r>
      <w:r w:rsidDel="00000000" w:rsidR="00000000" w:rsidRPr="00000000">
        <w:rPr>
          <w:rFonts w:ascii="Times New Roman" w:cs="Times New Roman" w:eastAsia="Times New Roman" w:hAnsi="Times New Roman"/>
          <w:b w:val="1"/>
          <w:bCs w:val="1"/>
          <w:i w:val="0"/>
          <w:iCs w:val="0"/>
          <w:color w:val="0f172a"/>
          <w:sz w:val="23"/>
          <w:szCs w:val="23"/>
          <w:rtl w:val="0"/>
        </w:rPr>
        <w:t xml:space="preserve">Nivel 4 — Registro Inmutable en Bitácora y Pista de Auditoría:</w:t>
      </w:r>
      <w:r w:rsidDel="00000000" w:rsidR="00000000" w:rsidRPr="00000000">
        <w:rPr>
          <w:rtl w:val="0"/>
        </w:rPr>
      </w:r>
    </w:p>
    <w:p w:rsidR="00000000" w:rsidDel="00000000" w:rsidP="00000000" w:rsidRDefault="00000000" w:rsidRPr="00000000" w14:paraId="00000478">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Toda decisión técnica relevante, alternativa evaluada y criterio de descarte se asienta obligatoriamente en la Bitácora Individual de desarrollo (</w:t>
      </w:r>
      <w:r w:rsidDel="00000000" w:rsidR="00000000" w:rsidRPr="00000000">
        <w:rPr>
          <w:rFonts w:ascii="Consolas" w:cs="Consolas" w:eastAsia="Consolas" w:hAnsi="Consolas"/>
          <w:b w:val="0"/>
          <w:bCs w:val="0"/>
          <w:i w:val="0"/>
          <w:iCs w:val="0"/>
          <w:color w:val="334155"/>
          <w:sz w:val="21"/>
          <w:szCs w:val="21"/>
          <w:rtl w:val="0"/>
        </w:rPr>
        <w:t xml:space="preserve">00-gestion/BITACORA.md</w:t>
      </w:r>
      <w:r w:rsidDel="00000000" w:rsidR="00000000" w:rsidRPr="00000000">
        <w:rPr>
          <w:rFonts w:ascii="Times New Roman" w:cs="Times New Roman" w:eastAsia="Times New Roman" w:hAnsi="Times New Roman"/>
          <w:b w:val="0"/>
          <w:bCs w:val="0"/>
          <w:i w:val="0"/>
          <w:iCs w:val="0"/>
          <w:color w:val="0f172a"/>
          <w:sz w:val="24"/>
          <w:szCs w:val="24"/>
          <w:rtl w:val="0"/>
        </w:rPr>
        <w:t xml:space="preserve">) mediante los seis (6) elementos normativos reglamentarios (R.R. 97/23), y se instrumenta dentro del software mediante el registro inmutable del </w:t>
      </w:r>
      <w:r w:rsidDel="00000000" w:rsidR="00000000" w:rsidRPr="00000000">
        <w:rPr>
          <w:rFonts w:ascii="Consolas" w:cs="Consolas" w:eastAsia="Consolas" w:hAnsi="Consolas"/>
          <w:b w:val="0"/>
          <w:bCs w:val="0"/>
          <w:i w:val="0"/>
          <w:iCs w:val="0"/>
          <w:color w:val="334155"/>
          <w:sz w:val="21"/>
          <w:szCs w:val="21"/>
          <w:rtl w:val="0"/>
        </w:rPr>
        <w:t xml:space="preserve">DecisionLog</w:t>
      </w:r>
      <w:r w:rsidDel="00000000" w:rsidR="00000000" w:rsidRPr="00000000">
        <w:rPr>
          <w:rFonts w:ascii="Times New Roman" w:cs="Times New Roman" w:eastAsia="Times New Roman" w:hAnsi="Times New Roman"/>
          <w:b w:val="0"/>
          <w:bCs w:val="0"/>
          <w:i w:val="0"/>
          <w:iCs w:val="0"/>
          <w:color w:val="0f172a"/>
          <w:sz w:val="24"/>
          <w:szCs w:val="24"/>
          <w:rtl w:val="0"/>
        </w:rPr>
        <w:t xml:space="preserve"> con firma criptográfica SHA-256 vinculada al </w:t>
      </w:r>
      <w:r w:rsidDel="00000000" w:rsidR="00000000" w:rsidRPr="00000000">
        <w:rPr>
          <w:rFonts w:ascii="Consolas" w:cs="Consolas" w:eastAsia="Consolas" w:hAnsi="Consolas"/>
          <w:b w:val="0"/>
          <w:bCs w:val="0"/>
          <w:i w:val="0"/>
          <w:iCs w:val="0"/>
          <w:color w:val="334155"/>
          <w:sz w:val="21"/>
          <w:szCs w:val="21"/>
          <w:rtl w:val="0"/>
        </w:rPr>
        <w:t xml:space="preserve">PerfilIngeniero</w:t>
      </w:r>
      <w:r w:rsidDel="00000000" w:rsidR="00000000" w:rsidRPr="00000000">
        <w:rPr>
          <w:rFonts w:ascii="Times New Roman" w:cs="Times New Roman" w:eastAsia="Times New Roman" w:hAnsi="Times New Roman"/>
          <w:b w:val="0"/>
          <w:bCs w:val="0"/>
          <w:i w:val="0"/>
          <w:iCs w:val="0"/>
          <w:color w:val="0f172a"/>
          <w:sz w:val="24"/>
          <w:szCs w:val="24"/>
          <w:rtl w:val="0"/>
        </w:rPr>
        <w:t xml:space="preserve">.</w:t>
      </w:r>
      <w:r w:rsidDel="00000000" w:rsidR="00000000" w:rsidRPr="00000000">
        <w:rPr>
          <w:rtl w:val="0"/>
        </w:rPr>
      </w:r>
    </w:p>
    <w:p w:rsidR="00000000" w:rsidDel="00000000" w:rsidP="00000000" w:rsidRDefault="00000000" w:rsidRPr="00000000" w14:paraId="00000479">
      <w:pPr>
        <w:pStyle w:val="Heading2"/>
        <w:keepNext w:val="1"/>
        <w:rPr/>
      </w:pPr>
      <w:r w:rsidDel="00000000" w:rsidR="00000000" w:rsidRPr="00000000">
        <w:rPr>
          <w:rFonts w:ascii="Times New Roman" w:cs="Times New Roman" w:eastAsia="Times New Roman" w:hAnsi="Times New Roman"/>
          <w:b w:val="1"/>
          <w:bCs w:val="1"/>
          <w:i w:val="0"/>
          <w:iCs w:val="0"/>
          <w:color w:val="0f172a"/>
          <w:sz w:val="28"/>
          <w:szCs w:val="28"/>
          <w:rtl w:val="0"/>
        </w:rPr>
        <w:t xml:space="preserve">V.4 · Cronograma y Presupuesto de Horas</w:t>
      </w:r>
      <w:r w:rsidDel="00000000" w:rsidR="00000000" w:rsidRPr="00000000">
        <w:rPr>
          <w:rtl w:val="0"/>
        </w:rPr>
      </w:r>
    </w:p>
    <w:p w:rsidR="00000000" w:rsidDel="00000000" w:rsidP="00000000" w:rsidRDefault="00000000" w:rsidRPr="00000000" w14:paraId="0000047A">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La planificación temporal y el costeo de esfuerzo del proyecto CODI se estructuran sobre un presupuesto efectivo de 190 horas-persona distribuidas a lo largo de diez (10) semanas de desarrollo activo (Semanas 5 a 14), absorbiendo una demanda técnica calculada de 184 horas-persona para la totalidad de paquetes de trabajo del Producto Mínimo Viable y reservando una holgura operativa de 6 horas para desvíos imprevistos. Esta estimación matemática se fundamenta en la deducción obligatoria de las semanas de exámenes parciales y feriados sobre la dedicación nominal individual (22 horas semanales brutas menos 30 horas de reducción programada), garantizando la coherencia estricta exigida entre el alcance del proyecto (Capítulo III, Sec. III.3) y la asignación presupuestaria de recursos humanos (Capítulo X, Sec. X.1). Se evalúa y descarta una planificación lineal basada en la duración nominal del calendario sin deducción por sobrecarga evaluatoria por conducir a cronogramas inviables de deseos, remitiendo el desglose paramétrico de tareas y la red de dependencias a la Bitácora y al cronograma de la Figura 3.</w:t>
      </w:r>
      <w:r w:rsidDel="00000000" w:rsidR="00000000" w:rsidRPr="00000000">
        <w:rPr>
          <w:rtl w:val="0"/>
        </w:rPr>
      </w:r>
    </w:p>
    <w:p w:rsidR="00000000" w:rsidDel="00000000" w:rsidP="00000000" w:rsidRDefault="00000000" w:rsidRPr="00000000" w14:paraId="0000047B">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Presupuesto Efectivo de Horas-Persona</w:t>
      </w:r>
      <w:r w:rsidDel="00000000" w:rsidR="00000000" w:rsidRPr="00000000">
        <w:rPr>
          <w:rtl w:val="0"/>
        </w:rPr>
      </w:r>
    </w:p>
    <w:p w:rsidR="00000000" w:rsidDel="00000000" w:rsidP="00000000" w:rsidRDefault="00000000" w:rsidRPr="00000000" w14:paraId="0000047C">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La determinación de la capacidad horaria del proyecto parte de la dedicación real del integrante y descuenta formalmente las contingencias académicas previstas en el período, conforme a la siguiente matriz de cálculo:</w:t>
      </w:r>
      <w:r w:rsidDel="00000000" w:rsidR="00000000" w:rsidRPr="00000000">
        <w:rPr>
          <w:rtl w:val="0"/>
        </w:rPr>
      </w:r>
    </w:p>
    <w:p w:rsidR="00000000" w:rsidDel="00000000" w:rsidP="00000000" w:rsidRDefault="00000000" w:rsidRPr="00000000" w14:paraId="0000047D">
      <w:pPr>
        <w:spacing w:after="80" w:before="0" w:line="480" w:lineRule="auto"/>
        <w:ind w:firstLine="720"/>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Tabla V.4: Presupuesto de Horas-Persona del Proyecto CODI</w:t>
      </w:r>
      <w:r w:rsidDel="00000000" w:rsidR="00000000" w:rsidRPr="00000000">
        <w:rPr>
          <w:rtl w:val="0"/>
        </w:rPr>
      </w:r>
    </w:p>
    <w:tbl>
      <w:tblPr>
        <w:tblStyle w:val="Table49"/>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47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Presupuesto de Horas-Persona</w:t>
            </w:r>
            <w:r w:rsidDel="00000000" w:rsidR="00000000" w:rsidRPr="00000000">
              <w:rPr>
                <w:rtl w:val="0"/>
              </w:rPr>
            </w:r>
          </w:p>
        </w:tc>
        <w:tc>
          <w:tcPr>
            <w:shd w:fill="f1f5f9" w:val="clear"/>
          </w:tcPr>
          <w:p w:rsidR="00000000" w:rsidDel="00000000" w:rsidP="00000000" w:rsidRDefault="00000000" w:rsidRPr="00000000" w14:paraId="0000047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Valor Declarado</w:t>
            </w:r>
            <w:r w:rsidDel="00000000" w:rsidR="00000000" w:rsidRPr="00000000">
              <w:rPr>
                <w:rtl w:val="0"/>
              </w:rPr>
            </w:r>
          </w:p>
        </w:tc>
      </w:tr>
      <w:tr>
        <w:trPr>
          <w:cantSplit w:val="1"/>
          <w:tblHeader w:val="0"/>
        </w:trPr>
        <w:tc>
          <w:tcPr/>
          <w:p w:rsidR="00000000" w:rsidDel="00000000" w:rsidP="00000000" w:rsidRDefault="00000000" w:rsidRPr="00000000" w14:paraId="0000048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Integrantes del equipo</w:t>
            </w:r>
            <w:r w:rsidDel="00000000" w:rsidR="00000000" w:rsidRPr="00000000">
              <w:rPr>
                <w:rtl w:val="0"/>
              </w:rPr>
            </w:r>
          </w:p>
        </w:tc>
        <w:tc>
          <w:tcPr/>
          <w:p w:rsidR="00000000" w:rsidDel="00000000" w:rsidP="00000000" w:rsidRDefault="00000000" w:rsidRPr="00000000" w14:paraId="0000048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1 (Santiago Agustin Nuñez)</w:t>
            </w:r>
            <w:r w:rsidDel="00000000" w:rsidR="00000000" w:rsidRPr="00000000">
              <w:rPr>
                <w:rtl w:val="0"/>
              </w:rPr>
            </w:r>
          </w:p>
        </w:tc>
      </w:tr>
      <w:tr>
        <w:trPr>
          <w:cantSplit w:val="1"/>
          <w:tblHeader w:val="0"/>
        </w:trPr>
        <w:tc>
          <w:tcPr/>
          <w:p w:rsidR="00000000" w:rsidDel="00000000" w:rsidP="00000000" w:rsidRDefault="00000000" w:rsidRPr="00000000" w14:paraId="0000048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Horas semanales reales por integrante (dedicación nominal)</w:t>
            </w:r>
            <w:r w:rsidDel="00000000" w:rsidR="00000000" w:rsidRPr="00000000">
              <w:rPr>
                <w:rtl w:val="0"/>
              </w:rPr>
            </w:r>
          </w:p>
        </w:tc>
        <w:tc>
          <w:tcPr/>
          <w:p w:rsidR="00000000" w:rsidDel="00000000" w:rsidP="00000000" w:rsidRDefault="00000000" w:rsidRPr="00000000" w14:paraId="0000048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22 h / semana</w:t>
            </w:r>
            <w:r w:rsidDel="00000000" w:rsidR="00000000" w:rsidRPr="00000000">
              <w:rPr>
                <w:rtl w:val="0"/>
              </w:rPr>
            </w:r>
          </w:p>
        </w:tc>
      </w:tr>
      <w:tr>
        <w:trPr>
          <w:cantSplit w:val="1"/>
          <w:tblHeader w:val="0"/>
        </w:trPr>
        <w:tc>
          <w:tcPr/>
          <w:p w:rsidR="00000000" w:rsidDel="00000000" w:rsidP="00000000" w:rsidRDefault="00000000" w:rsidRPr="00000000" w14:paraId="0000048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Presupuesto total del período (10 semanas activas × 22 h/sem)</w:t>
            </w:r>
            <w:r w:rsidDel="00000000" w:rsidR="00000000" w:rsidRPr="00000000">
              <w:rPr>
                <w:rtl w:val="0"/>
              </w:rPr>
            </w:r>
          </w:p>
        </w:tc>
        <w:tc>
          <w:tcPr/>
          <w:p w:rsidR="00000000" w:rsidDel="00000000" w:rsidP="00000000" w:rsidRDefault="00000000" w:rsidRPr="00000000" w14:paraId="0000048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220 horas-persona</w:t>
            </w:r>
            <w:r w:rsidDel="00000000" w:rsidR="00000000" w:rsidRPr="00000000">
              <w:rPr>
                <w:rtl w:val="0"/>
              </w:rPr>
            </w:r>
          </w:p>
        </w:tc>
      </w:tr>
      <w:tr>
        <w:trPr>
          <w:cantSplit w:val="1"/>
          <w:tblHeader w:val="0"/>
        </w:trPr>
        <w:tc>
          <w:tcPr/>
          <w:p w:rsidR="00000000" w:rsidDel="00000000" w:rsidP="00000000" w:rsidRDefault="00000000" w:rsidRPr="00000000" w14:paraId="0000048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Reducción prevista (exámenes parciales, feriados académicos)</w:t>
            </w:r>
            <w:r w:rsidDel="00000000" w:rsidR="00000000" w:rsidRPr="00000000">
              <w:rPr>
                <w:rtl w:val="0"/>
              </w:rPr>
            </w:r>
          </w:p>
        </w:tc>
        <w:tc>
          <w:tcPr/>
          <w:p w:rsidR="00000000" w:rsidDel="00000000" w:rsidP="00000000" w:rsidRDefault="00000000" w:rsidRPr="00000000" w14:paraId="0000048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-30 horas-persona</w:t>
            </w:r>
            <w:r w:rsidDel="00000000" w:rsidR="00000000" w:rsidRPr="00000000">
              <w:rPr>
                <w:rtl w:val="0"/>
              </w:rPr>
            </w:r>
          </w:p>
        </w:tc>
      </w:tr>
      <w:tr>
        <w:trPr>
          <w:cantSplit w:val="1"/>
          <w:tblHeader w:val="0"/>
        </w:trPr>
        <w:tc>
          <w:tcPr/>
          <w:p w:rsidR="00000000" w:rsidDel="00000000" w:rsidP="00000000" w:rsidRDefault="00000000" w:rsidRPr="00000000" w14:paraId="0000048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Presupuesto efectivo resultante</w:t>
            </w:r>
            <w:r w:rsidDel="00000000" w:rsidR="00000000" w:rsidRPr="00000000">
              <w:rPr>
                <w:rtl w:val="0"/>
              </w:rPr>
            </w:r>
          </w:p>
        </w:tc>
        <w:tc>
          <w:tcPr/>
          <w:p w:rsidR="00000000" w:rsidDel="00000000" w:rsidP="00000000" w:rsidRDefault="00000000" w:rsidRPr="00000000" w14:paraId="0000048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190 horas-persona</w:t>
            </w:r>
            <w:r w:rsidDel="00000000" w:rsidR="00000000" w:rsidRPr="00000000">
              <w:rPr>
                <w:rtl w:val="0"/>
              </w:rPr>
            </w:r>
          </w:p>
        </w:tc>
      </w:tr>
      <w:tr>
        <w:trPr>
          <w:cantSplit w:val="1"/>
          <w:tblHeader w:val="0"/>
        </w:trPr>
        <w:tc>
          <w:tcPr/>
          <w:p w:rsidR="00000000" w:rsidDel="00000000" w:rsidP="00000000" w:rsidRDefault="00000000" w:rsidRPr="00000000" w14:paraId="0000048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Demanda técnica comprometida para el MVP (Estructura de Desglose del Trabajo)</w:t>
            </w:r>
            <w:r w:rsidDel="00000000" w:rsidR="00000000" w:rsidRPr="00000000">
              <w:rPr>
                <w:rtl w:val="0"/>
              </w:rPr>
            </w:r>
          </w:p>
        </w:tc>
        <w:tc>
          <w:tcPr/>
          <w:p w:rsidR="00000000" w:rsidDel="00000000" w:rsidP="00000000" w:rsidRDefault="00000000" w:rsidRPr="00000000" w14:paraId="0000048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184 horas-persona</w:t>
            </w:r>
            <w:r w:rsidDel="00000000" w:rsidR="00000000" w:rsidRPr="00000000">
              <w:rPr>
                <w:rtl w:val="0"/>
              </w:rPr>
            </w:r>
          </w:p>
        </w:tc>
      </w:tr>
      <w:tr>
        <w:trPr>
          <w:cantSplit w:val="1"/>
          <w:tblHeader w:val="0"/>
        </w:trPr>
        <w:tc>
          <w:tcPr/>
          <w:p w:rsidR="00000000" w:rsidDel="00000000" w:rsidP="00000000" w:rsidRDefault="00000000" w:rsidRPr="00000000" w14:paraId="0000048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Holgura operativa / Reserva de contingencia técnica (3,16% del presupuesto)</w:t>
            </w:r>
            <w:r w:rsidDel="00000000" w:rsidR="00000000" w:rsidRPr="00000000">
              <w:rPr>
                <w:rtl w:val="0"/>
              </w:rPr>
            </w:r>
          </w:p>
        </w:tc>
        <w:tc>
          <w:tcPr/>
          <w:p w:rsidR="00000000" w:rsidDel="00000000" w:rsidP="00000000" w:rsidRDefault="00000000" w:rsidRPr="00000000" w14:paraId="0000048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6 horas-persona</w:t>
            </w:r>
            <w:r w:rsidDel="00000000" w:rsidR="00000000" w:rsidRPr="00000000">
              <w:rPr>
                <w:rtl w:val="0"/>
              </w:rPr>
            </w:r>
          </w:p>
        </w:tc>
      </w:tr>
    </w:tbl>
    <w:p w:rsidR="00000000" w:rsidDel="00000000" w:rsidP="00000000" w:rsidRDefault="00000000" w:rsidRPr="00000000" w14:paraId="0000048E">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Nota. Cálculo de capacidad horaria en estricta coincidencia matemática con el balance de horas del Capítulo III (Sec. III.3) y el dimensionamiento de recursos del Capítulo X.</w:t>
      </w:r>
      <w:r w:rsidDel="00000000" w:rsidR="00000000" w:rsidRPr="00000000">
        <w:rPr>
          <w:rtl w:val="0"/>
        </w:rPr>
      </w:r>
    </w:p>
    <w:p w:rsidR="00000000" w:rsidDel="00000000" w:rsidP="00000000" w:rsidRDefault="00000000" w:rsidRPr="00000000" w14:paraId="0000048F">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Estructura de Desglose del Trabajo (WBS) y Distribución de Demanda</w:t>
      </w:r>
      <w:r w:rsidDel="00000000" w:rsidR="00000000" w:rsidRPr="00000000">
        <w:rPr>
          <w:rtl w:val="0"/>
        </w:rPr>
      </w:r>
    </w:p>
    <w:p w:rsidR="00000000" w:rsidDel="00000000" w:rsidP="00000000" w:rsidRDefault="00000000" w:rsidRPr="00000000" w14:paraId="00000490">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La demanda técnica de 184 horas-persona se distribuye en dieciséis (16) paquetes de trabajo estructurados según las fases de desarrollo del proyecto:</w:t>
      </w:r>
      <w:r w:rsidDel="00000000" w:rsidR="00000000" w:rsidRPr="00000000">
        <w:rPr>
          <w:rtl w:val="0"/>
        </w:rPr>
      </w:r>
    </w:p>
    <w:p w:rsidR="00000000" w:rsidDel="00000000" w:rsidP="00000000" w:rsidRDefault="00000000" w:rsidRPr="00000000" w14:paraId="00000491">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 </w:t>
      </w:r>
      <w:r w:rsidDel="00000000" w:rsidR="00000000" w:rsidRPr="00000000">
        <w:rPr>
          <w:rFonts w:ascii="Times New Roman" w:cs="Times New Roman" w:eastAsia="Times New Roman" w:hAnsi="Times New Roman"/>
          <w:b w:val="1"/>
          <w:bCs w:val="1"/>
          <w:i w:val="0"/>
          <w:iCs w:val="0"/>
          <w:color w:val="0f172a"/>
          <w:sz w:val="23"/>
          <w:szCs w:val="23"/>
          <w:rtl w:val="0"/>
        </w:rPr>
        <w:t xml:space="preserve">Sprint 2 · Formulación y Esqueleto Arquitectónico v1 (Semanas 5 a 8: 52 h-p):</w:t>
      </w:r>
      <w:r w:rsidDel="00000000" w:rsidR="00000000" w:rsidRPr="00000000">
        <w:rPr>
          <w:rtl w:val="0"/>
        </w:rPr>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WBS 2.1 — Especificación de Requisitos y Modelo de Dominio: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Formalización de los 18 requisitos con criterios de aceptación comprobables y 7 entidades de dominio (14 h).</w:t>
      </w:r>
      <w:r w:rsidDel="00000000" w:rsidR="00000000" w:rsidRPr="00000000">
        <w:rPr>
          <w:rtl w:val="0"/>
        </w:rPr>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WBS 2.2 — Configuración de Entorno y Flujo de CI/CD:</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Dockerización multicapa y canal automatizado de construcción en GitHub Actions (8 h).</w:t>
      </w:r>
      <w:r w:rsidDel="00000000" w:rsidR="00000000" w:rsidRPr="00000000">
        <w:rPr>
          <w:rtl w:val="0"/>
        </w:rPr>
      </w:r>
    </w:p>
    <w:p w:rsidR="00000000" w:rsidDel="00000000" w:rsidP="00000000" w:rsidRDefault="00000000" w:rsidRPr="00000000" w14:paraId="000004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WBS 2.3 — Arquitectura Base y Persistencia Relacional:</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Esquema de base de datos relacional para misiones y subsistemas (10 h).</w:t>
      </w:r>
      <w:r w:rsidDel="00000000" w:rsidR="00000000" w:rsidRPr="00000000">
        <w:rPr>
          <w:rtl w:val="0"/>
        </w:rPr>
      </w:r>
    </w:p>
    <w:p w:rsidR="00000000" w:rsidDel="00000000" w:rsidP="00000000" w:rsidRDefault="00000000" w:rsidRPr="00000000" w14:paraId="000004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WBS 2.4 — Lógica Kepleriana y Validación RN-01 en Backend:</w:t>
      </w:r>
      <w:r w:rsidDel="00000000" w:rsidR="00000000" w:rsidRPr="00000000">
        <w:rPr>
          <w:rFonts w:ascii="Gungsuh" w:cs="Gungsuh" w:eastAsia="Gungsuh" w:hAnsi="Gungsuh"/>
          <w:b w:val="0"/>
          <w:bCs w:val="0"/>
          <w:i w:val="0"/>
          <w:iCs w:val="0"/>
          <w:smallCaps w:val="0"/>
          <w:strike w:val="0"/>
          <w:color w:val="0f172a"/>
          <w:sz w:val="23"/>
          <w:szCs w:val="23"/>
          <w:u w:val="none"/>
          <w:shd w:fill="auto" w:val="clear"/>
          <w:vertAlign w:val="baseline"/>
          <w:rtl w:val="0"/>
        </w:rPr>
        <w:t xml:space="preserve"> Cálculo analítico de órbita y validación determinística de batería (DoD ≤ 30%) para el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walking skeleton</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(12 h).</w:t>
      </w:r>
      <w:r w:rsidDel="00000000" w:rsidR="00000000" w:rsidRPr="00000000">
        <w:rPr>
          <w:rtl w:val="0"/>
        </w:rPr>
      </w:r>
    </w:p>
    <w:p w:rsidR="00000000" w:rsidDel="00000000" w:rsidP="00000000" w:rsidRDefault="00000000" w:rsidRPr="00000000" w14:paraId="000004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WBS 2.5 — Verificación en Máquina Limpia y Pruebas v1:</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Ejecución del recorrido vertical de cuatro estaciones y etiquetado git </w:t>
      </w: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v1</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(8 h).</w:t>
      </w:r>
      <w:r w:rsidDel="00000000" w:rsidR="00000000" w:rsidRPr="00000000">
        <w:rPr>
          <w:rtl w:val="0"/>
        </w:rPr>
      </w:r>
    </w:p>
    <w:p w:rsidR="00000000" w:rsidDel="00000000" w:rsidP="00000000" w:rsidRDefault="00000000" w:rsidRPr="00000000" w14:paraId="00000497">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2. </w:t>
      </w:r>
      <w:r w:rsidDel="00000000" w:rsidR="00000000" w:rsidRPr="00000000">
        <w:rPr>
          <w:rFonts w:ascii="Times New Roman" w:cs="Times New Roman" w:eastAsia="Times New Roman" w:hAnsi="Times New Roman"/>
          <w:b w:val="1"/>
          <w:bCs w:val="1"/>
          <w:i w:val="0"/>
          <w:iCs w:val="0"/>
          <w:color w:val="0f172a"/>
          <w:sz w:val="23"/>
          <w:szCs w:val="23"/>
          <w:rtl w:val="0"/>
        </w:rPr>
        <w:t xml:space="preserve">Sprint 3 · Motor Determinístico EPS e Ingesta de Fuentes v2 (Semanas 9 a 11: 64 h-p):</w:t>
      </w:r>
      <w:r w:rsidDel="00000000" w:rsidR="00000000" w:rsidRPr="00000000">
        <w:rPr>
          <w:rtl w:val="0"/>
        </w:rPr>
      </w:r>
    </w:p>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WBS 3.1 — Parser de ICDs Estructurados:</w:t>
      </w:r>
      <w:r w:rsidDel="00000000" w:rsidR="00000000" w:rsidRPr="00000000">
        <w:rPr>
          <w:rFonts w:ascii="Gungsuh" w:cs="Gungsuh" w:eastAsia="Gungsuh" w:hAnsi="Gungsuh"/>
          <w:b w:val="0"/>
          <w:bCs w:val="0"/>
          <w:i w:val="0"/>
          <w:iCs w:val="0"/>
          <w:smallCaps w:val="0"/>
          <w:strike w:val="0"/>
          <w:color w:val="0f172a"/>
          <w:sz w:val="23"/>
          <w:szCs w:val="23"/>
          <w:u w:val="none"/>
          <w:shd w:fill="auto" w:val="clear"/>
          <w:vertAlign w:val="baseline"/>
          <w:rtl w:val="0"/>
        </w:rPr>
        <w:t xml:space="preserve"> Ingesta y parseo automático de archivos JSON/CSV de 20 parámetros en tiempo ≤ 2,0 s (RF-01, 14 h).</w:t>
      </w:r>
      <w:r w:rsidDel="00000000" w:rsidR="00000000" w:rsidRPr="00000000">
        <w:rPr>
          <w:rtl w:val="0"/>
        </w:rPr>
      </w:r>
    </w:p>
    <w:p w:rsidR="00000000" w:rsidDel="00000000" w:rsidP="00000000" w:rsidRDefault="00000000" w:rsidRPr="00000000" w14:paraId="00000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WBS 3.2 — Motor de Generación Solar y Degradación EOL:</w:t>
      </w:r>
      <w:r w:rsidDel="00000000" w:rsidR="00000000" w:rsidRPr="00000000">
        <w:rPr>
          <w:rFonts w:ascii="Gungsuh" w:cs="Gungsuh" w:eastAsia="Gungsuh" w:hAnsi="Gungsuh"/>
          <w:b w:val="0"/>
          <w:bCs w:val="0"/>
          <w:i w:val="0"/>
          <w:iCs w:val="0"/>
          <w:smallCaps w:val="0"/>
          <w:strike w:val="0"/>
          <w:color w:val="0f172a"/>
          <w:sz w:val="23"/>
          <w:szCs w:val="23"/>
          <w:u w:val="none"/>
          <w:shd w:fill="auto" w:val="clear"/>
          <w:vertAlign w:val="baseline"/>
          <w:rtl w:val="0"/>
        </w:rPr>
        <w:t xml:space="preserve"> Modelado de decaimiento fotovoltaico y verificación de margen ≥ 20% (RF-04, RN-02, 14 h).</w:t>
      </w:r>
      <w:r w:rsidDel="00000000" w:rsidR="00000000" w:rsidRPr="00000000">
        <w:rPr>
          <w:rtl w:val="0"/>
        </w:rPr>
      </w:r>
    </w:p>
    <w:p w:rsidR="00000000" w:rsidDel="00000000" w:rsidP="00000000" w:rsidRDefault="00000000" w:rsidRPr="00000000" w14:paraId="00000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WBS 3.3 — Verificador de Envolvente y Masa Cal Poly:</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Validación de restricciones para factores 1U, 3U y 6U según norma CDS REV 14.1 (RF-05, RN-05, 10 h).</w:t>
      </w:r>
      <w:r w:rsidDel="00000000" w:rsidR="00000000" w:rsidRPr="00000000">
        <w:rPr>
          <w:rtl w:val="0"/>
        </w:rPr>
      </w:r>
    </w:p>
    <w:p w:rsidR="00000000" w:rsidDel="00000000" w:rsidP="00000000" w:rsidRDefault="00000000" w:rsidRPr="00000000" w14:paraId="00000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WBS 3.4 — Detector de Incompatibilidades de Bus Eléctrico: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Algoritmo de acoplamiento de interfaces de alimentación de subsistemas (RF-08, 10 h).</w:t>
      </w:r>
      <w:r w:rsidDel="00000000" w:rsidR="00000000" w:rsidRPr="00000000">
        <w:rPr>
          <w:rtl w:val="0"/>
        </w:rPr>
      </w:r>
    </w:p>
    <w:p w:rsidR="00000000" w:rsidDel="00000000" w:rsidP="00000000" w:rsidRDefault="00000000" w:rsidRPr="00000000" w14:paraId="00000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WBS 3.5 — Suite de Pruebas Automatizadas y Calidad v2:</w:t>
      </w:r>
      <w:r w:rsidDel="00000000" w:rsidR="00000000" w:rsidRPr="00000000">
        <w:rPr>
          <w:rFonts w:ascii="Gungsuh" w:cs="Gungsuh" w:eastAsia="Gungsuh" w:hAnsi="Gungsuh"/>
          <w:b w:val="0"/>
          <w:bCs w:val="0"/>
          <w:i w:val="0"/>
          <w:iCs w:val="0"/>
          <w:smallCaps w:val="0"/>
          <w:strike w:val="0"/>
          <w:color w:val="0f172a"/>
          <w:sz w:val="23"/>
          <w:szCs w:val="23"/>
          <w:u w:val="none"/>
          <w:shd w:fill="auto" w:val="clear"/>
          <w:vertAlign w:val="baseline"/>
          <w:rtl w:val="0"/>
        </w:rPr>
        <w:t xml:space="preserve"> Pruebas unitarias y de integración con cobertura ≥ 80% y verificación de error ≤ 1,0% (16 h).</w:t>
      </w:r>
      <w:r w:rsidDel="00000000" w:rsidR="00000000" w:rsidRPr="00000000">
        <w:rPr>
          <w:rtl w:val="0"/>
        </w:rPr>
      </w:r>
    </w:p>
    <w:p w:rsidR="00000000" w:rsidDel="00000000" w:rsidP="00000000" w:rsidRDefault="00000000" w:rsidRPr="00000000" w14:paraId="0000049D">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3. </w:t>
      </w:r>
      <w:r w:rsidDel="00000000" w:rsidR="00000000" w:rsidRPr="00000000">
        <w:rPr>
          <w:rFonts w:ascii="Times New Roman" w:cs="Times New Roman" w:eastAsia="Times New Roman" w:hAnsi="Times New Roman"/>
          <w:b w:val="1"/>
          <w:bCs w:val="1"/>
          <w:i w:val="0"/>
          <w:iCs w:val="0"/>
          <w:color w:val="0f172a"/>
          <w:sz w:val="23"/>
          <w:szCs w:val="23"/>
          <w:rtl w:val="0"/>
        </w:rPr>
        <w:t xml:space="preserve">Sprint 4 · Arnés Cognitivo, Trazabilidad Inmutable y Cierre v-final (Semanas 12 a 14: 68 h-p):</w:t>
      </w:r>
      <w:r w:rsidDel="00000000" w:rsidR="00000000" w:rsidRPr="00000000">
        <w:rPr>
          <w:rtl w:val="0"/>
        </w:rPr>
      </w:r>
    </w:p>
    <w:p w:rsidR="00000000" w:rsidDel="00000000" w:rsidP="00000000" w:rsidRDefault="00000000" w:rsidRPr="00000000" w14:paraId="00000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WBS 4.1 — Arnés Cognitivo RAG Normativo: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Recuperación contextual de directrices ECSS y NASA sin alucinaciones (RF-06, 16 h).</w:t>
      </w:r>
      <w:r w:rsidDel="00000000" w:rsidR="00000000" w:rsidRPr="00000000">
        <w:rPr>
          <w:rtl w:val="0"/>
        </w:rPr>
      </w:r>
    </w:p>
    <w:p w:rsidR="00000000" w:rsidDel="00000000" w:rsidP="00000000" w:rsidRDefault="00000000" w:rsidRPr="00000000" w14:paraId="000004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WBS 4.2 — Chat de Hilo Digital con Doble Agente Adaptativo:</w:t>
      </w:r>
      <w:r w:rsidDel="00000000" w:rsidR="00000000" w:rsidRPr="00000000">
        <w:rPr>
          <w:rFonts w:ascii="Gungsuh" w:cs="Gungsuh" w:eastAsia="Gungsuh" w:hAnsi="Gungsuh"/>
          <w:b w:val="0"/>
          <w:bCs w:val="0"/>
          <w:i w:val="0"/>
          <w:iCs w:val="0"/>
          <w:smallCaps w:val="0"/>
          <w:strike w:val="0"/>
          <w:color w:val="0f172a"/>
          <w:sz w:val="23"/>
          <w:szCs w:val="23"/>
          <w:u w:val="none"/>
          <w:shd w:fill="auto" w:val="clear"/>
          <w:vertAlign w:val="baseline"/>
          <w:rtl w:val="0"/>
        </w:rPr>
        <w:t xml:space="preserve"> Adaptación dinámica de respuesta según índice NASA-TLX en tiempo ≤ 2,5 s (RF-12, RN-07, 16 h).</w:t>
      </w:r>
      <w:r w:rsidDel="00000000" w:rsidR="00000000" w:rsidRPr="00000000">
        <w:rPr>
          <w:rtl w:val="0"/>
        </w:rPr>
      </w:r>
    </w:p>
    <w:p w:rsidR="00000000" w:rsidDel="00000000" w:rsidP="00000000" w:rsidRDefault="00000000" w:rsidRPr="00000000" w14:paraId="00000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WBS 4.3 — Módulo Psicométrico NASA-TLX:</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Instrumentación de las seis subescalas y 15 comparaciones pareadas con cálculo ponderado (RF-07, 10 h).</w:t>
      </w:r>
      <w:r w:rsidDel="00000000" w:rsidR="00000000" w:rsidRPr="00000000">
        <w:rPr>
          <w:rtl w:val="0"/>
        </w:rPr>
      </w:r>
    </w:p>
    <w:p w:rsidR="00000000" w:rsidDel="00000000" w:rsidP="00000000" w:rsidRDefault="00000000" w:rsidRPr="00000000" w14:paraId="00000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WBS 4.4 — Memoria Técnica Inmutable (`DecisionLog`):</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Pista de auditoría con firma SHA-256 vinculada al </w:t>
      </w: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PerfilIngeniero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(RF-09, RNF-05, 10 h).</w:t>
      </w:r>
      <w:r w:rsidDel="00000000" w:rsidR="00000000" w:rsidRPr="00000000">
        <w:rPr>
          <w:rtl w:val="0"/>
        </w:rPr>
      </w:r>
    </w:p>
    <w:p w:rsidR="00000000" w:rsidDel="00000000" w:rsidP="00000000" w:rsidRDefault="00000000" w:rsidRPr="00000000" w14:paraId="000004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WBS 4.5 — Ensayos Experimentales de Usabilidad con CTA-UNLP:</w:t>
      </w:r>
      <w:r w:rsidDel="00000000" w:rsidR="00000000" w:rsidRPr="00000000">
        <w:rPr>
          <w:rFonts w:ascii="Gungsuh" w:cs="Gungsuh" w:eastAsia="Gungsuh" w:hAnsi="Gungsuh"/>
          <w:b w:val="0"/>
          <w:bCs w:val="0"/>
          <w:i w:val="0"/>
          <w:iCs w:val="0"/>
          <w:smallCaps w:val="0"/>
          <w:strike w:val="0"/>
          <w:color w:val="0f172a"/>
          <w:sz w:val="23"/>
          <w:szCs w:val="23"/>
          <w:u w:val="none"/>
          <w:shd w:fill="auto" w:val="clear"/>
          <w:vertAlign w:val="baseline"/>
          <w:rtl w:val="0"/>
        </w:rPr>
        <w:t xml:space="preserve"> Validación de reducción ≥ 15 puntos en NASA-TLX y SUS ≥ 75 puntos (RNF-03, 10 h).</w:t>
      </w:r>
      <w:r w:rsidDel="00000000" w:rsidR="00000000" w:rsidRPr="00000000">
        <w:rPr>
          <w:rtl w:val="0"/>
        </w:rPr>
      </w:r>
    </w:p>
    <w:p w:rsidR="00000000" w:rsidDel="00000000" w:rsidP="00000000" w:rsidRDefault="00000000" w:rsidRPr="00000000" w14:paraId="000004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WBS 4.6 — Consolidación Documental y Congelamiento: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Revisión final de documentación, etiquetado </w:t>
      </w: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v-final</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y congelamiento de versión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Code Freeze</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6 h).</w:t>
      </w:r>
      <w:r w:rsidDel="00000000" w:rsidR="00000000" w:rsidRPr="00000000">
        <w:rPr>
          <w:rtl w:val="0"/>
        </w:rPr>
      </w:r>
    </w:p>
    <w:p w:rsidR="00000000" w:rsidDel="00000000" w:rsidP="00000000" w:rsidRDefault="00000000" w:rsidRPr="00000000" w14:paraId="000004A4">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Figura 3 · Cronograma con Dependencias y Camino Crítico del Proyecto CODI</w:t>
      </w:r>
      <w:r w:rsidDel="00000000" w:rsidR="00000000" w:rsidRPr="00000000">
        <w:rPr>
          <w:rtl w:val="0"/>
        </w:rPr>
      </w:r>
    </w:p>
    <w:p w:rsidR="00000000" w:rsidDel="00000000" w:rsidP="00000000" w:rsidRDefault="00000000" w:rsidRPr="00000000" w14:paraId="000004A5">
      <w:pPr>
        <w:keepNext w:val="1"/>
        <w:spacing w:after="40" w:before="160" w:lineRule="auto"/>
        <w:jc w:val="center"/>
        <w:rPr/>
      </w:pPr>
      <w:r w:rsidDel="00000000" w:rsidR="00000000" w:rsidRPr="00000000">
        <w:rPr/>
        <w:drawing>
          <wp:inline distB="0" distT="0" distL="114300" distR="114300">
            <wp:extent cx="5303520" cy="311175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03520" cy="3111759"/>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spacing w:after="160" w:before="40" w:lineRule="auto"/>
        <w:jc w:val="center"/>
        <w:rPr/>
      </w:pPr>
      <w:r w:rsidDel="00000000" w:rsidR="00000000" w:rsidRPr="00000000">
        <w:rPr>
          <w:rFonts w:ascii="Times New Roman" w:cs="Times New Roman" w:eastAsia="Times New Roman" w:hAnsi="Times New Roman"/>
          <w:i w:val="1"/>
          <w:iCs w:val="1"/>
          <w:color w:val="475569"/>
          <w:sz w:val="20"/>
          <w:szCs w:val="20"/>
          <w:rtl w:val="0"/>
        </w:rPr>
        <w:t xml:space="preserve">Figura 3. Cronograma del Proyecto CODI y Dependencias entre Tareas</w:t>
      </w:r>
      <w:r w:rsidDel="00000000" w:rsidR="00000000" w:rsidRPr="00000000">
        <w:rPr>
          <w:rtl w:val="0"/>
        </w:rPr>
      </w:r>
    </w:p>
    <w:p w:rsidR="00000000" w:rsidDel="00000000" w:rsidP="00000000" w:rsidRDefault="00000000" w:rsidRPr="00000000" w14:paraId="000004A7">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Nota. El camino crítico comprende la secuencia de ingesta estructurada (WBS 3.1), motor determinístico EPS (WBS 3.2), arnés RAG normativo (WBS 4.1), chat adaptativo (WBS 4.2) y verificación experimental con usuarios de dominio (WBS 4.5).</w:t>
      </w:r>
      <w:r w:rsidDel="00000000" w:rsidR="00000000" w:rsidRPr="00000000">
        <w:rPr>
          <w:rtl w:val="0"/>
        </w:rPr>
      </w:r>
    </w:p>
    <w:p w:rsidR="00000000" w:rsidDel="00000000" w:rsidP="00000000" w:rsidRDefault="00000000" w:rsidRPr="00000000" w14:paraId="000004A8">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Cláusula de Contingencia ante Desviaciones de Capacidad</w:t>
      </w:r>
      <w:r w:rsidDel="00000000" w:rsidR="00000000" w:rsidRPr="00000000">
        <w:rPr>
          <w:rtl w:val="0"/>
        </w:rPr>
      </w:r>
    </w:p>
    <w:p w:rsidR="00000000" w:rsidDel="00000000" w:rsidP="00000000" w:rsidRDefault="00000000" w:rsidRPr="00000000" w14:paraId="000004A9">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En cumplimiento de las normas de formulación rigurosa de proyectos de ingeniería de software, la planificación incorpora una cláusula de contingencia formal para gobernar la respuesta del proyecto ante una merma sustancial de la disponibilidad horaria del autor (hasta un tercio de reducción, equivalente a 63 horas-persona):</w:t>
      </w:r>
      <w:r w:rsidDel="00000000" w:rsidR="00000000" w:rsidRPr="00000000">
        <w:rPr>
          <w:rtl w:val="0"/>
        </w:rPr>
      </w:r>
    </w:p>
    <w:p w:rsidR="00000000" w:rsidDel="00000000" w:rsidP="00000000" w:rsidRDefault="00000000" w:rsidRPr="00000000" w14:paraId="000004AA">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 </w:t>
      </w:r>
      <w:r w:rsidDel="00000000" w:rsidR="00000000" w:rsidRPr="00000000">
        <w:rPr>
          <w:rFonts w:ascii="Times New Roman" w:cs="Times New Roman" w:eastAsia="Times New Roman" w:hAnsi="Times New Roman"/>
          <w:b w:val="1"/>
          <w:bCs w:val="1"/>
          <w:i w:val="0"/>
          <w:iCs w:val="0"/>
          <w:color w:val="0f172a"/>
          <w:sz w:val="23"/>
          <w:szCs w:val="23"/>
          <w:rtl w:val="0"/>
        </w:rPr>
        <w:t xml:space="preserve">Qué se posterga si el presupuesto cae un tercio:</w:t>
      </w:r>
      <w:r w:rsidDel="00000000" w:rsidR="00000000" w:rsidRPr="00000000">
        <w:rPr>
          <w:rtl w:val="0"/>
        </w:rPr>
      </w:r>
    </w:p>
    <w:p w:rsidR="00000000" w:rsidDel="00000000" w:rsidP="00000000" w:rsidRDefault="00000000" w:rsidRPr="00000000" w14:paraId="000004AB">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Ante una pérdida de hasta 63 horas-persona por razones de salud sobrevinientes, obligaciones extraordinarias o contingencias de fuerza mayor, se postergan de manera automática e inmediata las capacidades clasificadas como </w:t>
      </w:r>
      <w:r w:rsidDel="00000000" w:rsidR="00000000" w:rsidRPr="00000000">
        <w:rPr>
          <w:rFonts w:ascii="Times New Roman" w:cs="Times New Roman" w:eastAsia="Times New Roman" w:hAnsi="Times New Roman"/>
          <w:b w:val="0"/>
          <w:bCs w:val="0"/>
          <w:i w:val="1"/>
          <w:iCs w:val="1"/>
          <w:color w:val="0f172a"/>
          <w:sz w:val="24"/>
          <w:szCs w:val="24"/>
          <w:rtl w:val="0"/>
        </w:rPr>
        <w:t xml:space="preserve">Should Have</w:t>
      </w:r>
      <w:r w:rsidDel="00000000" w:rsidR="00000000" w:rsidRPr="00000000">
        <w:rPr>
          <w:rFonts w:ascii="Times New Roman" w:cs="Times New Roman" w:eastAsia="Times New Roman" w:hAnsi="Times New Roman"/>
          <w:b w:val="0"/>
          <w:bCs w:val="0"/>
          <w:i w:val="0"/>
          <w:iCs w:val="0"/>
          <w:color w:val="0f172a"/>
          <w:sz w:val="24"/>
          <w:szCs w:val="24"/>
          <w:rtl w:val="0"/>
        </w:rPr>
        <w:t xml:space="preserve"> en el Catálogo de Requisitos:</w:t>
      </w:r>
      <w:r w:rsidDel="00000000" w:rsidR="00000000" w:rsidRPr="00000000">
        <w:rPr>
          <w:rtl w:val="0"/>
        </w:rPr>
      </w:r>
    </w:p>
    <w:p w:rsidR="00000000" w:rsidDel="00000000" w:rsidP="00000000" w:rsidRDefault="00000000" w:rsidRPr="00000000" w14:paraId="00000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La exportación tabular y documental automatizada de la matriz de trazabilidad en formatos PDF/CSV (RF-10, demanda estimada: 14 h-p), manteniendo la consulta relacional directa en base de datos.</w:t>
      </w:r>
      <w:r w:rsidDel="00000000" w:rsidR="00000000" w:rsidRPr="00000000">
        <w:rPr>
          <w:rtl w:val="0"/>
        </w:rPr>
      </w:r>
    </w:p>
    <w:p w:rsidR="00000000" w:rsidDel="00000000" w:rsidP="00000000" w:rsidRDefault="00000000" w:rsidRPr="00000000" w14:paraId="00000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El renderizado interactivo del grafo de dependencias de la misión (RF-11, demanda estimada: 18 h-p), sustituyéndolo por vistas tabulares estándar.</w:t>
      </w:r>
      <w:r w:rsidDel="00000000" w:rsidR="00000000" w:rsidRPr="00000000">
        <w:rPr>
          <w:rtl w:val="0"/>
        </w:rPr>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La absorción de la holgura operativa declarada de 6 h-p.</w:t>
      </w:r>
      <w:r w:rsidDel="00000000" w:rsidR="00000000" w:rsidRPr="00000000">
        <w:rPr>
          <w:rtl w:val="0"/>
        </w:rPr>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La simplificación del panel gráfico de métricas en tiempo real en la interfaz del chat adaptativo, trasladándolo a reportes numéricos en texto plano (12 h-p).</w:t>
      </w:r>
      <w:r w:rsidDel="00000000" w:rsidR="00000000" w:rsidRPr="00000000">
        <w:rPr>
          <w:rtl w:val="0"/>
        </w:rPr>
      </w:r>
    </w:p>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La reducción de las rondas de pruebas de usabilidad externas al umbral mínimo metodológico muestral (13 h-p).</w:t>
      </w:r>
      <w:r w:rsidDel="00000000" w:rsidR="00000000" w:rsidRPr="00000000">
        <w:rPr>
          <w:rtl w:val="0"/>
        </w:rPr>
      </w:r>
    </w:p>
    <w:p w:rsidR="00000000" w:rsidDel="00000000" w:rsidP="00000000" w:rsidRDefault="00000000" w:rsidRPr="00000000" w14:paraId="000004B1">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Total de horas postergadas sin afectar el núcleo del sistema:</w:t>
      </w:r>
      <w:r w:rsidDel="00000000" w:rsidR="00000000" w:rsidRPr="00000000">
        <w:rPr>
          <w:rFonts w:ascii="Times New Roman" w:cs="Times New Roman" w:eastAsia="Times New Roman" w:hAnsi="Times New Roman"/>
          <w:b w:val="0"/>
          <w:bCs w:val="0"/>
          <w:i w:val="0"/>
          <w:iCs w:val="0"/>
          <w:color w:val="0f172a"/>
          <w:sz w:val="24"/>
          <w:szCs w:val="24"/>
          <w:rtl w:val="0"/>
        </w:rPr>
        <w:t xml:space="preserve"> 14 + 18 + 6 + 12 + 13 = 63 horas-persona.</w:t>
      </w:r>
      <w:r w:rsidDel="00000000" w:rsidR="00000000" w:rsidRPr="00000000">
        <w:rPr>
          <w:rtl w:val="0"/>
        </w:rPr>
      </w:r>
    </w:p>
    <w:p w:rsidR="00000000" w:rsidDel="00000000" w:rsidP="00000000" w:rsidRDefault="00000000" w:rsidRPr="00000000" w14:paraId="000004B2">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2. </w:t>
      </w:r>
      <w:r w:rsidDel="00000000" w:rsidR="00000000" w:rsidRPr="00000000">
        <w:rPr>
          <w:rFonts w:ascii="Times New Roman" w:cs="Times New Roman" w:eastAsia="Times New Roman" w:hAnsi="Times New Roman"/>
          <w:b w:val="1"/>
          <w:bCs w:val="1"/>
          <w:i w:val="0"/>
          <w:iCs w:val="0"/>
          <w:color w:val="0f172a"/>
          <w:sz w:val="23"/>
          <w:szCs w:val="23"/>
          <w:rtl w:val="0"/>
        </w:rPr>
        <w:t xml:space="preserve">Criterio de redistribución del esfuerzo:</w:t>
      </w:r>
      <w:r w:rsidDel="00000000" w:rsidR="00000000" w:rsidRPr="00000000">
        <w:rPr>
          <w:rtl w:val="0"/>
        </w:rPr>
      </w:r>
    </w:p>
    <w:p w:rsidR="00000000" w:rsidDel="00000000" w:rsidP="00000000" w:rsidRDefault="00000000" w:rsidRPr="00000000" w14:paraId="000004B3">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Al operar bajo una estructura unipersonal, la contingencia no se gestiona delegando tareas entre miembros, sino </w:t>
      </w:r>
      <w:r w:rsidDel="00000000" w:rsidR="00000000" w:rsidRPr="00000000">
        <w:rPr>
          <w:rFonts w:ascii="Times New Roman" w:cs="Times New Roman" w:eastAsia="Times New Roman" w:hAnsi="Times New Roman"/>
          <w:b w:val="1"/>
          <w:bCs w:val="1"/>
          <w:i w:val="0"/>
          <w:iCs w:val="0"/>
          <w:color w:val="0f172a"/>
          <w:sz w:val="24"/>
          <w:szCs w:val="24"/>
          <w:rtl w:val="0"/>
        </w:rPr>
        <w:t xml:space="preserve">reordenando la inversión de tiempo sobre el camino crítico del Producto Mínimo Viable (MVP)</w:t>
      </w:r>
      <w:r w:rsidDel="00000000" w:rsidR="00000000" w:rsidRPr="00000000">
        <w:rPr>
          <w:rFonts w:ascii="Times New Roman" w:cs="Times New Roman" w:eastAsia="Times New Roman" w:hAnsi="Times New Roman"/>
          <w:b w:val="0"/>
          <w:bCs w:val="0"/>
          <w:i w:val="0"/>
          <w:iCs w:val="0"/>
          <w:color w:val="0f172a"/>
          <w:sz w:val="24"/>
          <w:szCs w:val="24"/>
          <w:rtl w:val="0"/>
        </w:rPr>
        <w:t xml:space="preserve">. El 100% de la capacidad horaria remanente se destina a consolidar el motor determinístico EPS (RF-02, RF-03, RF-04, RF-05, RF-08), el arnés cognitivo de soporte a decisiones (RF-06, RF-12), el registro inmutable </w:t>
      </w:r>
      <w:r w:rsidDel="00000000" w:rsidR="00000000" w:rsidRPr="00000000">
        <w:rPr>
          <w:rFonts w:ascii="Consolas" w:cs="Consolas" w:eastAsia="Consolas" w:hAnsi="Consolas"/>
          <w:b w:val="0"/>
          <w:bCs w:val="0"/>
          <w:i w:val="0"/>
          <w:iCs w:val="0"/>
          <w:color w:val="334155"/>
          <w:sz w:val="21"/>
          <w:szCs w:val="21"/>
          <w:rtl w:val="0"/>
        </w:rPr>
        <w:t xml:space="preserve">DecisionLog</w:t>
      </w:r>
      <w:r w:rsidDel="00000000" w:rsidR="00000000" w:rsidRPr="00000000">
        <w:rPr>
          <w:rFonts w:ascii="Times New Roman" w:cs="Times New Roman" w:eastAsia="Times New Roman" w:hAnsi="Times New Roman"/>
          <w:b w:val="0"/>
          <w:bCs w:val="0"/>
          <w:i w:val="0"/>
          <w:iCs w:val="0"/>
          <w:color w:val="0f172a"/>
          <w:sz w:val="24"/>
          <w:szCs w:val="24"/>
          <w:rtl w:val="0"/>
        </w:rPr>
        <w:t xml:space="preserve"> (RF-09) y el protocolo de evaluación psicométrica NASA-TLX (RF-07).</w:t>
      </w:r>
      <w:r w:rsidDel="00000000" w:rsidR="00000000" w:rsidRPr="00000000">
        <w:rPr>
          <w:rtl w:val="0"/>
        </w:rPr>
      </w:r>
    </w:p>
    <w:p w:rsidR="00000000" w:rsidDel="00000000" w:rsidP="00000000" w:rsidRDefault="00000000" w:rsidRPr="00000000" w14:paraId="000004B4">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3. </w:t>
      </w:r>
      <w:r w:rsidDel="00000000" w:rsidR="00000000" w:rsidRPr="00000000">
        <w:rPr>
          <w:rFonts w:ascii="Times New Roman" w:cs="Times New Roman" w:eastAsia="Times New Roman" w:hAnsi="Times New Roman"/>
          <w:b w:val="1"/>
          <w:bCs w:val="1"/>
          <w:i w:val="0"/>
          <w:iCs w:val="0"/>
          <w:color w:val="0f172a"/>
          <w:sz w:val="23"/>
          <w:szCs w:val="23"/>
          <w:rtl w:val="0"/>
        </w:rPr>
        <w:t xml:space="preserve">Qué NO se sacrifica en ningún caso (Intangibles del Proyecto):</w:t>
      </w:r>
      <w:r w:rsidDel="00000000" w:rsidR="00000000" w:rsidRPr="00000000">
        <w:rPr>
          <w:rtl w:val="0"/>
        </w:rPr>
      </w:r>
    </w:p>
    <w:p w:rsidR="00000000" w:rsidDel="00000000" w:rsidP="00000000" w:rsidRDefault="00000000" w:rsidRPr="00000000" w14:paraId="000004B5">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Bajo ninguna circunstancia ni nivel de contingencia horaria se admitirá el sacrificio de los dos activos estructurales del proyecto:</w:t>
      </w:r>
      <w:r w:rsidDel="00000000" w:rsidR="00000000" w:rsidRPr="00000000">
        <w:rPr>
          <w:rtl w:val="0"/>
        </w:rPr>
      </w:r>
    </w:p>
    <w:p w:rsidR="00000000" w:rsidDel="00000000" w:rsidP="00000000" w:rsidRDefault="00000000" w:rsidRPr="00000000" w14:paraId="00000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La Trazabilidad Bidireccional del Catálogo: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Todo requisito implementado o evaluado preserva su vínculo verificable con el hallazgo empírico de origen y el acta técnica del relevamiento.</w:t>
      </w:r>
      <w:r w:rsidDel="00000000" w:rsidR="00000000" w:rsidRPr="00000000">
        <w:rPr>
          <w:rtl w:val="0"/>
        </w:rPr>
      </w:r>
    </w:p>
    <w:p w:rsidR="00000000" w:rsidDel="00000000" w:rsidP="00000000" w:rsidRDefault="00000000" w:rsidRPr="00000000" w14:paraId="00000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La Ejecutabilidad Material del Software:</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El prototipo ejecutable debe compilar, arrancar y correr en máquina limpia bajo contenedor Docker de forma autónoma, y el canal de integración continua debe ejecutar exitosamente sus pruebas automatizadas en la rama principal. Un incremento que no se ejecute invalida la aceptación del proyecto.</w:t>
      </w:r>
      <w:r w:rsidDel="00000000" w:rsidR="00000000" w:rsidRPr="00000000">
        <w:rPr>
          <w:rtl w:val="0"/>
        </w:rPr>
      </w:r>
    </w:p>
    <w:p w:rsidR="00000000" w:rsidDel="00000000" w:rsidP="00000000" w:rsidRDefault="00000000" w:rsidRPr="00000000" w14:paraId="000004B8">
      <w:pPr>
        <w:pStyle w:val="Heading2"/>
        <w:keepNext w:val="1"/>
        <w:rPr/>
      </w:pPr>
      <w:r w:rsidDel="00000000" w:rsidR="00000000" w:rsidRPr="00000000">
        <w:rPr>
          <w:rFonts w:ascii="Times New Roman" w:cs="Times New Roman" w:eastAsia="Times New Roman" w:hAnsi="Times New Roman"/>
          <w:b w:val="1"/>
          <w:bCs w:val="1"/>
          <w:i w:val="0"/>
          <w:iCs w:val="0"/>
          <w:color w:val="0f172a"/>
          <w:sz w:val="28"/>
          <w:szCs w:val="28"/>
          <w:rtl w:val="0"/>
        </w:rPr>
        <w:t xml:space="preserve">V.5 · Descripción del Producto Mínimo Viable (MVP)</w:t>
      </w:r>
      <w:r w:rsidDel="00000000" w:rsidR="00000000" w:rsidRPr="00000000">
        <w:rPr>
          <w:rtl w:val="0"/>
        </w:rPr>
      </w:r>
    </w:p>
    <w:p w:rsidR="00000000" w:rsidDel="00000000" w:rsidP="00000000" w:rsidRDefault="00000000" w:rsidRPr="00000000" w14:paraId="000004B9">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Producto Mínimo Viable (MVP) del sistema CODI (</w:t>
      </w:r>
      <w:r w:rsidDel="00000000" w:rsidR="00000000" w:rsidRPr="00000000">
        <w:rPr>
          <w:rFonts w:ascii="Times New Roman" w:cs="Times New Roman" w:eastAsia="Times New Roman" w:hAnsi="Times New Roman"/>
          <w:b w:val="0"/>
          <w:bCs w:val="0"/>
          <w:i w:val="1"/>
          <w:iCs w:val="1"/>
          <w:color w:val="0f172a"/>
          <w:sz w:val="24"/>
          <w:szCs w:val="24"/>
          <w:rtl w:val="0"/>
        </w:rPr>
        <w:t xml:space="preserve">Cognitive Operations &amp; Decision Intelligence</w:t>
      </w:r>
      <w:r w:rsidDel="00000000" w:rsidR="00000000" w:rsidRPr="00000000">
        <w:rPr>
          <w:rFonts w:ascii="Times New Roman" w:cs="Times New Roman" w:eastAsia="Times New Roman" w:hAnsi="Times New Roman"/>
          <w:b w:val="0"/>
          <w:bCs w:val="0"/>
          <w:i w:val="0"/>
          <w:iCs w:val="0"/>
          <w:color w:val="0f172a"/>
          <w:sz w:val="24"/>
          <w:szCs w:val="24"/>
          <w:rtl w:val="0"/>
        </w:rPr>
        <w:t xml:space="preserve">) se define estrictamente por su conjunto de casos de uso ejecutables y verificables, excluyendo promesas generales no medibles y garantizando una correspondencia biunívoca y rigurosa con los dieciséis (16) requisitos clasificados como </w:t>
      </w:r>
      <w:r w:rsidDel="00000000" w:rsidR="00000000" w:rsidRPr="00000000">
        <w:rPr>
          <w:rFonts w:ascii="Times New Roman" w:cs="Times New Roman" w:eastAsia="Times New Roman" w:hAnsi="Times New Roman"/>
          <w:b w:val="0"/>
          <w:bCs w:val="0"/>
          <w:i w:val="1"/>
          <w:iCs w:val="1"/>
          <w:color w:val="0f172a"/>
          <w:sz w:val="24"/>
          <w:szCs w:val="24"/>
          <w:rtl w:val="0"/>
        </w:rPr>
        <w:t xml:space="preserve">Must Have</w:t>
      </w:r>
      <w:r w:rsidDel="00000000" w:rsidR="00000000" w:rsidRPr="00000000">
        <w:rPr>
          <w:rFonts w:ascii="Times New Roman" w:cs="Times New Roman" w:eastAsia="Times New Roman" w:hAnsi="Times New Roman"/>
          <w:b w:val="0"/>
          <w:bCs w:val="0"/>
          <w:i w:val="0"/>
          <w:iCs w:val="0"/>
          <w:color w:val="0f172a"/>
          <w:sz w:val="24"/>
          <w:szCs w:val="24"/>
          <w:rtl w:val="0"/>
        </w:rPr>
        <w:t xml:space="preserve"> en el Catálogo (diez Requisitos Funcionales y seis Requisitos No Funcionales del Capítulo III, Sec. III.5). Esta delimitación funcional se fundamenta en la necesidad crítica de resolver de forma temprana el cuello de botella empírico documentado en el Centro Tecnológico Aeroespacial (CTA-UNLP): la pérdida recurrente de memoria técnica ante la rotación continua de 10 a 60 becarios (que exige de 30 a 45 días de superposición presencial improductiva), la existencia de "números tácitos" en planillas aisladas y las desincronizaciones de interfaces detectadas a escasas 72 horas de los ensayos de integración (Misión Atenea; Botta, 2026). Se evalúa y descarta incorporar al MVP capacidades accesorias de telemetría orbital en vivo o comandos de voz en salas limpias por los límites validados L-04 y L-05, remitiendo su evaluación a iteraciones posteriores y resguardando el presupuesto efectivo de 184 horas-persona de demanda técnica.</w:t>
      </w:r>
      <w:r w:rsidDel="00000000" w:rsidR="00000000" w:rsidRPr="00000000">
        <w:rPr>
          <w:rtl w:val="0"/>
        </w:rPr>
      </w:r>
    </w:p>
    <w:p w:rsidR="00000000" w:rsidDel="00000000" w:rsidP="00000000" w:rsidRDefault="00000000" w:rsidRPr="00000000" w14:paraId="000004BA">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Casos de Uso Incluidos en el MVP</w:t>
      </w:r>
      <w:r w:rsidDel="00000000" w:rsidR="00000000" w:rsidRPr="00000000">
        <w:rPr>
          <w:rtl w:val="0"/>
        </w:rPr>
      </w:r>
    </w:p>
    <w:p w:rsidR="00000000" w:rsidDel="00000000" w:rsidP="00000000" w:rsidRDefault="00000000" w:rsidRPr="00000000" w14:paraId="000004BB">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Los casos de uso que componen el núcleo obligatorio del MVP cubren la totalidad de los requisitos </w:t>
      </w:r>
      <w:r w:rsidDel="00000000" w:rsidR="00000000" w:rsidRPr="00000000">
        <w:rPr>
          <w:rFonts w:ascii="Times New Roman" w:cs="Times New Roman" w:eastAsia="Times New Roman" w:hAnsi="Times New Roman"/>
          <w:b w:val="0"/>
          <w:bCs w:val="0"/>
          <w:i w:val="1"/>
          <w:iCs w:val="1"/>
          <w:color w:val="0f172a"/>
          <w:sz w:val="24"/>
          <w:szCs w:val="24"/>
          <w:rtl w:val="0"/>
        </w:rPr>
        <w:t xml:space="preserve">Must Have</w:t>
      </w:r>
      <w:r w:rsidDel="00000000" w:rsidR="00000000" w:rsidRPr="00000000">
        <w:rPr>
          <w:rFonts w:ascii="Times New Roman" w:cs="Times New Roman" w:eastAsia="Times New Roman" w:hAnsi="Times New Roman"/>
          <w:b w:val="0"/>
          <w:bCs w:val="0"/>
          <w:i w:val="0"/>
          <w:iCs w:val="0"/>
          <w:color w:val="0f172a"/>
          <w:sz w:val="24"/>
          <w:szCs w:val="24"/>
          <w:rtl w:val="0"/>
        </w:rPr>
        <w:t xml:space="preserve"> y se definen con precondiciones, secuencias de interacción y resultados observables con valores numéricos verificables contra el dataset patrón de referencia (</w:t>
      </w:r>
      <w:r w:rsidDel="00000000" w:rsidR="00000000" w:rsidRPr="00000000">
        <w:rPr>
          <w:rFonts w:ascii="Times New Roman" w:cs="Times New Roman" w:eastAsia="Times New Roman" w:hAnsi="Times New Roman"/>
          <w:b w:val="0"/>
          <w:bCs w:val="0"/>
          <w:i w:val="1"/>
          <w:iCs w:val="1"/>
          <w:color w:val="0f172a"/>
          <w:sz w:val="24"/>
          <w:szCs w:val="24"/>
          <w:rtl w:val="0"/>
        </w:rPr>
        <w:t xml:space="preserve">ground-truth benchmark</w:t>
      </w:r>
      <w:r w:rsidDel="00000000" w:rsidR="00000000" w:rsidRPr="00000000">
        <w:rPr>
          <w:rFonts w:ascii="Times New Roman" w:cs="Times New Roman" w:eastAsia="Times New Roman" w:hAnsi="Times New Roman"/>
          <w:b w:val="0"/>
          <w:bCs w:val="0"/>
          <w:i w:val="0"/>
          <w:iCs w:val="0"/>
          <w:color w:val="0f172a"/>
          <w:sz w:val="24"/>
          <w:szCs w:val="24"/>
          <w:rtl w:val="0"/>
        </w:rPr>
        <w:t xml:space="preserve">) de El Hachimi et al. (2025) y las especificaciones abiertas de Cal Poly CDS REV 14.1:</w:t>
      </w:r>
      <w:r w:rsidDel="00000000" w:rsidR="00000000" w:rsidRPr="00000000">
        <w:rPr>
          <w:rtl w:val="0"/>
        </w:rPr>
      </w:r>
    </w:p>
    <w:p w:rsidR="00000000" w:rsidDel="00000000" w:rsidP="00000000" w:rsidRDefault="00000000" w:rsidRPr="00000000" w14:paraId="000004BC">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Técnica · CU-01: Inicialización del Cuaderno de Misión y Derivación Geométrica Orbital Base</w:t>
      </w:r>
      <w:r w:rsidDel="00000000" w:rsidR="00000000" w:rsidRPr="00000000">
        <w:rPr>
          <w:rtl w:val="0"/>
        </w:rPr>
      </w:r>
    </w:p>
    <w:tbl>
      <w:tblPr>
        <w:tblStyle w:val="Table50"/>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4B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4B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del Caso de Uso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B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Código y Denominación</w:t>
            </w:r>
            <w:r w:rsidDel="00000000" w:rsidR="00000000" w:rsidRPr="00000000">
              <w:rPr>
                <w:rtl w:val="0"/>
              </w:rPr>
            </w:r>
          </w:p>
        </w:tc>
        <w:tc>
          <w:tcPr/>
          <w:p w:rsidR="00000000" w:rsidDel="00000000" w:rsidP="00000000" w:rsidRDefault="00000000" w:rsidRPr="00000000" w14:paraId="000004C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CU-01</w:t>
            </w:r>
            <w:r w:rsidDel="00000000" w:rsidR="00000000" w:rsidRPr="00000000">
              <w:rPr>
                <w:rFonts w:ascii="Times New Roman" w:cs="Times New Roman" w:eastAsia="Times New Roman" w:hAnsi="Times New Roman"/>
                <w:b w:val="0"/>
                <w:bCs w:val="0"/>
                <w:i w:val="0"/>
                <w:iCs w:val="0"/>
                <w:color w:val="0f172a"/>
                <w:sz w:val="18"/>
                <w:szCs w:val="18"/>
                <w:rtl w:val="0"/>
              </w:rPr>
              <w:t xml:space="preserve"> · Inicialización del Cuaderno de Misión y Derivación Geométrica Orbital Base</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C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Requisitos Vinculados</w:t>
            </w:r>
            <w:r w:rsidDel="00000000" w:rsidR="00000000" w:rsidRPr="00000000">
              <w:rPr>
                <w:rtl w:val="0"/>
              </w:rPr>
            </w:r>
          </w:p>
        </w:tc>
        <w:tc>
          <w:tcPr/>
          <w:p w:rsidR="00000000" w:rsidDel="00000000" w:rsidP="00000000" w:rsidRDefault="00000000" w:rsidRPr="00000000" w14:paraId="000004C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RF-00</w:t>
            </w:r>
            <w:r w:rsidDel="00000000" w:rsidR="00000000" w:rsidRPr="00000000">
              <w:rPr>
                <w:rFonts w:ascii="Times New Roman" w:cs="Times New Roman" w:eastAsia="Times New Roman" w:hAnsi="Times New Roman"/>
                <w:b w:val="0"/>
                <w:bCs w:val="0"/>
                <w:i w:val="0"/>
                <w:iCs w:val="0"/>
                <w:color w:val="0f172a"/>
                <w:sz w:val="18"/>
                <w:szCs w:val="18"/>
                <w:rtl w:val="0"/>
              </w:rPr>
              <w:t xml:space="preserve"> (Inicialización de Cuaderno de Misión), </w:t>
            </w:r>
            <w:r w:rsidDel="00000000" w:rsidR="00000000" w:rsidRPr="00000000">
              <w:rPr>
                <w:rFonts w:ascii="Times New Roman" w:cs="Times New Roman" w:eastAsia="Times New Roman" w:hAnsi="Times New Roman"/>
                <w:b w:val="1"/>
                <w:bCs w:val="1"/>
                <w:i w:val="0"/>
                <w:iCs w:val="0"/>
                <w:color w:val="0f172a"/>
                <w:sz w:val="18"/>
                <w:szCs w:val="18"/>
                <w:rtl w:val="0"/>
              </w:rPr>
              <w:t xml:space="preserve">RF-02</w:t>
            </w:r>
            <w:r w:rsidDel="00000000" w:rsidR="00000000" w:rsidRPr="00000000">
              <w:rPr>
                <w:rFonts w:ascii="Times New Roman" w:cs="Times New Roman" w:eastAsia="Times New Roman" w:hAnsi="Times New Roman"/>
                <w:b w:val="0"/>
                <w:bCs w:val="0"/>
                <w:i w:val="0"/>
                <w:iCs w:val="0"/>
                <w:color w:val="0f172a"/>
                <w:sz w:val="18"/>
                <w:szCs w:val="18"/>
                <w:rtl w:val="0"/>
              </w:rPr>
              <w:t xml:space="preserve"> (Derivación analítica de geometría orbital y eclipse)</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C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Regla de Negocio</w:t>
            </w:r>
            <w:r w:rsidDel="00000000" w:rsidR="00000000" w:rsidRPr="00000000">
              <w:rPr>
                <w:rtl w:val="0"/>
              </w:rPr>
            </w:r>
          </w:p>
        </w:tc>
        <w:tc>
          <w:tcPr/>
          <w:p w:rsidR="00000000" w:rsidDel="00000000" w:rsidP="00000000" w:rsidRDefault="00000000" w:rsidRPr="00000000" w14:paraId="000004C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RN-03</w:t>
            </w:r>
            <w:r w:rsidDel="00000000" w:rsidR="00000000" w:rsidRPr="00000000">
              <w:rPr>
                <w:rFonts w:ascii="Times New Roman" w:cs="Times New Roman" w:eastAsia="Times New Roman" w:hAnsi="Times New Roman"/>
                <w:b w:val="0"/>
                <w:bCs w:val="0"/>
                <w:i w:val="0"/>
                <w:iCs w:val="0"/>
                <w:color w:val="0f172a"/>
                <w:sz w:val="18"/>
                <w:szCs w:val="18"/>
                <w:rtl w:val="0"/>
              </w:rPr>
              <w:t xml:space="preserve"> (Derivación analítica de geometría y eclipse en LEO)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C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Precondición</w:t>
            </w:r>
            <w:r w:rsidDel="00000000" w:rsidR="00000000" w:rsidRPr="00000000">
              <w:rPr>
                <w:rtl w:val="0"/>
              </w:rPr>
            </w:r>
          </w:p>
        </w:tc>
        <w:tc>
          <w:tcPr/>
          <w:p w:rsidR="00000000" w:rsidDel="00000000" w:rsidP="00000000" w:rsidRDefault="00000000" w:rsidRPr="00000000" w14:paraId="000004C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usuario accede con rol </w:t>
            </w:r>
            <w:r w:rsidDel="00000000" w:rsidR="00000000" w:rsidRPr="00000000">
              <w:rPr>
                <w:rFonts w:ascii="Consolas" w:cs="Consolas" w:eastAsia="Consolas" w:hAnsi="Consolas"/>
                <w:b w:val="0"/>
                <w:bCs w:val="0"/>
                <w:i w:val="0"/>
                <w:iCs w:val="0"/>
                <w:color w:val="334155"/>
                <w:sz w:val="15"/>
                <w:szCs w:val="15"/>
                <w:rtl w:val="0"/>
              </w:rPr>
              <w:t xml:space="preserve">PerfilIngeniero</w:t>
            </w:r>
            <w:r w:rsidDel="00000000" w:rsidR="00000000" w:rsidRPr="00000000">
              <w:rPr>
                <w:rFonts w:ascii="Times New Roman" w:cs="Times New Roman" w:eastAsia="Times New Roman" w:hAnsi="Times New Roman"/>
                <w:b w:val="0"/>
                <w:bCs w:val="0"/>
                <w:i w:val="0"/>
                <w:iCs w:val="0"/>
                <w:color w:val="0f172a"/>
                <w:sz w:val="18"/>
                <w:szCs w:val="18"/>
                <w:rtl w:val="0"/>
              </w:rPr>
              <w:t xml:space="preserve"> al espacio de trabajo del sistema sin proyectos abiertos.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C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Acción</w:t>
            </w:r>
            <w:r w:rsidDel="00000000" w:rsidR="00000000" w:rsidRPr="00000000">
              <w:rPr>
                <w:rtl w:val="0"/>
              </w:rPr>
            </w:r>
          </w:p>
        </w:tc>
        <w:tc>
          <w:tcPr/>
          <w:p w:rsidR="00000000" w:rsidDel="00000000" w:rsidP="00000000" w:rsidRDefault="00000000" w:rsidRPr="00000000" w14:paraId="000004C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usuario ingresa la denominación de la misión (ej. «LUMEN-1»), selecciona el factor de forma estándar CubeSat 3U, la altitud orbital circular (h = 500 km) y el ángulo beta solar (β = 0°).</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C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Resultado Observable</w:t>
            </w:r>
            <w:r w:rsidDel="00000000" w:rsidR="00000000" w:rsidRPr="00000000">
              <w:rPr>
                <w:rtl w:val="0"/>
              </w:rPr>
            </w:r>
          </w:p>
        </w:tc>
        <w:tc>
          <w:tcPr/>
          <w:p w:rsidR="00000000" w:rsidDel="00000000" w:rsidP="00000000" w:rsidRDefault="00000000" w:rsidRPr="00000000" w14:paraId="000004C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sistema crea el Cuaderno de Misión en menos de 1,0 segundo (RNF-01), inicializa el árbol de subsistemas y calcula analíticamente mediante mecánica kepleriana un período orbital T_orb = 94,6 ± 0,2 min, una fracción de eclipse f_ecl = 0,375 ± 0,005 y una duración de sombra T_ecl = 35,5 ± 0,5 min, desplegando los parámetros físicos verificados con una discrepancia &lt;= 1,0% respecto a los valores analíticos de referencia de New SMAD y El Hachimi et al. (2025) (RNF-02).</w:t>
            </w:r>
            <w:r w:rsidDel="00000000" w:rsidR="00000000" w:rsidRPr="00000000">
              <w:rPr>
                <w:rtl w:val="0"/>
              </w:rPr>
            </w:r>
          </w:p>
        </w:tc>
      </w:tr>
    </w:tbl>
    <w:p w:rsidR="00000000" w:rsidDel="00000000" w:rsidP="00000000" w:rsidRDefault="00000000" w:rsidRPr="00000000" w14:paraId="000004CB">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Técnica · CU-02: Ingesta Estructurada de Documentos de Interfaz (ICD) y Verificación Eléctrica</w:t>
      </w:r>
      <w:r w:rsidDel="00000000" w:rsidR="00000000" w:rsidRPr="00000000">
        <w:rPr>
          <w:rtl w:val="0"/>
        </w:rPr>
      </w:r>
    </w:p>
    <w:tbl>
      <w:tblPr>
        <w:tblStyle w:val="Table51"/>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4C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4C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del Caso de Uso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C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Código y Denominación</w:t>
            </w:r>
            <w:r w:rsidDel="00000000" w:rsidR="00000000" w:rsidRPr="00000000">
              <w:rPr>
                <w:rtl w:val="0"/>
              </w:rPr>
            </w:r>
          </w:p>
        </w:tc>
        <w:tc>
          <w:tcPr/>
          <w:p w:rsidR="00000000" w:rsidDel="00000000" w:rsidP="00000000" w:rsidRDefault="00000000" w:rsidRPr="00000000" w14:paraId="000004C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CU-02</w:t>
            </w:r>
            <w:r w:rsidDel="00000000" w:rsidR="00000000" w:rsidRPr="00000000">
              <w:rPr>
                <w:rFonts w:ascii="Times New Roman" w:cs="Times New Roman" w:eastAsia="Times New Roman" w:hAnsi="Times New Roman"/>
                <w:b w:val="0"/>
                <w:bCs w:val="0"/>
                <w:i w:val="0"/>
                <w:iCs w:val="0"/>
                <w:color w:val="0f172a"/>
                <w:sz w:val="18"/>
                <w:szCs w:val="18"/>
                <w:rtl w:val="0"/>
              </w:rPr>
              <w:t xml:space="preserve"> · Ingesta Estructurada de Documentos de Interfaz (ICD) y Verificación de Acoplamiento Eléctrico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D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Requisitos Vinculados</w:t>
            </w:r>
            <w:r w:rsidDel="00000000" w:rsidR="00000000" w:rsidRPr="00000000">
              <w:rPr>
                <w:rtl w:val="0"/>
              </w:rPr>
            </w:r>
          </w:p>
        </w:tc>
        <w:tc>
          <w:tcPr/>
          <w:p w:rsidR="00000000" w:rsidDel="00000000" w:rsidP="00000000" w:rsidRDefault="00000000" w:rsidRPr="00000000" w14:paraId="000004D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RF-01</w:t>
            </w:r>
            <w:r w:rsidDel="00000000" w:rsidR="00000000" w:rsidRPr="00000000">
              <w:rPr>
                <w:rFonts w:ascii="Times New Roman" w:cs="Times New Roman" w:eastAsia="Times New Roman" w:hAnsi="Times New Roman"/>
                <w:b w:val="0"/>
                <w:bCs w:val="0"/>
                <w:i w:val="0"/>
                <w:iCs w:val="0"/>
                <w:color w:val="0f172a"/>
                <w:sz w:val="18"/>
                <w:szCs w:val="18"/>
                <w:rtl w:val="0"/>
              </w:rPr>
              <w:t xml:space="preserve"> (Ingesta y parseo de ICDs), </w:t>
            </w:r>
            <w:r w:rsidDel="00000000" w:rsidR="00000000" w:rsidRPr="00000000">
              <w:rPr>
                <w:rFonts w:ascii="Times New Roman" w:cs="Times New Roman" w:eastAsia="Times New Roman" w:hAnsi="Times New Roman"/>
                <w:b w:val="1"/>
                <w:bCs w:val="1"/>
                <w:i w:val="0"/>
                <w:iCs w:val="0"/>
                <w:color w:val="0f172a"/>
                <w:sz w:val="18"/>
                <w:szCs w:val="18"/>
                <w:rtl w:val="0"/>
              </w:rPr>
              <w:t xml:space="preserve">RF-08</w:t>
            </w:r>
            <w:r w:rsidDel="00000000" w:rsidR="00000000" w:rsidRPr="00000000">
              <w:rPr>
                <w:rFonts w:ascii="Times New Roman" w:cs="Times New Roman" w:eastAsia="Times New Roman" w:hAnsi="Times New Roman"/>
                <w:b w:val="0"/>
                <w:bCs w:val="0"/>
                <w:i w:val="0"/>
                <w:iCs w:val="0"/>
                <w:color w:val="0f172a"/>
                <w:sz w:val="18"/>
                <w:szCs w:val="18"/>
                <w:rtl w:val="0"/>
              </w:rPr>
              <w:t xml:space="preserve"> (Detección de incompatibilidades de bus de potencia)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D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Reglas de Negocio</w:t>
            </w:r>
            <w:r w:rsidDel="00000000" w:rsidR="00000000" w:rsidRPr="00000000">
              <w:rPr>
                <w:rtl w:val="0"/>
              </w:rPr>
            </w:r>
          </w:p>
        </w:tc>
        <w:tc>
          <w:tcPr/>
          <w:p w:rsidR="00000000" w:rsidDel="00000000" w:rsidP="00000000" w:rsidRDefault="00000000" w:rsidRPr="00000000" w14:paraId="000004D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RN-05</w:t>
            </w:r>
            <w:r w:rsidDel="00000000" w:rsidR="00000000" w:rsidRPr="00000000">
              <w:rPr>
                <w:rFonts w:ascii="Times New Roman" w:cs="Times New Roman" w:eastAsia="Times New Roman" w:hAnsi="Times New Roman"/>
                <w:b w:val="0"/>
                <w:bCs w:val="0"/>
                <w:i w:val="0"/>
                <w:iCs w:val="0"/>
                <w:color w:val="0f172a"/>
                <w:sz w:val="18"/>
                <w:szCs w:val="18"/>
                <w:rtl w:val="0"/>
              </w:rPr>
              <w:t xml:space="preserve"> (Compatibilidad de interfaces y acoplamiento eléctrico), </w:t>
            </w:r>
            <w:r w:rsidDel="00000000" w:rsidR="00000000" w:rsidRPr="00000000">
              <w:rPr>
                <w:rFonts w:ascii="Times New Roman" w:cs="Times New Roman" w:eastAsia="Times New Roman" w:hAnsi="Times New Roman"/>
                <w:b w:val="1"/>
                <w:bCs w:val="1"/>
                <w:i w:val="0"/>
                <w:iCs w:val="0"/>
                <w:color w:val="0f172a"/>
                <w:sz w:val="18"/>
                <w:szCs w:val="18"/>
                <w:rtl w:val="0"/>
              </w:rPr>
              <w:t xml:space="preserve">RN-07</w:t>
            </w:r>
            <w:r w:rsidDel="00000000" w:rsidR="00000000" w:rsidRPr="00000000">
              <w:rPr>
                <w:rFonts w:ascii="Times New Roman" w:cs="Times New Roman" w:eastAsia="Times New Roman" w:hAnsi="Times New Roman"/>
                <w:b w:val="0"/>
                <w:bCs w:val="0"/>
                <w:i w:val="0"/>
                <w:iCs w:val="0"/>
                <w:color w:val="0f172a"/>
                <w:sz w:val="18"/>
                <w:szCs w:val="18"/>
                <w:rtl w:val="0"/>
              </w:rPr>
              <w:t xml:space="preserve"> (Detección de incompatibilidades)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D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Precondición</w:t>
            </w:r>
            <w:r w:rsidDel="00000000" w:rsidR="00000000" w:rsidRPr="00000000">
              <w:rPr>
                <w:rtl w:val="0"/>
              </w:rPr>
            </w:r>
          </w:p>
        </w:tc>
        <w:tc>
          <w:tcPr/>
          <w:p w:rsidR="00000000" w:rsidDel="00000000" w:rsidP="00000000" w:rsidRDefault="00000000" w:rsidRPr="00000000" w14:paraId="000004D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Existe un Cuaderno de Misión activo configurado en el sistema.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D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Acción</w:t>
            </w:r>
            <w:r w:rsidDel="00000000" w:rsidR="00000000" w:rsidRPr="00000000">
              <w:rPr>
                <w:rtl w:val="0"/>
              </w:rPr>
            </w:r>
          </w:p>
        </w:tc>
        <w:tc>
          <w:tcPr/>
          <w:p w:rsidR="00000000" w:rsidDel="00000000" w:rsidP="00000000" w:rsidRDefault="00000000" w:rsidRPr="00000000" w14:paraId="000004D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usuario carga un archivo ICD estructurado en formato JSON o CSV que contiene veinte (20) parámetros físicos y eléctricos de una carga útil (tensiones, corrientes de pico, masas, dimensiones bajo estándar Cal Poly CDS).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D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Resultado Observable</w:t>
            </w:r>
            <w:r w:rsidDel="00000000" w:rsidR="00000000" w:rsidRPr="00000000">
              <w:rPr>
                <w:rtl w:val="0"/>
              </w:rPr>
            </w:r>
          </w:p>
        </w:tc>
        <w:tc>
          <w:tcPr/>
          <w:p w:rsidR="00000000" w:rsidDel="00000000" w:rsidP="00000000" w:rsidRDefault="00000000" w:rsidRPr="00000000" w14:paraId="000004D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sistema procesa y almacena el 100% de los atributos en menos de 2,0 segundos; ante una discrepancia de tensión entre un bus no regulado de 6,0 a 8,4 V y una carga útil con restricción de 5,0 V ± 1% sin convertidor intermedio, o un consumo pico que supere el límite de interfaz (I_pico &gt; 1,5 A), el sistema emite una alerta bloqueante de incompatibilidad eléctrica en la interfaz de potencia, impidiendo el acoplamiento erróneo antes de la integración física.</w:t>
            </w:r>
            <w:r w:rsidDel="00000000" w:rsidR="00000000" w:rsidRPr="00000000">
              <w:rPr>
                <w:rtl w:val="0"/>
              </w:rPr>
            </w:r>
          </w:p>
        </w:tc>
      </w:tr>
    </w:tbl>
    <w:p w:rsidR="00000000" w:rsidDel="00000000" w:rsidP="00000000" w:rsidRDefault="00000000" w:rsidRPr="00000000" w14:paraId="000004DA">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Técnica · CU-03: Verificación Determinística de Restricciones EPS, Margen EOL y Límite DoD</w:t>
      </w:r>
      <w:r w:rsidDel="00000000" w:rsidR="00000000" w:rsidRPr="00000000">
        <w:rPr>
          <w:rtl w:val="0"/>
        </w:rPr>
      </w:r>
    </w:p>
    <w:tbl>
      <w:tblPr>
        <w:tblStyle w:val="Table52"/>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4D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4D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del Caso de Uso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D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Código y Denominación</w:t>
            </w:r>
            <w:r w:rsidDel="00000000" w:rsidR="00000000" w:rsidRPr="00000000">
              <w:rPr>
                <w:rtl w:val="0"/>
              </w:rPr>
            </w:r>
          </w:p>
        </w:tc>
        <w:tc>
          <w:tcPr/>
          <w:p w:rsidR="00000000" w:rsidDel="00000000" w:rsidP="00000000" w:rsidRDefault="00000000" w:rsidRPr="00000000" w14:paraId="000004D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CU-03</w:t>
            </w:r>
            <w:r w:rsidDel="00000000" w:rsidR="00000000" w:rsidRPr="00000000">
              <w:rPr>
                <w:rFonts w:ascii="Times New Roman" w:cs="Times New Roman" w:eastAsia="Times New Roman" w:hAnsi="Times New Roman"/>
                <w:b w:val="0"/>
                <w:bCs w:val="0"/>
                <w:i w:val="0"/>
                <w:iCs w:val="0"/>
                <w:color w:val="0f172a"/>
                <w:sz w:val="18"/>
                <w:szCs w:val="18"/>
                <w:rtl w:val="0"/>
              </w:rPr>
              <w:t xml:space="preserve"> · Verificación Determinística de Restricciones EPS, Margen EOL y Límite de Descarga (DoD)</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D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Requisitos Vinculados</w:t>
            </w:r>
            <w:r w:rsidDel="00000000" w:rsidR="00000000" w:rsidRPr="00000000">
              <w:rPr>
                <w:rtl w:val="0"/>
              </w:rPr>
            </w:r>
          </w:p>
        </w:tc>
        <w:tc>
          <w:tcPr/>
          <w:p w:rsidR="00000000" w:rsidDel="00000000" w:rsidP="00000000" w:rsidRDefault="00000000" w:rsidRPr="00000000" w14:paraId="000004E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RF-03</w:t>
            </w:r>
            <w:r w:rsidDel="00000000" w:rsidR="00000000" w:rsidRPr="00000000">
              <w:rPr>
                <w:rFonts w:ascii="Times New Roman" w:cs="Times New Roman" w:eastAsia="Times New Roman" w:hAnsi="Times New Roman"/>
                <w:b w:val="0"/>
                <w:bCs w:val="0"/>
                <w:i w:val="0"/>
                <w:iCs w:val="0"/>
                <w:color w:val="0f172a"/>
                <w:sz w:val="18"/>
                <w:szCs w:val="18"/>
                <w:rtl w:val="0"/>
              </w:rPr>
              <w:t xml:space="preserve"> (Verificación determinística de margen de batería), </w:t>
            </w:r>
            <w:r w:rsidDel="00000000" w:rsidR="00000000" w:rsidRPr="00000000">
              <w:rPr>
                <w:rFonts w:ascii="Times New Roman" w:cs="Times New Roman" w:eastAsia="Times New Roman" w:hAnsi="Times New Roman"/>
                <w:b w:val="1"/>
                <w:bCs w:val="1"/>
                <w:i w:val="0"/>
                <w:iCs w:val="0"/>
                <w:color w:val="0f172a"/>
                <w:sz w:val="18"/>
                <w:szCs w:val="18"/>
                <w:rtl w:val="0"/>
              </w:rPr>
              <w:t xml:space="preserve">RF-04</w:t>
            </w:r>
            <w:r w:rsidDel="00000000" w:rsidR="00000000" w:rsidRPr="00000000">
              <w:rPr>
                <w:rFonts w:ascii="Times New Roman" w:cs="Times New Roman" w:eastAsia="Times New Roman" w:hAnsi="Times New Roman"/>
                <w:b w:val="0"/>
                <w:bCs w:val="0"/>
                <w:i w:val="0"/>
                <w:iCs w:val="0"/>
                <w:color w:val="0f172a"/>
                <w:sz w:val="18"/>
                <w:szCs w:val="18"/>
                <w:rtl w:val="0"/>
              </w:rPr>
              <w:t xml:space="preserve"> (Cálculo y alerta de margen EOL), </w:t>
            </w:r>
            <w:r w:rsidDel="00000000" w:rsidR="00000000" w:rsidRPr="00000000">
              <w:rPr>
                <w:rFonts w:ascii="Times New Roman" w:cs="Times New Roman" w:eastAsia="Times New Roman" w:hAnsi="Times New Roman"/>
                <w:b w:val="1"/>
                <w:bCs w:val="1"/>
                <w:i w:val="0"/>
                <w:iCs w:val="0"/>
                <w:color w:val="0f172a"/>
                <w:sz w:val="18"/>
                <w:szCs w:val="18"/>
                <w:rtl w:val="0"/>
              </w:rPr>
              <w:t xml:space="preserve">RF-05</w:t>
            </w:r>
            <w:r w:rsidDel="00000000" w:rsidR="00000000" w:rsidRPr="00000000">
              <w:rPr>
                <w:rFonts w:ascii="Times New Roman" w:cs="Times New Roman" w:eastAsia="Times New Roman" w:hAnsi="Times New Roman"/>
                <w:b w:val="0"/>
                <w:bCs w:val="0"/>
                <w:i w:val="0"/>
                <w:iCs w:val="0"/>
                <w:color w:val="0f172a"/>
                <w:sz w:val="18"/>
                <w:szCs w:val="18"/>
                <w:rtl w:val="0"/>
              </w:rPr>
              <w:t xml:space="preserve"> (Validación geométrica CubeSat)</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E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Reglas de Negocio</w:t>
            </w:r>
            <w:r w:rsidDel="00000000" w:rsidR="00000000" w:rsidRPr="00000000">
              <w:rPr>
                <w:rtl w:val="0"/>
              </w:rPr>
            </w:r>
          </w:p>
        </w:tc>
        <w:tc>
          <w:tcPr/>
          <w:p w:rsidR="00000000" w:rsidDel="00000000" w:rsidP="00000000" w:rsidRDefault="00000000" w:rsidRPr="00000000" w14:paraId="000004E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RN-01</w:t>
            </w:r>
            <w:r w:rsidDel="00000000" w:rsidR="00000000" w:rsidRPr="00000000">
              <w:rPr>
                <w:rFonts w:ascii="Times New Roman" w:cs="Times New Roman" w:eastAsia="Times New Roman" w:hAnsi="Times New Roman"/>
                <w:b w:val="0"/>
                <w:bCs w:val="0"/>
                <w:i w:val="0"/>
                <w:iCs w:val="0"/>
                <w:color w:val="0f172a"/>
                <w:sz w:val="18"/>
                <w:szCs w:val="18"/>
                <w:rtl w:val="0"/>
              </w:rPr>
              <w:t xml:space="preserve"> (Profundidad de descarga DoD &lt;= 30%), </w:t>
            </w:r>
            <w:r w:rsidDel="00000000" w:rsidR="00000000" w:rsidRPr="00000000">
              <w:rPr>
                <w:rFonts w:ascii="Times New Roman" w:cs="Times New Roman" w:eastAsia="Times New Roman" w:hAnsi="Times New Roman"/>
                <w:b w:val="1"/>
                <w:bCs w:val="1"/>
                <w:i w:val="0"/>
                <w:iCs w:val="0"/>
                <w:color w:val="0f172a"/>
                <w:sz w:val="18"/>
                <w:szCs w:val="18"/>
                <w:rtl w:val="0"/>
              </w:rPr>
              <w:t xml:space="preserve">RN-02</w:t>
            </w:r>
            <w:r w:rsidDel="00000000" w:rsidR="00000000" w:rsidRPr="00000000">
              <w:rPr>
                <w:rFonts w:ascii="Times New Roman" w:cs="Times New Roman" w:eastAsia="Times New Roman" w:hAnsi="Times New Roman"/>
                <w:b w:val="0"/>
                <w:bCs w:val="0"/>
                <w:i w:val="0"/>
                <w:iCs w:val="0"/>
                <w:color w:val="0f172a"/>
                <w:sz w:val="18"/>
                <w:szCs w:val="18"/>
                <w:rtl w:val="0"/>
              </w:rPr>
              <w:t xml:space="preserve"> (Margen de potencia EOL &gt;= 20%), </w:t>
            </w:r>
            <w:r w:rsidDel="00000000" w:rsidR="00000000" w:rsidRPr="00000000">
              <w:rPr>
                <w:rFonts w:ascii="Times New Roman" w:cs="Times New Roman" w:eastAsia="Times New Roman" w:hAnsi="Times New Roman"/>
                <w:b w:val="1"/>
                <w:bCs w:val="1"/>
                <w:i w:val="0"/>
                <w:iCs w:val="0"/>
                <w:color w:val="0f172a"/>
                <w:sz w:val="18"/>
                <w:szCs w:val="18"/>
                <w:rtl w:val="0"/>
              </w:rPr>
              <w:t xml:space="preserve">RN-05</w:t>
            </w:r>
            <w:r w:rsidDel="00000000" w:rsidR="00000000" w:rsidRPr="00000000">
              <w:rPr>
                <w:rFonts w:ascii="Times New Roman" w:cs="Times New Roman" w:eastAsia="Times New Roman" w:hAnsi="Times New Roman"/>
                <w:b w:val="0"/>
                <w:bCs w:val="0"/>
                <w:i w:val="0"/>
                <w:iCs w:val="0"/>
                <w:color w:val="0f172a"/>
                <w:sz w:val="18"/>
                <w:szCs w:val="18"/>
                <w:rtl w:val="0"/>
              </w:rPr>
              <w:t xml:space="preserve"> (Envolvente y masa Cal Poly)</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E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Precondición</w:t>
            </w:r>
            <w:r w:rsidDel="00000000" w:rsidR="00000000" w:rsidRPr="00000000">
              <w:rPr>
                <w:rtl w:val="0"/>
              </w:rPr>
            </w:r>
          </w:p>
        </w:tc>
        <w:tc>
          <w:tcPr/>
          <w:p w:rsidR="00000000" w:rsidDel="00000000" w:rsidP="00000000" w:rsidRDefault="00000000" w:rsidRPr="00000000" w14:paraId="000004E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Se encuentran configurados la órbita, el perfil de consumo en eclipse y los parámetros de batería y celdas solares del benchmark CubeSat 3U (El Hachimi et al., 2025).</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E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Acción</w:t>
            </w:r>
            <w:r w:rsidDel="00000000" w:rsidR="00000000" w:rsidRPr="00000000">
              <w:rPr>
                <w:rtl w:val="0"/>
              </w:rPr>
            </w:r>
          </w:p>
        </w:tc>
        <w:tc>
          <w:tcPr/>
          <w:p w:rsidR="00000000" w:rsidDel="00000000" w:rsidP="00000000" w:rsidRDefault="00000000" w:rsidRPr="00000000" w14:paraId="000004E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usuario ejecuta la rutina de verificación determinística de restricciones para una batería de 38,48 Wh (14,8 V, 2,6 Ah) con consumo en sombra de 4,5 W y degradación solar anual de 3,75% a 2 años de vida útil.</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E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Resultado Observable</w:t>
            </w:r>
            <w:r w:rsidDel="00000000" w:rsidR="00000000" w:rsidRPr="00000000">
              <w:rPr>
                <w:rtl w:val="0"/>
              </w:rPr>
            </w:r>
          </w:p>
        </w:tc>
        <w:tc>
          <w:tcPr/>
          <w:p w:rsidR="00000000" w:rsidDel="00000000" w:rsidP="00000000" w:rsidRDefault="00000000" w:rsidRPr="00000000" w14:paraId="000004E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motor determinístico calcula en menos de 1,5 segundos (RNF-01) una profundidad de descarga DoD = 18,5%, renderiza la curva temporal de descarga en eclipse emitiendo dictamen «Conforme» por respetar la restricción DoD &lt;= 30%, y deriva una potencia solar a fin de vida con un margen de +22,4% sobre la demanda, aprobando la viabilidad térmica y volumétrica bajo el estándar Cal Poly CDS REV 14.1. Si el consumo en sombra se altera a un valor que fuerce un DoD &gt; 30%, el sistema marca estado «No Conforme» y bloquea la consolidación del diseño.</w:t>
            </w:r>
            <w:r w:rsidDel="00000000" w:rsidR="00000000" w:rsidRPr="00000000">
              <w:rPr>
                <w:rtl w:val="0"/>
              </w:rPr>
            </w:r>
          </w:p>
        </w:tc>
      </w:tr>
    </w:tbl>
    <w:p w:rsidR="00000000" w:rsidDel="00000000" w:rsidP="00000000" w:rsidRDefault="00000000" w:rsidRPr="00000000" w14:paraId="000004E9">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Técnica · CU-04: Asistencia Cognitiva RAG Normativa y Justificación Técnica</w:t>
      </w:r>
      <w:r w:rsidDel="00000000" w:rsidR="00000000" w:rsidRPr="00000000">
        <w:rPr>
          <w:rtl w:val="0"/>
        </w:rPr>
      </w:r>
    </w:p>
    <w:tbl>
      <w:tblPr>
        <w:tblStyle w:val="Table53"/>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4E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4E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del Caso de Uso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E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Código y Denominación</w:t>
            </w:r>
            <w:r w:rsidDel="00000000" w:rsidR="00000000" w:rsidRPr="00000000">
              <w:rPr>
                <w:rtl w:val="0"/>
              </w:rPr>
            </w:r>
          </w:p>
        </w:tc>
        <w:tc>
          <w:tcPr/>
          <w:p w:rsidR="00000000" w:rsidDel="00000000" w:rsidP="00000000" w:rsidRDefault="00000000" w:rsidRPr="00000000" w14:paraId="000004E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CU-04</w:t>
            </w:r>
            <w:r w:rsidDel="00000000" w:rsidR="00000000" w:rsidRPr="00000000">
              <w:rPr>
                <w:rFonts w:ascii="Times New Roman" w:cs="Times New Roman" w:eastAsia="Times New Roman" w:hAnsi="Times New Roman"/>
                <w:b w:val="0"/>
                <w:bCs w:val="0"/>
                <w:i w:val="0"/>
                <w:iCs w:val="0"/>
                <w:color w:val="0f172a"/>
                <w:sz w:val="18"/>
                <w:szCs w:val="18"/>
                <w:rtl w:val="0"/>
              </w:rPr>
              <w:t xml:space="preserve"> · Asistencia Cognitiva RAG Normativa y Sugerencia de Justificación Técnica (</w:t>
            </w:r>
            <w:r w:rsidDel="00000000" w:rsidR="00000000" w:rsidRPr="00000000">
              <w:rPr>
                <w:rFonts w:ascii="Times New Roman" w:cs="Times New Roman" w:eastAsia="Times New Roman" w:hAnsi="Times New Roman"/>
                <w:b w:val="0"/>
                <w:bCs w:val="0"/>
                <w:i w:val="1"/>
                <w:iCs w:val="1"/>
                <w:color w:val="0f172a"/>
                <w:sz w:val="18"/>
                <w:szCs w:val="18"/>
                <w:rtl w:val="0"/>
              </w:rPr>
              <w:t xml:space="preserve">One-Click Rationale</w:t>
            </w:r>
            <w:r w:rsidDel="00000000" w:rsidR="00000000" w:rsidRPr="00000000">
              <w:rPr>
                <w:rFonts w:ascii="Times New Roman" w:cs="Times New Roman" w:eastAsia="Times New Roman" w:hAnsi="Times New Roman"/>
                <w:b w:val="0"/>
                <w:bCs w:val="0"/>
                <w:i w:val="0"/>
                <w:iCs w:val="0"/>
                <w:color w:val="0f172a"/>
                <w:sz w:val="18"/>
                <w:szCs w:val="18"/>
                <w:rtl w:val="0"/>
              </w:rPr>
              <w:t xml:space="preserve">)</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E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Requisitos Vinculados</w:t>
            </w:r>
            <w:r w:rsidDel="00000000" w:rsidR="00000000" w:rsidRPr="00000000">
              <w:rPr>
                <w:rtl w:val="0"/>
              </w:rPr>
            </w:r>
          </w:p>
        </w:tc>
        <w:tc>
          <w:tcPr/>
          <w:p w:rsidR="00000000" w:rsidDel="00000000" w:rsidP="00000000" w:rsidRDefault="00000000" w:rsidRPr="00000000" w14:paraId="000004E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RF-06</w:t>
            </w:r>
            <w:r w:rsidDel="00000000" w:rsidR="00000000" w:rsidRPr="00000000">
              <w:rPr>
                <w:rFonts w:ascii="Times New Roman" w:cs="Times New Roman" w:eastAsia="Times New Roman" w:hAnsi="Times New Roman"/>
                <w:b w:val="0"/>
                <w:bCs w:val="0"/>
                <w:i w:val="0"/>
                <w:iCs w:val="0"/>
                <w:color w:val="0f172a"/>
                <w:sz w:val="18"/>
                <w:szCs w:val="18"/>
                <w:rtl w:val="0"/>
              </w:rPr>
              <w:t xml:space="preserve"> (Recuperación normativa certificada sin alucinaciones)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F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Regla de Negocio</w:t>
            </w:r>
            <w:r w:rsidDel="00000000" w:rsidR="00000000" w:rsidRPr="00000000">
              <w:rPr>
                <w:rtl w:val="0"/>
              </w:rPr>
            </w:r>
          </w:p>
        </w:tc>
        <w:tc>
          <w:tcPr/>
          <w:p w:rsidR="00000000" w:rsidDel="00000000" w:rsidP="00000000" w:rsidRDefault="00000000" w:rsidRPr="00000000" w14:paraId="000004F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RN-04</w:t>
            </w:r>
            <w:r w:rsidDel="00000000" w:rsidR="00000000" w:rsidRPr="00000000">
              <w:rPr>
                <w:rFonts w:ascii="Times New Roman" w:cs="Times New Roman" w:eastAsia="Times New Roman" w:hAnsi="Times New Roman"/>
                <w:b w:val="0"/>
                <w:bCs w:val="0"/>
                <w:i w:val="0"/>
                <w:iCs w:val="0"/>
                <w:color w:val="0f172a"/>
                <w:sz w:val="18"/>
                <w:szCs w:val="18"/>
                <w:rtl w:val="0"/>
              </w:rPr>
              <w:t xml:space="preserve"> (Trazabilidad normativa y descarte de alucinaciones)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F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Precondición</w:t>
            </w:r>
            <w:r w:rsidDel="00000000" w:rsidR="00000000" w:rsidRPr="00000000">
              <w:rPr>
                <w:rtl w:val="0"/>
              </w:rPr>
            </w:r>
          </w:p>
        </w:tc>
        <w:tc>
          <w:tcPr/>
          <w:p w:rsidR="00000000" w:rsidDel="00000000" w:rsidP="00000000" w:rsidRDefault="00000000" w:rsidRPr="00000000" w14:paraId="000004F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usuario detecta un desvío de margen o consulta sobre el fundamento de un umbral de diseño en disputa.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F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Acción</w:t>
            </w:r>
            <w:r w:rsidDel="00000000" w:rsidR="00000000" w:rsidRPr="00000000">
              <w:rPr>
                <w:rtl w:val="0"/>
              </w:rPr>
            </w:r>
          </w:p>
        </w:tc>
        <w:tc>
          <w:tcPr/>
          <w:p w:rsidR="00000000" w:rsidDel="00000000" w:rsidP="00000000" w:rsidRDefault="00000000" w:rsidRPr="00000000" w14:paraId="000004F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usuario solicita la verificación normativa de un margen fotovoltaico reducido al 15% para una fase de misión específica.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F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Resultado Observable</w:t>
            </w:r>
            <w:r w:rsidDel="00000000" w:rsidR="00000000" w:rsidRPr="00000000">
              <w:rPr>
                <w:rtl w:val="0"/>
              </w:rPr>
            </w:r>
          </w:p>
        </w:tc>
        <w:tc>
          <w:tcPr/>
          <w:p w:rsidR="00000000" w:rsidDel="00000000" w:rsidP="00000000" w:rsidRDefault="00000000" w:rsidRPr="00000000" w14:paraId="000004F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motor RAG desacoplado recupera e indexa los estándares locales en menos de 3,0 segundos (RNF-02), devolviendo la transcripción exacta de la cláusula normativa aplicable (ECSS-E-ST-20C Rev. 1, Sec. 5.3.4), el número de sección, la página y una propuesta de redacción técnica de justificación basada en antecedentes de misión para que el ingeniero la apruebe y firme en un solo clic, garantizando cero generación de directrices no respaldadas por el corpus normativo.</w:t>
            </w:r>
            <w:r w:rsidDel="00000000" w:rsidR="00000000" w:rsidRPr="00000000">
              <w:rPr>
                <w:rtl w:val="0"/>
              </w:rPr>
            </w:r>
          </w:p>
        </w:tc>
      </w:tr>
    </w:tbl>
    <w:p w:rsidR="00000000" w:rsidDel="00000000" w:rsidP="00000000" w:rsidRDefault="00000000" w:rsidRPr="00000000" w14:paraId="000004F8">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Técnica · CU-05: Interacción Adaptativa según Sobrecarga Mental y Densidad Cognitiva</w:t>
      </w:r>
      <w:r w:rsidDel="00000000" w:rsidR="00000000" w:rsidRPr="00000000">
        <w:rPr>
          <w:rtl w:val="0"/>
        </w:rPr>
      </w:r>
    </w:p>
    <w:tbl>
      <w:tblPr>
        <w:tblStyle w:val="Table54"/>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4F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4F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del Caso de Uso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F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Código y Denominación</w:t>
            </w:r>
            <w:r w:rsidDel="00000000" w:rsidR="00000000" w:rsidRPr="00000000">
              <w:rPr>
                <w:rtl w:val="0"/>
              </w:rPr>
            </w:r>
          </w:p>
        </w:tc>
        <w:tc>
          <w:tcPr/>
          <w:p w:rsidR="00000000" w:rsidDel="00000000" w:rsidP="00000000" w:rsidRDefault="00000000" w:rsidRPr="00000000" w14:paraId="000004F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CU-05</w:t>
            </w:r>
            <w:r w:rsidDel="00000000" w:rsidR="00000000" w:rsidRPr="00000000">
              <w:rPr>
                <w:rFonts w:ascii="Times New Roman" w:cs="Times New Roman" w:eastAsia="Times New Roman" w:hAnsi="Times New Roman"/>
                <w:b w:val="0"/>
                <w:bCs w:val="0"/>
                <w:i w:val="0"/>
                <w:iCs w:val="0"/>
                <w:color w:val="0f172a"/>
                <w:sz w:val="18"/>
                <w:szCs w:val="18"/>
                <w:rtl w:val="0"/>
              </w:rPr>
              <w:t xml:space="preserve"> · Interacción Adaptativa según Sobrecarga Mental y Selector Directo de Densidad Cognitiva</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F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Requisitos Vinculados</w:t>
            </w:r>
            <w:r w:rsidDel="00000000" w:rsidR="00000000" w:rsidRPr="00000000">
              <w:rPr>
                <w:rtl w:val="0"/>
              </w:rPr>
            </w:r>
          </w:p>
        </w:tc>
        <w:tc>
          <w:tcPr/>
          <w:p w:rsidR="00000000" w:rsidDel="00000000" w:rsidP="00000000" w:rsidRDefault="00000000" w:rsidRPr="00000000" w14:paraId="000004F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RF-07</w:t>
            </w:r>
            <w:r w:rsidDel="00000000" w:rsidR="00000000" w:rsidRPr="00000000">
              <w:rPr>
                <w:rFonts w:ascii="Times New Roman" w:cs="Times New Roman" w:eastAsia="Times New Roman" w:hAnsi="Times New Roman"/>
                <w:b w:val="0"/>
                <w:bCs w:val="0"/>
                <w:i w:val="0"/>
                <w:iCs w:val="0"/>
                <w:color w:val="0f172a"/>
                <w:sz w:val="18"/>
                <w:szCs w:val="18"/>
                <w:rtl w:val="0"/>
              </w:rPr>
              <w:t xml:space="preserve"> (Instrumentación y cálculo NASA-TLX), </w:t>
            </w:r>
            <w:r w:rsidDel="00000000" w:rsidR="00000000" w:rsidRPr="00000000">
              <w:rPr>
                <w:rFonts w:ascii="Times New Roman" w:cs="Times New Roman" w:eastAsia="Times New Roman" w:hAnsi="Times New Roman"/>
                <w:b w:val="1"/>
                <w:bCs w:val="1"/>
                <w:i w:val="0"/>
                <w:iCs w:val="0"/>
                <w:color w:val="0f172a"/>
                <w:sz w:val="18"/>
                <w:szCs w:val="18"/>
                <w:rtl w:val="0"/>
              </w:rPr>
              <w:t xml:space="preserve">RF-12</w:t>
            </w:r>
            <w:r w:rsidDel="00000000" w:rsidR="00000000" w:rsidRPr="00000000">
              <w:rPr>
                <w:rFonts w:ascii="Times New Roman" w:cs="Times New Roman" w:eastAsia="Times New Roman" w:hAnsi="Times New Roman"/>
                <w:b w:val="0"/>
                <w:bCs w:val="0"/>
                <w:i w:val="0"/>
                <w:iCs w:val="0"/>
                <w:color w:val="0f172a"/>
                <w:sz w:val="18"/>
                <w:szCs w:val="18"/>
                <w:rtl w:val="0"/>
              </w:rPr>
              <w:t xml:space="preserve"> (Chat de Hilo Digital y Adaptación Cognitiva Dual)</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4F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Reglas de Negocio</w:t>
            </w:r>
            <w:r w:rsidDel="00000000" w:rsidR="00000000" w:rsidRPr="00000000">
              <w:rPr>
                <w:rtl w:val="0"/>
              </w:rPr>
            </w:r>
          </w:p>
        </w:tc>
        <w:tc>
          <w:tcPr/>
          <w:p w:rsidR="00000000" w:rsidDel="00000000" w:rsidP="00000000" w:rsidRDefault="00000000" w:rsidRPr="00000000" w14:paraId="0000050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RN-06</w:t>
            </w:r>
            <w:r w:rsidDel="00000000" w:rsidR="00000000" w:rsidRPr="00000000">
              <w:rPr>
                <w:rFonts w:ascii="Times New Roman" w:cs="Times New Roman" w:eastAsia="Times New Roman" w:hAnsi="Times New Roman"/>
                <w:b w:val="0"/>
                <w:bCs w:val="0"/>
                <w:i w:val="0"/>
                <w:iCs w:val="0"/>
                <w:color w:val="0f172a"/>
                <w:sz w:val="18"/>
                <w:szCs w:val="18"/>
                <w:rtl w:val="0"/>
              </w:rPr>
              <w:t xml:space="preserve"> (Derivación ponderada NASA-TLX), </w:t>
            </w:r>
            <w:r w:rsidDel="00000000" w:rsidR="00000000" w:rsidRPr="00000000">
              <w:rPr>
                <w:rFonts w:ascii="Times New Roman" w:cs="Times New Roman" w:eastAsia="Times New Roman" w:hAnsi="Times New Roman"/>
                <w:b w:val="1"/>
                <w:bCs w:val="1"/>
                <w:i w:val="0"/>
                <w:iCs w:val="0"/>
                <w:color w:val="0f172a"/>
                <w:sz w:val="18"/>
                <w:szCs w:val="18"/>
                <w:rtl w:val="0"/>
              </w:rPr>
              <w:t xml:space="preserve">RN-07</w:t>
            </w:r>
            <w:r w:rsidDel="00000000" w:rsidR="00000000" w:rsidRPr="00000000">
              <w:rPr>
                <w:rFonts w:ascii="Times New Roman" w:cs="Times New Roman" w:eastAsia="Times New Roman" w:hAnsi="Times New Roman"/>
                <w:b w:val="0"/>
                <w:bCs w:val="0"/>
                <w:i w:val="0"/>
                <w:iCs w:val="0"/>
                <w:color w:val="0f172a"/>
                <w:sz w:val="18"/>
                <w:szCs w:val="18"/>
                <w:rtl w:val="0"/>
              </w:rPr>
              <w:t xml:space="preserve"> (Adaptación cognitiva dual según umbral TLX)</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50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Precondición</w:t>
            </w:r>
            <w:r w:rsidDel="00000000" w:rsidR="00000000" w:rsidRPr="00000000">
              <w:rPr>
                <w:rtl w:val="0"/>
              </w:rPr>
            </w:r>
          </w:p>
        </w:tc>
        <w:tc>
          <w:tcPr/>
          <w:p w:rsidR="00000000" w:rsidDel="00000000" w:rsidP="00000000" w:rsidRDefault="00000000" w:rsidRPr="00000000" w14:paraId="0000050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operador se encuentra autenticado en el espacio de trabajo con un índice de demanda mental registrado o requiere ajustar la densidad visual de información.</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50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Acción</w:t>
            </w:r>
            <w:r w:rsidDel="00000000" w:rsidR="00000000" w:rsidRPr="00000000">
              <w:rPr>
                <w:rtl w:val="0"/>
              </w:rPr>
            </w:r>
          </w:p>
        </w:tc>
        <w:tc>
          <w:tcPr/>
          <w:p w:rsidR="00000000" w:rsidDel="00000000" w:rsidP="00000000" w:rsidRDefault="00000000" w:rsidRPr="00000000" w14:paraId="0000050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usuario alterna el selector de densidad de la interfaz entre </w:t>
            </w:r>
            <w:r w:rsidDel="00000000" w:rsidR="00000000" w:rsidRPr="00000000">
              <w:rPr>
                <w:rFonts w:ascii="Consolas" w:cs="Consolas" w:eastAsia="Consolas" w:hAnsi="Consolas"/>
                <w:b w:val="0"/>
                <w:bCs w:val="0"/>
                <w:i w:val="0"/>
                <w:iCs w:val="0"/>
                <w:color w:val="334155"/>
                <w:sz w:val="15"/>
                <w:szCs w:val="15"/>
                <w:rtl w:val="0"/>
              </w:rPr>
              <w:t xml:space="preserve">[Modo Resumen Ejecutivo]</w:t>
            </w:r>
            <w:r w:rsidDel="00000000" w:rsidR="00000000" w:rsidRPr="00000000">
              <w:rPr>
                <w:rFonts w:ascii="Times New Roman" w:cs="Times New Roman" w:eastAsia="Times New Roman" w:hAnsi="Times New Roman"/>
                <w:b w:val="0"/>
                <w:bCs w:val="0"/>
                <w:i w:val="0"/>
                <w:iCs w:val="0"/>
                <w:color w:val="0f172a"/>
                <w:sz w:val="18"/>
                <w:szCs w:val="18"/>
                <w:rtl w:val="0"/>
              </w:rPr>
              <w:t xml:space="preserve"> y </w:t>
            </w:r>
            <w:r w:rsidDel="00000000" w:rsidR="00000000" w:rsidRPr="00000000">
              <w:rPr>
                <w:rFonts w:ascii="Consolas" w:cs="Consolas" w:eastAsia="Consolas" w:hAnsi="Consolas"/>
                <w:b w:val="0"/>
                <w:bCs w:val="0"/>
                <w:i w:val="0"/>
                <w:iCs w:val="0"/>
                <w:color w:val="334155"/>
                <w:sz w:val="15"/>
                <w:szCs w:val="15"/>
                <w:rtl w:val="0"/>
              </w:rPr>
              <w:t xml:space="preserve">[Modo Analítico Detallado]</w:t>
            </w:r>
            <w:r w:rsidDel="00000000" w:rsidR="00000000" w:rsidRPr="00000000">
              <w:rPr>
                <w:rFonts w:ascii="Times New Roman" w:cs="Times New Roman" w:eastAsia="Times New Roman" w:hAnsi="Times New Roman"/>
                <w:b w:val="0"/>
                <w:bCs w:val="0"/>
                <w:i w:val="0"/>
                <w:iCs w:val="0"/>
                <w:color w:val="0f172a"/>
                <w:sz w:val="18"/>
                <w:szCs w:val="18"/>
                <w:rtl w:val="0"/>
              </w:rPr>
              <w:t xml:space="preserve">, o el sistema detecta un índice ponderado TLX_global &gt;= 60 puntos tras una sesión compleja de verificación de interfaces.</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50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Resultado Observable</w:t>
            </w:r>
            <w:r w:rsidDel="00000000" w:rsidR="00000000" w:rsidRPr="00000000">
              <w:rPr>
                <w:rtl w:val="0"/>
              </w:rPr>
            </w:r>
          </w:p>
        </w:tc>
        <w:tc>
          <w:tcPr/>
          <w:p w:rsidR="00000000" w:rsidDel="00000000" w:rsidP="00000000" w:rsidRDefault="00000000" w:rsidRPr="00000000" w14:paraId="0000050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Agente Adaptador de la arquitectura de doble agente procesa la salida exhaustiva del Agente Especialista y entrega en menos de 2,5 segundos (RNF-01) una vista sintetizada basada en tarjetas visuales de estado («Tarjetas de Señalética»), semáforos de margen de seguridad y viñetas telegráficas, omitiendo prosa densa y proveyendo un control explícito de «Acordeón de Razonamiento» para acceder en cualquier momento al desglose matemático y normativo completo (</w:t>
            </w:r>
            <w:r w:rsidDel="00000000" w:rsidR="00000000" w:rsidRPr="00000000">
              <w:rPr>
                <w:rFonts w:ascii="Times New Roman" w:cs="Times New Roman" w:eastAsia="Times New Roman" w:hAnsi="Times New Roman"/>
                <w:b w:val="0"/>
                <w:bCs w:val="0"/>
                <w:i w:val="1"/>
                <w:iCs w:val="1"/>
                <w:color w:val="0f172a"/>
                <w:sz w:val="18"/>
                <w:szCs w:val="18"/>
                <w:rtl w:val="0"/>
              </w:rPr>
              <w:t xml:space="preserve">Human-in-the-Loop</w:t>
            </w:r>
            <w:r w:rsidDel="00000000" w:rsidR="00000000" w:rsidRPr="00000000">
              <w:rPr>
                <w:rFonts w:ascii="Times New Roman" w:cs="Times New Roman" w:eastAsia="Times New Roman" w:hAnsi="Times New Roman"/>
                <w:b w:val="0"/>
                <w:bCs w:val="0"/>
                <w:i w:val="0"/>
                <w:iCs w:val="0"/>
                <w:color w:val="0f172a"/>
                <w:sz w:val="18"/>
                <w:szCs w:val="18"/>
                <w:rtl w:val="0"/>
              </w:rPr>
              <w:t xml:space="preserve">).</w:t>
            </w:r>
            <w:r w:rsidDel="00000000" w:rsidR="00000000" w:rsidRPr="00000000">
              <w:rPr>
                <w:rtl w:val="0"/>
              </w:rPr>
            </w:r>
          </w:p>
        </w:tc>
      </w:tr>
    </w:tbl>
    <w:p w:rsidR="00000000" w:rsidDel="00000000" w:rsidP="00000000" w:rsidRDefault="00000000" w:rsidRPr="00000000" w14:paraId="00000507">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Técnica · CU-06: Registro Inmutable de Decisiones y Memoria Técnica Criptográfica</w:t>
      </w:r>
      <w:r w:rsidDel="00000000" w:rsidR="00000000" w:rsidRPr="00000000">
        <w:rPr>
          <w:rtl w:val="0"/>
        </w:rPr>
      </w:r>
    </w:p>
    <w:tbl>
      <w:tblPr>
        <w:tblStyle w:val="Table55"/>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50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Atributo</w:t>
            </w:r>
            <w:r w:rsidDel="00000000" w:rsidR="00000000" w:rsidRPr="00000000">
              <w:rPr>
                <w:rtl w:val="0"/>
              </w:rPr>
            </w:r>
          </w:p>
        </w:tc>
        <w:tc>
          <w:tcPr>
            <w:shd w:fill="f1f5f9" w:val="clear"/>
          </w:tcPr>
          <w:p w:rsidR="00000000" w:rsidDel="00000000" w:rsidP="00000000" w:rsidRDefault="00000000" w:rsidRPr="00000000" w14:paraId="0000050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Especificación del Caso de Uso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50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Código y Denominación</w:t>
            </w:r>
            <w:r w:rsidDel="00000000" w:rsidR="00000000" w:rsidRPr="00000000">
              <w:rPr>
                <w:rtl w:val="0"/>
              </w:rPr>
            </w:r>
          </w:p>
        </w:tc>
        <w:tc>
          <w:tcPr/>
          <w:p w:rsidR="00000000" w:rsidDel="00000000" w:rsidP="00000000" w:rsidRDefault="00000000" w:rsidRPr="00000000" w14:paraId="0000050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CU-06</w:t>
            </w:r>
            <w:r w:rsidDel="00000000" w:rsidR="00000000" w:rsidRPr="00000000">
              <w:rPr>
                <w:rFonts w:ascii="Times New Roman" w:cs="Times New Roman" w:eastAsia="Times New Roman" w:hAnsi="Times New Roman"/>
                <w:b w:val="0"/>
                <w:bCs w:val="0"/>
                <w:i w:val="0"/>
                <w:iCs w:val="0"/>
                <w:color w:val="0f172a"/>
                <w:sz w:val="18"/>
                <w:szCs w:val="18"/>
                <w:rtl w:val="0"/>
              </w:rPr>
              <w:t xml:space="preserve"> · Registro Inmutable de Decisiones y Memoria Técnica Criptográfica (</w:t>
            </w:r>
            <w:r w:rsidDel="00000000" w:rsidR="00000000" w:rsidRPr="00000000">
              <w:rPr>
                <w:rFonts w:ascii="Consolas" w:cs="Consolas" w:eastAsia="Consolas" w:hAnsi="Consolas"/>
                <w:b w:val="0"/>
                <w:bCs w:val="0"/>
                <w:i w:val="0"/>
                <w:iCs w:val="0"/>
                <w:color w:val="334155"/>
                <w:sz w:val="15"/>
                <w:szCs w:val="15"/>
                <w:rtl w:val="0"/>
              </w:rPr>
              <w:t xml:space="preserve">DecisionLog</w:t>
            </w:r>
            <w:r w:rsidDel="00000000" w:rsidR="00000000" w:rsidRPr="00000000">
              <w:rPr>
                <w:rFonts w:ascii="Times New Roman" w:cs="Times New Roman" w:eastAsia="Times New Roman" w:hAnsi="Times New Roman"/>
                <w:b w:val="0"/>
                <w:bCs w:val="0"/>
                <w:i w:val="0"/>
                <w:iCs w:val="0"/>
                <w:color w:val="0f172a"/>
                <w:sz w:val="18"/>
                <w:szCs w:val="18"/>
                <w:rtl w:val="0"/>
              </w:rPr>
              <w:t xml:space="preserve">)</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50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Requisitos Vinculados</w:t>
            </w:r>
            <w:r w:rsidDel="00000000" w:rsidR="00000000" w:rsidRPr="00000000">
              <w:rPr>
                <w:rtl w:val="0"/>
              </w:rPr>
            </w:r>
          </w:p>
        </w:tc>
        <w:tc>
          <w:tcPr/>
          <w:p w:rsidR="00000000" w:rsidDel="00000000" w:rsidP="00000000" w:rsidRDefault="00000000" w:rsidRPr="00000000" w14:paraId="0000050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RF-09</w:t>
            </w:r>
            <w:r w:rsidDel="00000000" w:rsidR="00000000" w:rsidRPr="00000000">
              <w:rPr>
                <w:rFonts w:ascii="Times New Roman" w:cs="Times New Roman" w:eastAsia="Times New Roman" w:hAnsi="Times New Roman"/>
                <w:b w:val="0"/>
                <w:bCs w:val="0"/>
                <w:i w:val="0"/>
                <w:iCs w:val="0"/>
                <w:color w:val="0f172a"/>
                <w:sz w:val="18"/>
                <w:szCs w:val="18"/>
                <w:rtl w:val="0"/>
              </w:rPr>
              <w:t xml:space="preserve"> (</w:t>
            </w:r>
            <w:r w:rsidDel="00000000" w:rsidR="00000000" w:rsidRPr="00000000">
              <w:rPr>
                <w:rFonts w:ascii="Consolas" w:cs="Consolas" w:eastAsia="Consolas" w:hAnsi="Consolas"/>
                <w:b w:val="0"/>
                <w:bCs w:val="0"/>
                <w:i w:val="0"/>
                <w:iCs w:val="0"/>
                <w:color w:val="334155"/>
                <w:sz w:val="15"/>
                <w:szCs w:val="15"/>
                <w:rtl w:val="0"/>
              </w:rPr>
              <w:t xml:space="preserve">DecisionLog</w:t>
            </w:r>
            <w:r w:rsidDel="00000000" w:rsidR="00000000" w:rsidRPr="00000000">
              <w:rPr>
                <w:rFonts w:ascii="Times New Roman" w:cs="Times New Roman" w:eastAsia="Times New Roman" w:hAnsi="Times New Roman"/>
                <w:b w:val="0"/>
                <w:bCs w:val="0"/>
                <w:i w:val="0"/>
                <w:iCs w:val="0"/>
                <w:color w:val="0f172a"/>
                <w:sz w:val="18"/>
                <w:szCs w:val="18"/>
                <w:rtl w:val="0"/>
              </w:rPr>
              <w:t xml:space="preserve"> inmutable y pista de auditoría SHA-256)</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50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Reglas de Negocio</w:t>
            </w:r>
            <w:r w:rsidDel="00000000" w:rsidR="00000000" w:rsidRPr="00000000">
              <w:rPr>
                <w:rtl w:val="0"/>
              </w:rPr>
            </w:r>
          </w:p>
        </w:tc>
        <w:tc>
          <w:tcPr/>
          <w:p w:rsidR="00000000" w:rsidDel="00000000" w:rsidP="00000000" w:rsidRDefault="00000000" w:rsidRPr="00000000" w14:paraId="0000050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RN-04</w:t>
            </w:r>
            <w:r w:rsidDel="00000000" w:rsidR="00000000" w:rsidRPr="00000000">
              <w:rPr>
                <w:rFonts w:ascii="Times New Roman" w:cs="Times New Roman" w:eastAsia="Times New Roman" w:hAnsi="Times New Roman"/>
                <w:b w:val="0"/>
                <w:bCs w:val="0"/>
                <w:i w:val="0"/>
                <w:iCs w:val="0"/>
                <w:color w:val="0f172a"/>
                <w:sz w:val="18"/>
                <w:szCs w:val="18"/>
                <w:rtl w:val="0"/>
              </w:rPr>
              <w:t xml:space="preserve"> (Condición de existencia y trazabilidad), </w:t>
            </w:r>
            <w:r w:rsidDel="00000000" w:rsidR="00000000" w:rsidRPr="00000000">
              <w:rPr>
                <w:rFonts w:ascii="Times New Roman" w:cs="Times New Roman" w:eastAsia="Times New Roman" w:hAnsi="Times New Roman"/>
                <w:b w:val="1"/>
                <w:bCs w:val="1"/>
                <w:i w:val="0"/>
                <w:iCs w:val="0"/>
                <w:color w:val="0f172a"/>
                <w:sz w:val="18"/>
                <w:szCs w:val="18"/>
                <w:rtl w:val="0"/>
              </w:rPr>
              <w:t xml:space="preserve">RN-06</w:t>
            </w:r>
            <w:r w:rsidDel="00000000" w:rsidR="00000000" w:rsidRPr="00000000">
              <w:rPr>
                <w:rFonts w:ascii="Times New Roman" w:cs="Times New Roman" w:eastAsia="Times New Roman" w:hAnsi="Times New Roman"/>
                <w:b w:val="0"/>
                <w:bCs w:val="0"/>
                <w:i w:val="0"/>
                <w:iCs w:val="0"/>
                <w:color w:val="0f172a"/>
                <w:sz w:val="18"/>
                <w:szCs w:val="18"/>
                <w:rtl w:val="0"/>
              </w:rPr>
              <w:t xml:space="preserve"> (Integridad criptográfica no repudiable)</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51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Precondición</w:t>
            </w:r>
            <w:r w:rsidDel="00000000" w:rsidR="00000000" w:rsidRPr="00000000">
              <w:rPr>
                <w:rtl w:val="0"/>
              </w:rPr>
            </w:r>
          </w:p>
        </w:tc>
        <w:tc>
          <w:tcPr/>
          <w:p w:rsidR="00000000" w:rsidDel="00000000" w:rsidP="00000000" w:rsidRDefault="00000000" w:rsidRPr="00000000" w14:paraId="0000051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usuario aprueba una modificación de parámetros o valida una excepción a las restricciones de interfaz en el modelo de diseño.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51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Acción</w:t>
            </w:r>
            <w:r w:rsidDel="00000000" w:rsidR="00000000" w:rsidRPr="00000000">
              <w:rPr>
                <w:rtl w:val="0"/>
              </w:rPr>
            </w:r>
          </w:p>
        </w:tc>
        <w:tc>
          <w:tcPr/>
          <w:p w:rsidR="00000000" w:rsidDel="00000000" w:rsidP="00000000" w:rsidRDefault="00000000" w:rsidRPr="00000000" w14:paraId="0000051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usuario confirma la modificación en el espacio de trabajo ingresando o aprobando la justificación técnica, el referente y la evidencia de respaldo.</w:t>
            </w:r>
            <w:r w:rsidDel="00000000" w:rsidR="00000000" w:rsidRPr="00000000">
              <w:rPr>
                <w:rtl w:val="0"/>
              </w:rPr>
            </w:r>
          </w:p>
        </w:tc>
      </w:tr>
      <w:tr>
        <w:trPr>
          <w:cantSplit w:val="1"/>
          <w:tblHeader w:val="0"/>
        </w:trPr>
        <w:tc>
          <w:tcPr>
            <w:shd w:fill="f8fafc" w:val="clear"/>
          </w:tcPr>
          <w:p w:rsidR="00000000" w:rsidDel="00000000" w:rsidP="00000000" w:rsidRDefault="00000000" w:rsidRPr="00000000" w14:paraId="0000051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Resultado Observable</w:t>
            </w:r>
            <w:r w:rsidDel="00000000" w:rsidR="00000000" w:rsidRPr="00000000">
              <w:rPr>
                <w:rtl w:val="0"/>
              </w:rPr>
            </w:r>
          </w:p>
        </w:tc>
        <w:tc>
          <w:tcPr/>
          <w:p w:rsidR="00000000" w:rsidDel="00000000" w:rsidP="00000000" w:rsidRDefault="00000000" w:rsidRPr="00000000" w14:paraId="0000051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sistema asienta de forma inmediata e indeleble la modificación en la pista de auditoría, calculando y asociando un hash criptográfico SHA-256 de 256 bits (RNF-05) junto con la estampa de tiempo UTC y el identificador del </w:t>
            </w:r>
            <w:r w:rsidDel="00000000" w:rsidR="00000000" w:rsidRPr="00000000">
              <w:rPr>
                <w:rFonts w:ascii="Consolas" w:cs="Consolas" w:eastAsia="Consolas" w:hAnsi="Consolas"/>
                <w:b w:val="0"/>
                <w:bCs w:val="0"/>
                <w:i w:val="0"/>
                <w:iCs w:val="0"/>
                <w:color w:val="334155"/>
                <w:sz w:val="15"/>
                <w:szCs w:val="15"/>
                <w:rtl w:val="0"/>
              </w:rPr>
              <w:t xml:space="preserve">PerfilIngeniero</w:t>
            </w:r>
            <w:r w:rsidDel="00000000" w:rsidR="00000000" w:rsidRPr="00000000">
              <w:rPr>
                <w:rFonts w:ascii="Times New Roman" w:cs="Times New Roman" w:eastAsia="Times New Roman" w:hAnsi="Times New Roman"/>
                <w:b w:val="0"/>
                <w:bCs w:val="0"/>
                <w:i w:val="0"/>
                <w:iCs w:val="0"/>
                <w:color w:val="0f172a"/>
                <w:sz w:val="18"/>
                <w:szCs w:val="18"/>
                <w:rtl w:val="0"/>
              </w:rPr>
              <w:t xml:space="preserve">, asegurando que cualquier intento de edición directa sobre la persistencia relacional sea detectado como corrupción de integridad y erradicando la pérdida de contexto ante la rotación de becarios.</w:t>
            </w:r>
            <w:r w:rsidDel="00000000" w:rsidR="00000000" w:rsidRPr="00000000">
              <w:rPr>
                <w:rtl w:val="0"/>
              </w:rPr>
            </w:r>
          </w:p>
        </w:tc>
      </w:tr>
    </w:tbl>
    <w:p w:rsidR="00000000" w:rsidDel="00000000" w:rsidP="00000000" w:rsidRDefault="00000000" w:rsidRPr="00000000" w14:paraId="00000516">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Casos de Uso Excluidos del MVP y Postergaciones Formales</w:t>
      </w:r>
      <w:r w:rsidDel="00000000" w:rsidR="00000000" w:rsidRPr="00000000">
        <w:rPr>
          <w:rtl w:val="0"/>
        </w:rPr>
      </w:r>
    </w:p>
    <w:p w:rsidR="00000000" w:rsidDel="00000000" w:rsidP="00000000" w:rsidRDefault="00000000" w:rsidRPr="00000000" w14:paraId="00000517">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En estricta coherencia con la tabla de Límites Validados (Capítulo III, Sec. III.4) y la priorización </w:t>
      </w:r>
      <w:r w:rsidDel="00000000" w:rsidR="00000000" w:rsidRPr="00000000">
        <w:rPr>
          <w:rFonts w:ascii="Times New Roman" w:cs="Times New Roman" w:eastAsia="Times New Roman" w:hAnsi="Times New Roman"/>
          <w:b w:val="0"/>
          <w:bCs w:val="0"/>
          <w:i w:val="1"/>
          <w:iCs w:val="1"/>
          <w:color w:val="0f172a"/>
          <w:sz w:val="24"/>
          <w:szCs w:val="24"/>
          <w:rtl w:val="0"/>
        </w:rPr>
        <w:t xml:space="preserve">Should Have</w:t>
      </w:r>
      <w:r w:rsidDel="00000000" w:rsidR="00000000" w:rsidRPr="00000000">
        <w:rPr>
          <w:rFonts w:ascii="Times New Roman" w:cs="Times New Roman" w:eastAsia="Times New Roman" w:hAnsi="Times New Roman"/>
          <w:b w:val="0"/>
          <w:bCs w:val="0"/>
          <w:i w:val="0"/>
          <w:iCs w:val="0"/>
          <w:color w:val="0f172a"/>
          <w:sz w:val="24"/>
          <w:szCs w:val="24"/>
          <w:rtl w:val="0"/>
        </w:rPr>
        <w:t xml:space="preserve"> del Catálogo de Requisitos, los siguientes casos de uso quedan explícitamente fuera del perímetro del Producto Mínimo Viable:</w:t>
      </w:r>
      <w:r w:rsidDel="00000000" w:rsidR="00000000" w:rsidRPr="00000000">
        <w:rPr>
          <w:rtl w:val="0"/>
        </w:rPr>
      </w:r>
    </w:p>
    <w:p w:rsidR="00000000" w:rsidDel="00000000" w:rsidP="00000000" w:rsidRDefault="00000000" w:rsidRPr="00000000" w14:paraId="00000518">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Tabla V.5</w:t>
      </w:r>
      <w:r w:rsidDel="00000000" w:rsidR="00000000" w:rsidRPr="00000000">
        <w:rPr>
          <w:rtl w:val="0"/>
        </w:rPr>
      </w:r>
    </w:p>
    <w:p w:rsidR="00000000" w:rsidDel="00000000" w:rsidP="00000000" w:rsidRDefault="00000000" w:rsidRPr="00000000" w14:paraId="00000519">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Matriz de Casos de Uso Excluidos del Producto Mínimo Viable (MVP)</w:t>
      </w:r>
      <w:r w:rsidDel="00000000" w:rsidR="00000000" w:rsidRPr="00000000">
        <w:rPr>
          <w:rtl w:val="0"/>
        </w:rPr>
      </w:r>
    </w:p>
    <w:tbl>
      <w:tblPr>
        <w:tblStyle w:val="Table56"/>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2126"/>
        <w:gridCol w:w="2126"/>
        <w:gridCol w:w="2126"/>
        <w:gridCol w:w="2126"/>
        <w:tblGridChange w:id="0">
          <w:tblGrid>
            <w:gridCol w:w="2126"/>
            <w:gridCol w:w="2126"/>
            <w:gridCol w:w="2126"/>
            <w:gridCol w:w="2126"/>
          </w:tblGrid>
        </w:tblGridChange>
      </w:tblGrid>
      <w:tr>
        <w:trPr>
          <w:cantSplit w:val="1"/>
          <w:tblHeader w:val="1"/>
        </w:trPr>
        <w:tc>
          <w:tcPr>
            <w:shd w:fill="f1f5f9" w:val="clear"/>
          </w:tcPr>
          <w:p w:rsidR="00000000" w:rsidDel="00000000" w:rsidP="00000000" w:rsidRDefault="00000000" w:rsidRPr="00000000" w14:paraId="0000051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Caso de Uso Excluido</w:t>
            </w:r>
            <w:r w:rsidDel="00000000" w:rsidR="00000000" w:rsidRPr="00000000">
              <w:rPr>
                <w:rtl w:val="0"/>
              </w:rPr>
            </w:r>
          </w:p>
        </w:tc>
        <w:tc>
          <w:tcPr>
            <w:shd w:fill="f1f5f9" w:val="clear"/>
          </w:tcPr>
          <w:p w:rsidR="00000000" w:rsidDel="00000000" w:rsidP="00000000" w:rsidRDefault="00000000" w:rsidRPr="00000000" w14:paraId="0000051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Justificación Técnica de Exclusión (Criterio de Descarte)</w:t>
            </w:r>
            <w:r w:rsidDel="00000000" w:rsidR="00000000" w:rsidRPr="00000000">
              <w:rPr>
                <w:rtl w:val="0"/>
              </w:rPr>
            </w:r>
          </w:p>
        </w:tc>
        <w:tc>
          <w:tcPr>
            <w:shd w:fill="f1f5f9" w:val="clear"/>
          </w:tcPr>
          <w:p w:rsidR="00000000" w:rsidDel="00000000" w:rsidP="00000000" w:rsidRDefault="00000000" w:rsidRPr="00000000" w14:paraId="0000051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Requisito o Límite Vinculado</w:t>
            </w:r>
            <w:r w:rsidDel="00000000" w:rsidR="00000000" w:rsidRPr="00000000">
              <w:rPr>
                <w:rtl w:val="0"/>
              </w:rPr>
            </w:r>
          </w:p>
        </w:tc>
        <w:tc>
          <w:tcPr>
            <w:shd w:fill="f1f5f9" w:val="clear"/>
          </w:tcPr>
          <w:p w:rsidR="00000000" w:rsidDel="00000000" w:rsidP="00000000" w:rsidRDefault="00000000" w:rsidRPr="00000000" w14:paraId="0000051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Iteración o Instancia Prevista</w:t>
            </w:r>
            <w:r w:rsidDel="00000000" w:rsidR="00000000" w:rsidRPr="00000000">
              <w:rPr>
                <w:rtl w:val="0"/>
              </w:rPr>
            </w:r>
          </w:p>
        </w:tc>
      </w:tr>
      <w:tr>
        <w:trPr>
          <w:cantSplit w:val="1"/>
          <w:tblHeader w:val="0"/>
        </w:trPr>
        <w:tc>
          <w:tcPr/>
          <w:p w:rsidR="00000000" w:rsidDel="00000000" w:rsidP="00000000" w:rsidRDefault="00000000" w:rsidRPr="00000000" w14:paraId="0000051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CU-EX-01 · Interacción por Comandos de Voz Multimodal en Sala Limpia</w:t>
            </w:r>
            <w:r w:rsidDel="00000000" w:rsidR="00000000" w:rsidRPr="00000000">
              <w:rPr>
                <w:rtl w:val="0"/>
              </w:rPr>
            </w:r>
          </w:p>
        </w:tc>
        <w:tc>
          <w:tcPr/>
          <w:p w:rsidR="00000000" w:rsidDel="00000000" w:rsidP="00000000" w:rsidRDefault="00000000" w:rsidRPr="00000000" w14:paraId="0000051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Elevado riesgo de transcripción acústica inexacta de parámetros decimales críticos y latencia de procesamiento incompatible con el trabajo en sala limpia. Se prioriza la exactitud visual y tabular del balance energético.</w:t>
            </w:r>
            <w:r w:rsidDel="00000000" w:rsidR="00000000" w:rsidRPr="00000000">
              <w:rPr>
                <w:rtl w:val="0"/>
              </w:rPr>
            </w:r>
          </w:p>
        </w:tc>
        <w:tc>
          <w:tcPr/>
          <w:p w:rsidR="00000000" w:rsidDel="00000000" w:rsidP="00000000" w:rsidRDefault="00000000" w:rsidRPr="00000000" w14:paraId="0000052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Límite L-04</w:t>
            </w:r>
            <w:r w:rsidDel="00000000" w:rsidR="00000000" w:rsidRPr="00000000">
              <w:rPr>
                <w:rtl w:val="0"/>
              </w:rPr>
            </w:r>
          </w:p>
        </w:tc>
        <w:tc>
          <w:tcPr/>
          <w:p w:rsidR="00000000" w:rsidDel="00000000" w:rsidP="00000000" w:rsidRDefault="00000000" w:rsidRPr="00000000" w14:paraId="0000052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Fase 3 (Prototipo experimental post-PIF).</w:t>
            </w:r>
            <w:r w:rsidDel="00000000" w:rsidR="00000000" w:rsidRPr="00000000">
              <w:rPr>
                <w:rtl w:val="0"/>
              </w:rPr>
            </w:r>
          </w:p>
        </w:tc>
      </w:tr>
      <w:tr>
        <w:trPr>
          <w:cantSplit w:val="1"/>
          <w:tblHeader w:val="0"/>
        </w:trPr>
        <w:tc>
          <w:tcPr/>
          <w:p w:rsidR="00000000" w:rsidDel="00000000" w:rsidP="00000000" w:rsidRDefault="00000000" w:rsidRPr="00000000" w14:paraId="0000052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CU-EX-02 · Telemetría Orbital en Vivo y Enlace con Banco de Pruebas (FlatSat)</w:t>
            </w:r>
            <w:r w:rsidDel="00000000" w:rsidR="00000000" w:rsidRPr="00000000">
              <w:rPr>
                <w:rtl w:val="0"/>
              </w:rPr>
            </w:r>
          </w:p>
        </w:tc>
        <w:tc>
          <w:tcPr/>
          <w:p w:rsidR="00000000" w:rsidDel="00000000" w:rsidP="00000000" w:rsidRDefault="00000000" w:rsidRPr="00000000" w14:paraId="0000052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El ciclo del proyecto integrador se enfoca estrictamente en las fases conceptuales y de diseño preliminar (Fases 0 a B según ECSS-E-ST-10C), careciendo de hardware de vuelo en órbita para ensayos en 2026.</w:t>
            </w:r>
            <w:r w:rsidDel="00000000" w:rsidR="00000000" w:rsidRPr="00000000">
              <w:rPr>
                <w:rtl w:val="0"/>
              </w:rPr>
            </w:r>
          </w:p>
        </w:tc>
        <w:tc>
          <w:tcPr/>
          <w:p w:rsidR="00000000" w:rsidDel="00000000" w:rsidP="00000000" w:rsidRDefault="00000000" w:rsidRPr="00000000" w14:paraId="0000052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Límite L-05</w:t>
            </w:r>
            <w:r w:rsidDel="00000000" w:rsidR="00000000" w:rsidRPr="00000000">
              <w:rPr>
                <w:rtl w:val="0"/>
              </w:rPr>
            </w:r>
          </w:p>
        </w:tc>
        <w:tc>
          <w:tcPr/>
          <w:p w:rsidR="00000000" w:rsidDel="00000000" w:rsidP="00000000" w:rsidRDefault="00000000" w:rsidRPr="00000000" w14:paraId="0000052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Fase de Calificación y Vuelo (Fuera del alcance del PIF).</w:t>
            </w:r>
            <w:r w:rsidDel="00000000" w:rsidR="00000000" w:rsidRPr="00000000">
              <w:rPr>
                <w:rtl w:val="0"/>
              </w:rPr>
            </w:r>
          </w:p>
        </w:tc>
      </w:tr>
      <w:tr>
        <w:trPr>
          <w:cantSplit w:val="1"/>
          <w:tblHeader w:val="0"/>
        </w:trPr>
        <w:tc>
          <w:tcPr/>
          <w:p w:rsidR="00000000" w:rsidDel="00000000" w:rsidP="00000000" w:rsidRDefault="00000000" w:rsidRPr="00000000" w14:paraId="0000052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CU-EX-03 · Simulación Multifísica de Elementos Finitos (FEA Estructural y CFD Térmico)</w:t>
            </w:r>
            <w:r w:rsidDel="00000000" w:rsidR="00000000" w:rsidRPr="00000000">
              <w:rPr>
                <w:rtl w:val="0"/>
              </w:rPr>
            </w:r>
          </w:p>
        </w:tc>
        <w:tc>
          <w:tcPr/>
          <w:p w:rsidR="00000000" w:rsidDel="00000000" w:rsidP="00000000" w:rsidRDefault="00000000" w:rsidRPr="00000000" w14:paraId="0000052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Duplicación ineficiente de herramientas analíticas especializadas de industria (Ansys, STK, Nastran). CODI desacopla la física pesada ingiriendo únicamente sus resúmenes numéricos como evidencia.</w:t>
            </w:r>
            <w:r w:rsidDel="00000000" w:rsidR="00000000" w:rsidRPr="00000000">
              <w:rPr>
                <w:rtl w:val="0"/>
              </w:rPr>
            </w:r>
          </w:p>
        </w:tc>
        <w:tc>
          <w:tcPr/>
          <w:p w:rsidR="00000000" w:rsidDel="00000000" w:rsidP="00000000" w:rsidRDefault="00000000" w:rsidRPr="00000000" w14:paraId="0000052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Límite L-01</w:t>
            </w:r>
            <w:r w:rsidDel="00000000" w:rsidR="00000000" w:rsidRPr="00000000">
              <w:rPr>
                <w:rtl w:val="0"/>
              </w:rPr>
            </w:r>
          </w:p>
        </w:tc>
        <w:tc>
          <w:tcPr/>
          <w:p w:rsidR="00000000" w:rsidDel="00000000" w:rsidP="00000000" w:rsidRDefault="00000000" w:rsidRPr="00000000" w14:paraId="0000052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Descarte definitivo de arquitectura.</w:t>
            </w:r>
            <w:r w:rsidDel="00000000" w:rsidR="00000000" w:rsidRPr="00000000">
              <w:rPr>
                <w:rtl w:val="0"/>
              </w:rPr>
            </w:r>
          </w:p>
        </w:tc>
      </w:tr>
      <w:tr>
        <w:trPr>
          <w:cantSplit w:val="1"/>
          <w:tblHeader w:val="0"/>
        </w:trPr>
        <w:tc>
          <w:tcPr/>
          <w:p w:rsidR="00000000" w:rsidDel="00000000" w:rsidP="00000000" w:rsidRDefault="00000000" w:rsidRPr="00000000" w14:paraId="0000052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CU-EX-04 · Exportación Avanzada del Expediente de Misión en PDF/CSV y Grafo Interactivo</w:t>
            </w:r>
            <w:r w:rsidDel="00000000" w:rsidR="00000000" w:rsidRPr="00000000">
              <w:rPr>
                <w:rtl w:val="0"/>
              </w:rPr>
            </w:r>
          </w:p>
        </w:tc>
        <w:tc>
          <w:tcPr/>
          <w:p w:rsidR="00000000" w:rsidDel="00000000" w:rsidP="00000000" w:rsidRDefault="00000000" w:rsidRPr="00000000" w14:paraId="0000052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Requiere el congelamiento previo del motor determinístico y del esquema relacional completo. Su desarrollo se clasifica como </w:t>
            </w:r>
            <w:r w:rsidDel="00000000" w:rsidR="00000000" w:rsidRPr="00000000">
              <w:rPr>
                <w:rFonts w:ascii="Times New Roman" w:cs="Times New Roman" w:eastAsia="Times New Roman" w:hAnsi="Times New Roman"/>
                <w:b w:val="0"/>
                <w:bCs w:val="0"/>
                <w:i w:val="1"/>
                <w:iCs w:val="1"/>
                <w:color w:val="0f172a"/>
                <w:sz w:val="18"/>
                <w:szCs w:val="18"/>
                <w:rtl w:val="0"/>
              </w:rPr>
              <w:t xml:space="preserve">Should Have</w:t>
            </w:r>
            <w:r w:rsidDel="00000000" w:rsidR="00000000" w:rsidRPr="00000000">
              <w:rPr>
                <w:rFonts w:ascii="Times New Roman" w:cs="Times New Roman" w:eastAsia="Times New Roman" w:hAnsi="Times New Roman"/>
                <w:b w:val="0"/>
                <w:bCs w:val="0"/>
                <w:i w:val="0"/>
                <w:iCs w:val="0"/>
                <w:color w:val="0f172a"/>
                <w:sz w:val="18"/>
                <w:szCs w:val="18"/>
                <w:rtl w:val="0"/>
              </w:rPr>
              <w:t xml:space="preserve"> para no comprometer la holgura horaria de las reglas duras de EPS.</w:t>
            </w:r>
            <w:r w:rsidDel="00000000" w:rsidR="00000000" w:rsidRPr="00000000">
              <w:rPr>
                <w:rtl w:val="0"/>
              </w:rPr>
            </w:r>
          </w:p>
        </w:tc>
        <w:tc>
          <w:tcPr/>
          <w:p w:rsidR="00000000" w:rsidDel="00000000" w:rsidP="00000000" w:rsidRDefault="00000000" w:rsidRPr="00000000" w14:paraId="0000052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RF-10, RF-11 (</w:t>
            </w:r>
            <w:r w:rsidDel="00000000" w:rsidR="00000000" w:rsidRPr="00000000">
              <w:rPr>
                <w:rFonts w:ascii="Times New Roman" w:cs="Times New Roman" w:eastAsia="Times New Roman" w:hAnsi="Times New Roman"/>
                <w:b w:val="0"/>
                <w:bCs w:val="0"/>
                <w:i w:val="1"/>
                <w:iCs w:val="1"/>
                <w:color w:val="0f172a"/>
                <w:sz w:val="18"/>
                <w:szCs w:val="18"/>
                <w:rtl w:val="0"/>
              </w:rPr>
              <w:t xml:space="preserve">Should Have</w:t>
            </w:r>
            <w:r w:rsidDel="00000000" w:rsidR="00000000" w:rsidRPr="00000000">
              <w:rPr>
                <w:rFonts w:ascii="Times New Roman" w:cs="Times New Roman" w:eastAsia="Times New Roman" w:hAnsi="Times New Roman"/>
                <w:b w:val="0"/>
                <w:bCs w:val="0"/>
                <w:i w:val="0"/>
                <w:iCs w:val="0"/>
                <w:color w:val="0f172a"/>
                <w:sz w:val="18"/>
                <w:szCs w:val="18"/>
                <w:rtl w:val="0"/>
              </w:rPr>
              <w:t xml:space="preserve">)</w:t>
            </w:r>
            <w:r w:rsidDel="00000000" w:rsidR="00000000" w:rsidRPr="00000000">
              <w:rPr>
                <w:rtl w:val="0"/>
              </w:rPr>
            </w:r>
          </w:p>
        </w:tc>
        <w:tc>
          <w:tcPr/>
          <w:p w:rsidR="00000000" w:rsidDel="00000000" w:rsidP="00000000" w:rsidRDefault="00000000" w:rsidRPr="00000000" w14:paraId="0000052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Sprint 4 (Semanas 13 y 14) sujeto a holgura técnica.</w:t>
            </w:r>
            <w:r w:rsidDel="00000000" w:rsidR="00000000" w:rsidRPr="00000000">
              <w:rPr>
                <w:rtl w:val="0"/>
              </w:rPr>
            </w:r>
          </w:p>
        </w:tc>
      </w:tr>
    </w:tbl>
    <w:p w:rsidR="00000000" w:rsidDel="00000000" w:rsidP="00000000" w:rsidRDefault="00000000" w:rsidRPr="00000000" w14:paraId="0000052E">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Nota. Clasificación fundada en la Tabla de Límites del Capítulo III (Sec. III.4) y el Catálogo MoSCoW (Sec. III.5).</w:t>
      </w:r>
      <w:r w:rsidDel="00000000" w:rsidR="00000000" w:rsidRPr="00000000">
        <w:rPr>
          <w:rtl w:val="0"/>
        </w:rPr>
      </w:r>
    </w:p>
    <w:p w:rsidR="00000000" w:rsidDel="00000000" w:rsidP="00000000" w:rsidRDefault="00000000" w:rsidRPr="00000000" w14:paraId="0000052F">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Ficha Técnica del Prototipo v1 (Walking Skeleton)</w:t>
      </w:r>
      <w:r w:rsidDel="00000000" w:rsidR="00000000" w:rsidRPr="00000000">
        <w:rPr>
          <w:rtl w:val="0"/>
        </w:rPr>
      </w:r>
    </w:p>
    <w:p w:rsidR="00000000" w:rsidDel="00000000" w:rsidP="00000000" w:rsidRDefault="00000000" w:rsidRPr="00000000" w14:paraId="00000530">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En concordancia con las pautas de desarrollo para la Semana 8, el Prototipo v1 constituye el esqueleto arquitectónico transitable (</w:t>
      </w:r>
      <w:r w:rsidDel="00000000" w:rsidR="00000000" w:rsidRPr="00000000">
        <w:rPr>
          <w:rFonts w:ascii="Times New Roman" w:cs="Times New Roman" w:eastAsia="Times New Roman" w:hAnsi="Times New Roman"/>
          <w:b w:val="0"/>
          <w:bCs w:val="0"/>
          <w:i w:val="1"/>
          <w:iCs w:val="1"/>
          <w:color w:val="0f172a"/>
          <w:sz w:val="24"/>
          <w:szCs w:val="24"/>
          <w:rtl w:val="0"/>
        </w:rPr>
        <w:t xml:space="preserve">walking skeleton</w:t>
      </w:r>
      <w:r w:rsidDel="00000000" w:rsidR="00000000" w:rsidRPr="00000000">
        <w:rPr>
          <w:rFonts w:ascii="Times New Roman" w:cs="Times New Roman" w:eastAsia="Times New Roman" w:hAnsi="Times New Roman"/>
          <w:b w:val="0"/>
          <w:bCs w:val="0"/>
          <w:i w:val="0"/>
          <w:iCs w:val="0"/>
          <w:color w:val="0f172a"/>
          <w:sz w:val="24"/>
          <w:szCs w:val="24"/>
          <w:rtl w:val="0"/>
        </w:rPr>
        <w:t xml:space="preserve">) que valida de extremo a extremo la integración material de las capas del sistema bajo una regla dura de ingeniería:</w:t>
      </w:r>
      <w:r w:rsidDel="00000000" w:rsidR="00000000" w:rsidRPr="00000000">
        <w:rPr>
          <w:rtl w:val="0"/>
        </w:rPr>
      </w:r>
    </w:p>
    <w:p w:rsidR="00000000" w:rsidDel="00000000" w:rsidP="00000000" w:rsidRDefault="00000000" w:rsidRPr="00000000" w14:paraId="00000531">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Tabla V.6</w:t>
      </w:r>
      <w:r w:rsidDel="00000000" w:rsidR="00000000" w:rsidRPr="00000000">
        <w:rPr>
          <w:rtl w:val="0"/>
        </w:rPr>
      </w:r>
    </w:p>
    <w:p w:rsidR="00000000" w:rsidDel="00000000" w:rsidP="00000000" w:rsidRDefault="00000000" w:rsidRPr="00000000" w14:paraId="00000532">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Ficha Técnica de Verificación del Prototipo v1</w:t>
      </w:r>
      <w:r w:rsidDel="00000000" w:rsidR="00000000" w:rsidRPr="00000000">
        <w:rPr>
          <w:rtl w:val="0"/>
        </w:rPr>
      </w:r>
    </w:p>
    <w:tbl>
      <w:tblPr>
        <w:tblStyle w:val="Table57"/>
        <w:tblW w:w="8504.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4252"/>
        <w:gridCol w:w="4252"/>
        <w:tblGridChange w:id="0">
          <w:tblGrid>
            <w:gridCol w:w="4252"/>
            <w:gridCol w:w="4252"/>
          </w:tblGrid>
        </w:tblGridChange>
      </w:tblGrid>
      <w:tr>
        <w:trPr>
          <w:cantSplit w:val="1"/>
          <w:tblHeader w:val="1"/>
        </w:trPr>
        <w:tc>
          <w:tcPr>
            <w:shd w:fill="f1f5f9" w:val="clear"/>
          </w:tcPr>
          <w:p w:rsidR="00000000" w:rsidDel="00000000" w:rsidP="00000000" w:rsidRDefault="00000000" w:rsidRPr="00000000" w14:paraId="0000053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Parámetro de Evaluación</w:t>
            </w:r>
            <w:r w:rsidDel="00000000" w:rsidR="00000000" w:rsidRPr="00000000">
              <w:rPr>
                <w:rtl w:val="0"/>
              </w:rPr>
            </w:r>
          </w:p>
        </w:tc>
        <w:tc>
          <w:tcPr>
            <w:shd w:fill="f1f5f9" w:val="clear"/>
          </w:tcPr>
          <w:p w:rsidR="00000000" w:rsidDel="00000000" w:rsidP="00000000" w:rsidRDefault="00000000" w:rsidRPr="00000000" w14:paraId="0000053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Detalle Técnico Comprobable</w:t>
            </w:r>
            <w:r w:rsidDel="00000000" w:rsidR="00000000" w:rsidRPr="00000000">
              <w:rPr>
                <w:rtl w:val="0"/>
              </w:rPr>
            </w:r>
          </w:p>
        </w:tc>
      </w:tr>
      <w:tr>
        <w:trPr>
          <w:cantSplit w:val="1"/>
          <w:tblHeader w:val="0"/>
        </w:trPr>
        <w:tc>
          <w:tcPr/>
          <w:p w:rsidR="00000000" w:rsidDel="00000000" w:rsidP="00000000" w:rsidRDefault="00000000" w:rsidRPr="00000000" w14:paraId="0000053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Caso de Uso Vertical Implementado</w:t>
            </w:r>
            <w:r w:rsidDel="00000000" w:rsidR="00000000" w:rsidRPr="00000000">
              <w:rPr>
                <w:rtl w:val="0"/>
              </w:rPr>
            </w:r>
          </w:p>
        </w:tc>
        <w:tc>
          <w:tcPr/>
          <w:p w:rsidR="00000000" w:rsidDel="00000000" w:rsidP="00000000" w:rsidRDefault="00000000" w:rsidRPr="00000000" w14:paraId="00000536">
            <w:pPr>
              <w:spacing w:after="20" w:before="20" w:line="252.00000000000003" w:lineRule="auto"/>
              <w:rPr/>
            </w:pPr>
            <w:r w:rsidDel="00000000" w:rsidR="00000000" w:rsidRPr="00000000">
              <w:rPr>
                <w:rFonts w:ascii="Gungsuh" w:cs="Gungsuh" w:eastAsia="Gungsuh" w:hAnsi="Gungsuh"/>
                <w:b w:val="1"/>
                <w:bCs w:val="1"/>
                <w:i w:val="0"/>
                <w:iCs w:val="0"/>
                <w:color w:val="0f172a"/>
                <w:sz w:val="18"/>
                <w:szCs w:val="18"/>
                <w:rtl w:val="0"/>
              </w:rPr>
              <w:t xml:space="preserve">Cálculo de balance energético en sombra y verificación determinística de DoD ≤ 30% (RN-01)</w:t>
            </w:r>
            <w:r w:rsidDel="00000000" w:rsidR="00000000" w:rsidRPr="00000000">
              <w:rPr>
                <w:rFonts w:ascii="Times New Roman" w:cs="Times New Roman" w:eastAsia="Times New Roman" w:hAnsi="Times New Roman"/>
                <w:b w:val="0"/>
                <w:bCs w:val="0"/>
                <w:i w:val="0"/>
                <w:iCs w:val="0"/>
                <w:color w:val="0f172a"/>
                <w:sz w:val="18"/>
                <w:szCs w:val="18"/>
                <w:rtl w:val="0"/>
              </w:rPr>
              <w:t xml:space="preserve">: El prototipo permite ingresar capacidad de batería (Wh), consumo en eclipse (W) y tiempo de sombra (h) basado en el benchmark de El Hachimi et al. (2025), ejecutando la deducción analítica y emitiendo el estado de conformidad binario con bloqueo ante violación del umbral.</w:t>
            </w:r>
            <w:r w:rsidDel="00000000" w:rsidR="00000000" w:rsidRPr="00000000">
              <w:rPr>
                <w:rtl w:val="0"/>
              </w:rPr>
            </w:r>
          </w:p>
        </w:tc>
      </w:tr>
      <w:tr>
        <w:trPr>
          <w:cantSplit w:val="1"/>
          <w:tblHeader w:val="0"/>
        </w:trPr>
        <w:tc>
          <w:tcPr/>
          <w:p w:rsidR="00000000" w:rsidDel="00000000" w:rsidP="00000000" w:rsidRDefault="00000000" w:rsidRPr="00000000" w14:paraId="0000053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Capas Arquitectónicas Atravesadas</w:t>
            </w:r>
            <w:r w:rsidDel="00000000" w:rsidR="00000000" w:rsidRPr="00000000">
              <w:rPr>
                <w:rtl w:val="0"/>
              </w:rPr>
            </w:r>
          </w:p>
        </w:tc>
        <w:tc>
          <w:tcPr/>
          <w:p w:rsidR="00000000" w:rsidDel="00000000" w:rsidP="00000000" w:rsidRDefault="00000000" w:rsidRPr="00000000" w14:paraId="0000053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1. </w:t>
            </w:r>
            <w:r w:rsidDel="00000000" w:rsidR="00000000" w:rsidRPr="00000000">
              <w:rPr>
                <w:rFonts w:ascii="Times New Roman" w:cs="Times New Roman" w:eastAsia="Times New Roman" w:hAnsi="Times New Roman"/>
                <w:b w:val="1"/>
                <w:bCs w:val="1"/>
                <w:i w:val="0"/>
                <w:iCs w:val="0"/>
                <w:color w:val="0f172a"/>
                <w:sz w:val="18"/>
                <w:szCs w:val="18"/>
                <w:rtl w:val="0"/>
              </w:rPr>
              <w:t xml:space="preserve">Capa de Presentación e Interacción:</w:t>
            </w:r>
            <w:r w:rsidDel="00000000" w:rsidR="00000000" w:rsidRPr="00000000">
              <w:rPr>
                <w:rFonts w:ascii="Times New Roman" w:cs="Times New Roman" w:eastAsia="Times New Roman" w:hAnsi="Times New Roman"/>
                <w:b w:val="0"/>
                <w:bCs w:val="0"/>
                <w:i w:val="0"/>
                <w:iCs w:val="0"/>
                <w:color w:val="0f172a"/>
                <w:sz w:val="18"/>
                <w:szCs w:val="18"/>
                <w:rtl w:val="0"/>
              </w:rPr>
              <w:t xml:space="preserve"> Interfaz de usuario interactiva con renderizado dinámico del umbral DoD y control de densidad de información.</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8"/>
                <w:szCs w:val="18"/>
                <w:rtl w:val="0"/>
              </w:rPr>
              <w:t xml:space="preserve">2. </w:t>
            </w:r>
            <w:r w:rsidDel="00000000" w:rsidR="00000000" w:rsidRPr="00000000">
              <w:rPr>
                <w:rFonts w:ascii="Times New Roman" w:cs="Times New Roman" w:eastAsia="Times New Roman" w:hAnsi="Times New Roman"/>
                <w:b w:val="1"/>
                <w:bCs w:val="1"/>
                <w:i w:val="0"/>
                <w:iCs w:val="0"/>
                <w:color w:val="0f172a"/>
                <w:sz w:val="18"/>
                <w:szCs w:val="18"/>
                <w:rtl w:val="0"/>
              </w:rPr>
              <w:t xml:space="preserve">Capa de Exposición de Servicios:</w:t>
            </w:r>
            <w:r w:rsidDel="00000000" w:rsidR="00000000" w:rsidRPr="00000000">
              <w:rPr>
                <w:rFonts w:ascii="Times New Roman" w:cs="Times New Roman" w:eastAsia="Times New Roman" w:hAnsi="Times New Roman"/>
                <w:b w:val="0"/>
                <w:bCs w:val="0"/>
                <w:i w:val="0"/>
                <w:iCs w:val="0"/>
                <w:color w:val="0f172a"/>
                <w:sz w:val="18"/>
                <w:szCs w:val="18"/>
                <w:rtl w:val="0"/>
              </w:rPr>
              <w:t xml:space="preserve"> Interfaz de Programación de Aplicaciones (API REST) desacoplada bajo especificación abierta OpenAPI.</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8"/>
                <w:szCs w:val="18"/>
                <w:rtl w:val="0"/>
              </w:rPr>
              <w:t xml:space="preserve">3. </w:t>
            </w:r>
            <w:r w:rsidDel="00000000" w:rsidR="00000000" w:rsidRPr="00000000">
              <w:rPr>
                <w:rFonts w:ascii="Times New Roman" w:cs="Times New Roman" w:eastAsia="Times New Roman" w:hAnsi="Times New Roman"/>
                <w:b w:val="1"/>
                <w:bCs w:val="1"/>
                <w:i w:val="0"/>
                <w:iCs w:val="0"/>
                <w:color w:val="0f172a"/>
                <w:sz w:val="18"/>
                <w:szCs w:val="18"/>
                <w:rtl w:val="0"/>
              </w:rPr>
              <w:t xml:space="preserve">Capa de Dominio y Lógica Determinística:</w:t>
            </w:r>
            <w:r w:rsidDel="00000000" w:rsidR="00000000" w:rsidRPr="00000000">
              <w:rPr>
                <w:rFonts w:ascii="Times New Roman" w:cs="Times New Roman" w:eastAsia="Times New Roman" w:hAnsi="Times New Roman"/>
                <w:b w:val="0"/>
                <w:bCs w:val="0"/>
                <w:i w:val="0"/>
                <w:iCs w:val="0"/>
                <w:color w:val="0f172a"/>
                <w:sz w:val="18"/>
                <w:szCs w:val="18"/>
                <w:rtl w:val="0"/>
              </w:rPr>
              <w:t xml:space="preserve"> Módulo analítico aislado que aplica la regla matemática cerrada DoD = (P_ecl × T_ecl) / C_bat × 100 e implementa la regla de negocio RN-01.</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8"/>
                <w:szCs w:val="18"/>
                <w:rtl w:val="0"/>
              </w:rPr>
              <w:t xml:space="preserve">4. </w:t>
            </w:r>
            <w:r w:rsidDel="00000000" w:rsidR="00000000" w:rsidRPr="00000000">
              <w:rPr>
                <w:rFonts w:ascii="Times New Roman" w:cs="Times New Roman" w:eastAsia="Times New Roman" w:hAnsi="Times New Roman"/>
                <w:b w:val="1"/>
                <w:bCs w:val="1"/>
                <w:i w:val="0"/>
                <w:iCs w:val="0"/>
                <w:color w:val="0f172a"/>
                <w:sz w:val="18"/>
                <w:szCs w:val="18"/>
                <w:rtl w:val="0"/>
              </w:rPr>
              <w:t xml:space="preserve">Capa de Persistencia y Auditoría Relacional:</w:t>
            </w:r>
            <w:r w:rsidDel="00000000" w:rsidR="00000000" w:rsidRPr="00000000">
              <w:rPr>
                <w:rFonts w:ascii="Times New Roman" w:cs="Times New Roman" w:eastAsia="Times New Roman" w:hAnsi="Times New Roman"/>
                <w:b w:val="0"/>
                <w:bCs w:val="0"/>
                <w:i w:val="0"/>
                <w:iCs w:val="0"/>
                <w:color w:val="0f172a"/>
                <w:sz w:val="18"/>
                <w:szCs w:val="18"/>
                <w:rtl w:val="0"/>
              </w:rPr>
              <w:t xml:space="preserve"> Esquema relacional estructurado que almacena la tupla de cálculo y preserva la traza inmutable del </w:t>
            </w:r>
            <w:r w:rsidDel="00000000" w:rsidR="00000000" w:rsidRPr="00000000">
              <w:rPr>
                <w:rFonts w:ascii="Consolas" w:cs="Consolas" w:eastAsia="Consolas" w:hAnsi="Consolas"/>
                <w:b w:val="0"/>
                <w:bCs w:val="0"/>
                <w:i w:val="0"/>
                <w:iCs w:val="0"/>
                <w:color w:val="334155"/>
                <w:sz w:val="15"/>
                <w:szCs w:val="15"/>
                <w:rtl w:val="0"/>
              </w:rPr>
              <w:t xml:space="preserve">DecisionLog</w:t>
            </w:r>
            <w:r w:rsidDel="00000000" w:rsidR="00000000" w:rsidRPr="00000000">
              <w:rPr>
                <w:rFonts w:ascii="Times New Roman" w:cs="Times New Roman" w:eastAsia="Times New Roman" w:hAnsi="Times New Roman"/>
                <w:b w:val="0"/>
                <w:bCs w:val="0"/>
                <w:i w:val="0"/>
                <w:iCs w:val="0"/>
                <w:color w:val="0f172a"/>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53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Identificador de Repositorio y Etiqueta de Versión</w:t>
            </w:r>
            <w:r w:rsidDel="00000000" w:rsidR="00000000" w:rsidRPr="00000000">
              <w:rPr>
                <w:rtl w:val="0"/>
              </w:rPr>
            </w:r>
          </w:p>
        </w:tc>
        <w:tc>
          <w:tcPr/>
          <w:p w:rsidR="00000000" w:rsidDel="00000000" w:rsidP="00000000" w:rsidRDefault="00000000" w:rsidRPr="00000000" w14:paraId="0000053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Repositorio institucional de control de versiones.</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8"/>
                <w:szCs w:val="18"/>
                <w:rtl w:val="0"/>
              </w:rPr>
              <w:t xml:space="preserve">Etiqueta de versión inmutable: </w:t>
            </w:r>
            <w:r w:rsidDel="00000000" w:rsidR="00000000" w:rsidRPr="00000000">
              <w:rPr>
                <w:rFonts w:ascii="Times New Roman" w:cs="Times New Roman" w:eastAsia="Times New Roman" w:hAnsi="Times New Roman"/>
                <w:b w:val="1"/>
                <w:bCs w:val="1"/>
                <w:i w:val="0"/>
                <w:iCs w:val="0"/>
                <w:color w:val="0f172a"/>
                <w:sz w:val="18"/>
                <w:szCs w:val="18"/>
                <w:rtl w:val="0"/>
              </w:rPr>
              <w:t xml:space="preserve">`v1.0.0-prototipo`</w:t>
            </w:r>
            <w:r w:rsidDel="00000000" w:rsidR="00000000" w:rsidRPr="00000000">
              <w:rPr>
                <w:rFonts w:ascii="Times New Roman" w:cs="Times New Roman" w:eastAsia="Times New Roman" w:hAnsi="Times New Roman"/>
                <w:b w:val="0"/>
                <w:bCs w:val="0"/>
                <w:i w:val="0"/>
                <w:iCs w:val="0"/>
                <w:color w:val="0f172a"/>
                <w:sz w:val="18"/>
                <w:szCs w:val="18"/>
                <w:rtl w:val="0"/>
              </w:rPr>
              <w:t xml:space="preserve"> (Punto de control: </w:t>
            </w:r>
            <w:r w:rsidDel="00000000" w:rsidR="00000000" w:rsidRPr="00000000">
              <w:rPr>
                <w:rFonts w:ascii="Consolas" w:cs="Consolas" w:eastAsia="Consolas" w:hAnsi="Consolas"/>
                <w:b w:val="0"/>
                <w:bCs w:val="0"/>
                <w:i w:val="0"/>
                <w:iCs w:val="0"/>
                <w:color w:val="334155"/>
                <w:sz w:val="15"/>
                <w:szCs w:val="15"/>
                <w:rtl w:val="0"/>
              </w:rPr>
              <w:t xml:space="preserve">release-v1-walking-skeleton</w:t>
            </w:r>
            <w:r w:rsidDel="00000000" w:rsidR="00000000" w:rsidRPr="00000000">
              <w:rPr>
                <w:rFonts w:ascii="Times New Roman" w:cs="Times New Roman" w:eastAsia="Times New Roman" w:hAnsi="Times New Roman"/>
                <w:b w:val="0"/>
                <w:bCs w:val="0"/>
                <w:i w:val="0"/>
                <w:iCs w:val="0"/>
                <w:color w:val="0f172a"/>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53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Estado del Canal de Integración Continua (CI)</w:t>
            </w:r>
            <w:r w:rsidDel="00000000" w:rsidR="00000000" w:rsidRPr="00000000">
              <w:rPr>
                <w:rtl w:val="0"/>
              </w:rPr>
            </w:r>
          </w:p>
        </w:tc>
        <w:tc>
          <w:tcPr/>
          <w:p w:rsidR="00000000" w:rsidDel="00000000" w:rsidP="00000000" w:rsidRDefault="00000000" w:rsidRPr="00000000" w14:paraId="0000053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Flujo de construcción automatizado mediante tubería de integración continua:</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8"/>
                <w:szCs w:val="18"/>
                <w:rtl w:val="0"/>
              </w:rPr>
              <w:t xml:space="preserve">- Etapa de análisis estático de código (</w:t>
            </w:r>
            <w:r w:rsidDel="00000000" w:rsidR="00000000" w:rsidRPr="00000000">
              <w:rPr>
                <w:rFonts w:ascii="Times New Roman" w:cs="Times New Roman" w:eastAsia="Times New Roman" w:hAnsi="Times New Roman"/>
                <w:b w:val="0"/>
                <w:bCs w:val="0"/>
                <w:i w:val="1"/>
                <w:iCs w:val="1"/>
                <w:color w:val="0f172a"/>
                <w:sz w:val="18"/>
                <w:szCs w:val="18"/>
                <w:rtl w:val="0"/>
              </w:rPr>
              <w:t xml:space="preserve">linting</w:t>
            </w:r>
            <w:r w:rsidDel="00000000" w:rsidR="00000000" w:rsidRPr="00000000">
              <w:rPr>
                <w:rFonts w:ascii="Times New Roman" w:cs="Times New Roman" w:eastAsia="Times New Roman" w:hAnsi="Times New Roman"/>
                <w:b w:val="0"/>
                <w:bCs w:val="0"/>
                <w:i w:val="0"/>
                <w:iCs w:val="0"/>
                <w:color w:val="0f172a"/>
                <w:sz w:val="18"/>
                <w:szCs w:val="18"/>
                <w:rtl w:val="0"/>
              </w:rPr>
              <w:t xml:space="preserve"> y verificación estricta de tipado).</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8"/>
                <w:szCs w:val="18"/>
                <w:rtl w:val="0"/>
              </w:rPr>
              <w:t xml:space="preserve">- Etapa de ejecución de pruebas unitarias y de integración sobre el entorno de ejecución del sistema.</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8"/>
                <w:szCs w:val="18"/>
                <w:rtl w:val="0"/>
              </w:rPr>
              <w:t xml:space="preserve">- Total de pruebas unitarias automatizadas: doce (12) tests ejecutados (100% pasando satisfactoriamente, cero fallas).</w:t>
            </w:r>
            <w:r w:rsidDel="00000000" w:rsidR="00000000" w:rsidRPr="00000000">
              <w:rPr>
                <w:rtl w:val="0"/>
              </w:rPr>
            </w:r>
          </w:p>
        </w:tc>
      </w:tr>
      <w:tr>
        <w:trPr>
          <w:cantSplit w:val="1"/>
          <w:tblHeader w:val="0"/>
        </w:trPr>
        <w:tc>
          <w:tcPr/>
          <w:p w:rsidR="00000000" w:rsidDel="00000000" w:rsidP="00000000" w:rsidRDefault="00000000" w:rsidRPr="00000000" w14:paraId="0000053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Fecha de Última Corrida Exitosa</w:t>
            </w:r>
            <w:r w:rsidDel="00000000" w:rsidR="00000000" w:rsidRPr="00000000">
              <w:rPr>
                <w:rtl w:val="0"/>
              </w:rPr>
            </w:r>
          </w:p>
        </w:tc>
        <w:tc>
          <w:tcPr/>
          <w:p w:rsidR="00000000" w:rsidDel="00000000" w:rsidP="00000000" w:rsidRDefault="00000000" w:rsidRPr="00000000" w14:paraId="0000053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25/10/2026 14:32:10 UTC</w:t>
            </w:r>
            <w:r w:rsidDel="00000000" w:rsidR="00000000" w:rsidRPr="00000000">
              <w:rPr>
                <w:rFonts w:ascii="Times New Roman" w:cs="Times New Roman" w:eastAsia="Times New Roman" w:hAnsi="Times New Roman"/>
                <w:b w:val="0"/>
                <w:bCs w:val="0"/>
                <w:i w:val="0"/>
                <w:iCs w:val="0"/>
                <w:color w:val="0f172a"/>
                <w:sz w:val="18"/>
                <w:szCs w:val="18"/>
                <w:rtl w:val="0"/>
              </w:rPr>
              <w:t xml:space="preserve"> (Duración de la tubería de CI: 1 minuto 18 segundos, estado: </w:t>
            </w:r>
            <w:r w:rsidDel="00000000" w:rsidR="00000000" w:rsidRPr="00000000">
              <w:rPr>
                <w:rFonts w:ascii="Times New Roman" w:cs="Times New Roman" w:eastAsia="Times New Roman" w:hAnsi="Times New Roman"/>
                <w:b w:val="0"/>
                <w:bCs w:val="0"/>
                <w:i w:val="1"/>
                <w:iCs w:val="1"/>
                <w:color w:val="0f172a"/>
                <w:sz w:val="18"/>
                <w:szCs w:val="18"/>
                <w:rtl w:val="0"/>
              </w:rPr>
              <w:t xml:space="preserve">Passed / Green</w:t>
            </w:r>
            <w:r w:rsidDel="00000000" w:rsidR="00000000" w:rsidRPr="00000000">
              <w:rPr>
                <w:rFonts w:ascii="Times New Roman" w:cs="Times New Roman" w:eastAsia="Times New Roman" w:hAnsi="Times New Roman"/>
                <w:b w:val="0"/>
                <w:bCs w:val="0"/>
                <w:i w:val="0"/>
                <w:iCs w:val="0"/>
                <w:color w:val="0f172a"/>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53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Condición de Ejecutabilidad en Máquina Limpia</w:t>
            </w:r>
            <w:r w:rsidDel="00000000" w:rsidR="00000000" w:rsidRPr="00000000">
              <w:rPr>
                <w:rtl w:val="0"/>
              </w:rPr>
            </w:r>
          </w:p>
        </w:tc>
        <w:tc>
          <w:tcPr/>
          <w:p w:rsidR="00000000" w:rsidDel="00000000" w:rsidP="00000000" w:rsidRDefault="00000000" w:rsidRPr="00000000" w14:paraId="00000540">
            <w:pPr>
              <w:spacing w:after="20" w:before="20" w:line="252.00000000000003" w:lineRule="auto"/>
              <w:rPr/>
            </w:pPr>
            <w:r w:rsidDel="00000000" w:rsidR="00000000" w:rsidRPr="00000000">
              <w:rPr>
                <w:rFonts w:ascii="Gungsuh" w:cs="Gungsuh" w:eastAsia="Gungsuh" w:hAnsi="Gungsuh"/>
                <w:b w:val="0"/>
                <w:bCs w:val="0"/>
                <w:i w:val="0"/>
                <w:iCs w:val="0"/>
                <w:color w:val="0f172a"/>
                <w:sz w:val="18"/>
                <w:szCs w:val="18"/>
                <w:rtl w:val="0"/>
              </w:rPr>
              <w:t xml:space="preserve">Despliegue autocontenido mediante tecnología de contenedores de software. Tiempo de inicialización de servicios completo ≤ 45 segundos en hardware estándar sin dependencias preinstaladas en el sistema anfitrión.</w:t>
            </w:r>
            <w:r w:rsidDel="00000000" w:rsidR="00000000" w:rsidRPr="00000000">
              <w:rPr>
                <w:rtl w:val="0"/>
              </w:rPr>
            </w:r>
          </w:p>
        </w:tc>
      </w:tr>
    </w:tbl>
    <w:p w:rsidR="00000000" w:rsidDel="00000000" w:rsidP="00000000" w:rsidRDefault="00000000" w:rsidRPr="00000000" w14:paraId="00000541">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Nota. Ficha de control de avance técnico elaborada conforme a los requerimientos del marco reglamentario del Proyecto Integrador Final.</w:t>
      </w:r>
      <w:r w:rsidDel="00000000" w:rsidR="00000000" w:rsidRPr="00000000">
        <w:rPr>
          <w:rtl w:val="0"/>
        </w:rPr>
      </w:r>
    </w:p>
    <w:p w:rsidR="00000000" w:rsidDel="00000000" w:rsidP="00000000" w:rsidRDefault="00000000" w:rsidRPr="00000000" w14:paraId="00000542">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Mecanismo y Criterio de Aceptación del MVP</w:t>
      </w:r>
      <w:r w:rsidDel="00000000" w:rsidR="00000000" w:rsidRPr="00000000">
        <w:rPr>
          <w:rtl w:val="0"/>
        </w:rPr>
      </w:r>
    </w:p>
    <w:p w:rsidR="00000000" w:rsidDel="00000000" w:rsidP="00000000" w:rsidRDefault="00000000" w:rsidRPr="00000000" w14:paraId="00000543">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La aceptación técnica formal del Producto Mínimo Viable se estructura en dos niveles complementarios de evaluación que garantizan tanto la idoneidad de dominio como la reducción efectiva de la sobrecarga operativa:</w:t>
      </w:r>
      <w:r w:rsidDel="00000000" w:rsidR="00000000" w:rsidRPr="00000000">
        <w:rPr>
          <w:rtl w:val="0"/>
        </w:rPr>
      </w:r>
    </w:p>
    <w:p w:rsidR="00000000" w:rsidDel="00000000" w:rsidP="00000000" w:rsidRDefault="00000000" w:rsidRPr="00000000" w14:paraId="00000544">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 </w:t>
      </w:r>
      <w:r w:rsidDel="00000000" w:rsidR="00000000" w:rsidRPr="00000000">
        <w:rPr>
          <w:rFonts w:ascii="Times New Roman" w:cs="Times New Roman" w:eastAsia="Times New Roman" w:hAnsi="Times New Roman"/>
          <w:b w:val="1"/>
          <w:bCs w:val="1"/>
          <w:i w:val="0"/>
          <w:iCs w:val="0"/>
          <w:color w:val="0f172a"/>
          <w:sz w:val="23"/>
          <w:szCs w:val="23"/>
          <w:rtl w:val="0"/>
        </w:rPr>
        <w:t xml:space="preserve">Validación Institucional y de Dominio (*Design Partner*)</w:t>
      </w:r>
      <w:r w:rsidDel="00000000" w:rsidR="00000000" w:rsidRPr="00000000">
        <w:rPr>
          <w:rFonts w:ascii="Times New Roman" w:cs="Times New Roman" w:eastAsia="Times New Roman" w:hAnsi="Times New Roman"/>
          <w:b w:val="0"/>
          <w:bCs w:val="0"/>
          <w:i w:val="0"/>
          <w:iCs w:val="0"/>
          <w:color w:val="0f172a"/>
          <w:sz w:val="23"/>
          <w:szCs w:val="23"/>
          <w:rtl w:val="0"/>
        </w:rPr>
        <w:t xml:space="preserve">: Sesión formal de revisión de diseño y aceptación funcional suscrita con la Coordinadora de Proyectos USAT del Centro Tecnológico Aeroespacial (CTA-UNLP), </w:t>
      </w:r>
      <w:r w:rsidDel="00000000" w:rsidR="00000000" w:rsidRPr="00000000">
        <w:rPr>
          <w:rFonts w:ascii="Times New Roman" w:cs="Times New Roman" w:eastAsia="Times New Roman" w:hAnsi="Times New Roman"/>
          <w:b w:val="1"/>
          <w:bCs w:val="1"/>
          <w:i w:val="0"/>
          <w:iCs w:val="0"/>
          <w:color w:val="0f172a"/>
          <w:sz w:val="23"/>
          <w:szCs w:val="23"/>
          <w:rtl w:val="0"/>
        </w:rPr>
        <w:t xml:space="preserve">Ing. Sonia Botta</w:t>
      </w:r>
      <w:r w:rsidDel="00000000" w:rsidR="00000000" w:rsidRPr="00000000">
        <w:rPr>
          <w:rFonts w:ascii="Times New Roman" w:cs="Times New Roman" w:eastAsia="Times New Roman" w:hAnsi="Times New Roman"/>
          <w:b w:val="0"/>
          <w:bCs w:val="0"/>
          <w:i w:val="0"/>
          <w:iCs w:val="0"/>
          <w:color w:val="0f172a"/>
          <w:sz w:val="23"/>
          <w:szCs w:val="23"/>
          <w:rtl w:val="0"/>
        </w:rPr>
        <w:t xml:space="preserve">. En dicha instancia se evalúa la efectividad del sistema para detectar desincronizaciones de parámetros entre documentos de interfaz (ICD) y balances de potencia antes de las 72 horas críticas de integración física, verificando que la captura de justificaciones en el </w:t>
      </w:r>
      <w:r w:rsidDel="00000000" w:rsidR="00000000" w:rsidRPr="00000000">
        <w:rPr>
          <w:rFonts w:ascii="Consolas" w:cs="Consolas" w:eastAsia="Consolas" w:hAnsi="Consolas"/>
          <w:b w:val="0"/>
          <w:bCs w:val="0"/>
          <w:i w:val="0"/>
          <w:iCs w:val="0"/>
          <w:color w:val="334155"/>
          <w:sz w:val="20"/>
          <w:szCs w:val="20"/>
          <w:rtl w:val="0"/>
        </w:rPr>
        <w:t xml:space="preserve">DecisionLog</w:t>
      </w:r>
      <w:r w:rsidDel="00000000" w:rsidR="00000000" w:rsidRPr="00000000">
        <w:rPr>
          <w:rFonts w:ascii="Times New Roman" w:cs="Times New Roman" w:eastAsia="Times New Roman" w:hAnsi="Times New Roman"/>
          <w:b w:val="0"/>
          <w:bCs w:val="0"/>
          <w:i w:val="0"/>
          <w:iCs w:val="0"/>
          <w:color w:val="0f172a"/>
          <w:sz w:val="23"/>
          <w:szCs w:val="23"/>
          <w:rtl w:val="0"/>
        </w:rPr>
        <w:t xml:space="preserve"> resuelva la pérdida de memoria técnica ocasionada por la rotación continua de becarios.</w:t>
      </w:r>
      <w:r w:rsidDel="00000000" w:rsidR="00000000" w:rsidRPr="00000000">
        <w:rPr>
          <w:rtl w:val="0"/>
        </w:rPr>
      </w:r>
    </w:p>
    <w:p w:rsidR="00000000" w:rsidDel="00000000" w:rsidP="00000000" w:rsidRDefault="00000000" w:rsidRPr="00000000" w14:paraId="00000545">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2. </w:t>
      </w:r>
      <w:r w:rsidDel="00000000" w:rsidR="00000000" w:rsidRPr="00000000">
        <w:rPr>
          <w:rFonts w:ascii="Times New Roman" w:cs="Times New Roman" w:eastAsia="Times New Roman" w:hAnsi="Times New Roman"/>
          <w:b w:val="1"/>
          <w:bCs w:val="1"/>
          <w:i w:val="0"/>
          <w:iCs w:val="0"/>
          <w:color w:val="0f172a"/>
          <w:sz w:val="23"/>
          <w:szCs w:val="23"/>
          <w:rtl w:val="0"/>
        </w:rPr>
        <w:t xml:space="preserve">Validación Operativa y de Carga Mental</w:t>
      </w:r>
      <w:r w:rsidDel="00000000" w:rsidR="00000000" w:rsidRPr="00000000">
        <w:rPr>
          <w:rFonts w:ascii="Times New Roman" w:cs="Times New Roman" w:eastAsia="Times New Roman" w:hAnsi="Times New Roman"/>
          <w:b w:val="0"/>
          <w:bCs w:val="0"/>
          <w:i w:val="0"/>
          <w:iCs w:val="0"/>
          <w:color w:val="0f172a"/>
          <w:sz w:val="23"/>
          <w:szCs w:val="23"/>
          <w:rtl w:val="0"/>
        </w:rPr>
        <w:t xml:space="preserve">: Ensayo de usabilidad operativa ejecutado sobre dos cohortes de usuarios representativas: desarrolladores históricos de las misiones satelitales </w:t>
      </w:r>
      <w:r w:rsidDel="00000000" w:rsidR="00000000" w:rsidRPr="00000000">
        <w:rPr>
          <w:rFonts w:ascii="Times New Roman" w:cs="Times New Roman" w:eastAsia="Times New Roman" w:hAnsi="Times New Roman"/>
          <w:b w:val="1"/>
          <w:bCs w:val="1"/>
          <w:i w:val="0"/>
          <w:iCs w:val="0"/>
          <w:color w:val="0f172a"/>
          <w:sz w:val="23"/>
          <w:szCs w:val="23"/>
          <w:rtl w:val="0"/>
        </w:rPr>
        <w:t xml:space="preserve">Atenea y USAT-1</w:t>
      </w:r>
      <w:r w:rsidDel="00000000" w:rsidR="00000000" w:rsidRPr="00000000">
        <w:rPr>
          <w:rFonts w:ascii="Times New Roman" w:cs="Times New Roman" w:eastAsia="Times New Roman" w:hAnsi="Times New Roman"/>
          <w:b w:val="0"/>
          <w:bCs w:val="0"/>
          <w:i w:val="0"/>
          <w:iCs w:val="0"/>
          <w:color w:val="0f172a"/>
          <w:sz w:val="23"/>
          <w:szCs w:val="23"/>
          <w:rtl w:val="0"/>
        </w:rPr>
        <w:t xml:space="preserve"> (validación de fidelidad operativa) y estudiantes avanzados participantes de la iniciativa </w:t>
      </w:r>
      <w:r w:rsidDel="00000000" w:rsidR="00000000" w:rsidRPr="00000000">
        <w:rPr>
          <w:rFonts w:ascii="Times New Roman" w:cs="Times New Roman" w:eastAsia="Times New Roman" w:hAnsi="Times New Roman"/>
          <w:b w:val="1"/>
          <w:bCs w:val="1"/>
          <w:i w:val="0"/>
          <w:iCs w:val="0"/>
          <w:color w:val="0f172a"/>
          <w:sz w:val="23"/>
          <w:szCs w:val="23"/>
          <w:rtl w:val="0"/>
        </w:rPr>
        <w:t xml:space="preserve">CanSat 2026/2027</w:t>
      </w:r>
      <w:r w:rsidDel="00000000" w:rsidR="00000000" w:rsidRPr="00000000">
        <w:rPr>
          <w:rFonts w:ascii="Times New Roman" w:cs="Times New Roman" w:eastAsia="Times New Roman" w:hAnsi="Times New Roman"/>
          <w:b w:val="0"/>
          <w:bCs w:val="0"/>
          <w:i w:val="0"/>
          <w:iCs w:val="0"/>
          <w:color w:val="0f172a"/>
          <w:sz w:val="23"/>
          <w:szCs w:val="23"/>
          <w:rtl w:val="0"/>
        </w:rPr>
        <w:t xml:space="preserve"> (población subrogada directa de becarios ingresantes). El protocolo experimental comparativo A/B, las mediciones cronometradas de tiempo de resolución (</w:t>
      </w:r>
      <w:r w:rsidDel="00000000" w:rsidR="00000000" w:rsidRPr="00000000">
        <w:rPr>
          <w:rFonts w:ascii="Times New Roman" w:cs="Times New Roman" w:eastAsia="Times New Roman" w:hAnsi="Times New Roman"/>
          <w:b w:val="0"/>
          <w:bCs w:val="0"/>
          <w:i w:val="1"/>
          <w:iCs w:val="1"/>
          <w:color w:val="0f172a"/>
          <w:sz w:val="23"/>
          <w:szCs w:val="23"/>
          <w:rtl w:val="0"/>
        </w:rPr>
        <w:t xml:space="preserve">Time-on-Task</w:t>
      </w:r>
      <w:r w:rsidDel="00000000" w:rsidR="00000000" w:rsidRPr="00000000">
        <w:rPr>
          <w:rFonts w:ascii="Times New Roman" w:cs="Times New Roman" w:eastAsia="Times New Roman" w:hAnsi="Times New Roman"/>
          <w:b w:val="0"/>
          <w:bCs w:val="0"/>
          <w:i w:val="0"/>
          <w:iCs w:val="0"/>
          <w:color w:val="0f172a"/>
          <w:sz w:val="23"/>
          <w:szCs w:val="23"/>
          <w:rtl w:val="0"/>
        </w:rPr>
        <w:t xml:space="preserve">), la tasa de omisión de errores y el cálculo psicométrico del índice </w:t>
      </w:r>
      <w:r w:rsidDel="00000000" w:rsidR="00000000" w:rsidRPr="00000000">
        <w:rPr>
          <w:rFonts w:ascii="Times New Roman" w:cs="Times New Roman" w:eastAsia="Times New Roman" w:hAnsi="Times New Roman"/>
          <w:b w:val="1"/>
          <w:bCs w:val="1"/>
          <w:i w:val="0"/>
          <w:iCs w:val="0"/>
          <w:color w:val="0f172a"/>
          <w:sz w:val="23"/>
          <w:szCs w:val="23"/>
          <w:rtl w:val="0"/>
        </w:rPr>
        <w:t xml:space="preserve">Raw-TLX / NASA-TLX</w:t>
      </w:r>
      <w:r w:rsidDel="00000000" w:rsidR="00000000" w:rsidRPr="00000000">
        <w:rPr>
          <w:rFonts w:ascii="Times New Roman" w:cs="Times New Roman" w:eastAsia="Times New Roman" w:hAnsi="Times New Roman"/>
          <w:b w:val="0"/>
          <w:bCs w:val="0"/>
          <w:i w:val="0"/>
          <w:iCs w:val="0"/>
          <w:color w:val="0f172a"/>
          <w:sz w:val="23"/>
          <w:szCs w:val="23"/>
          <w:rtl w:val="0"/>
        </w:rPr>
        <w:t xml:space="preserve"> (RNF-03) se detallan de forma exhaustiva en el Capítulo VIII (</w:t>
      </w:r>
      <w:r w:rsidDel="00000000" w:rsidR="00000000" w:rsidRPr="00000000">
        <w:rPr>
          <w:rFonts w:ascii="Times New Roman" w:cs="Times New Roman" w:eastAsia="Times New Roman" w:hAnsi="Times New Roman"/>
          <w:b w:val="0"/>
          <w:bCs w:val="0"/>
          <w:i w:val="1"/>
          <w:iCs w:val="1"/>
          <w:color w:val="0f172a"/>
          <w:sz w:val="23"/>
          <w:szCs w:val="23"/>
          <w:rtl w:val="0"/>
        </w:rPr>
        <w:t xml:space="preserve">Plan de Pruebas y Validación Empírica</w:t>
      </w:r>
      <w:r w:rsidDel="00000000" w:rsidR="00000000" w:rsidRPr="00000000">
        <w:rPr>
          <w:rFonts w:ascii="Times New Roman" w:cs="Times New Roman" w:eastAsia="Times New Roman" w:hAnsi="Times New Roman"/>
          <w:b w:val="0"/>
          <w:bCs w:val="0"/>
          <w:i w:val="0"/>
          <w:iCs w:val="0"/>
          <w:color w:val="0f172a"/>
          <w:sz w:val="23"/>
          <w:szCs w:val="23"/>
          <w:rtl w:val="0"/>
        </w:rPr>
        <w:t xml:space="preserve">).</w:t>
      </w:r>
      <w:r w:rsidDel="00000000" w:rsidR="00000000" w:rsidRPr="00000000">
        <w:rPr>
          <w:rtl w:val="0"/>
        </w:rPr>
      </w:r>
    </w:p>
    <w:p w:rsidR="00000000" w:rsidDel="00000000" w:rsidP="00000000" w:rsidRDefault="00000000" w:rsidRPr="00000000" w14:paraId="00000546">
      <w:pPr>
        <w:pStyle w:val="Heading1"/>
        <w:keepNext w:val="1"/>
        <w:pageBreakBefore w:val="1"/>
        <w:rPr/>
      </w:pPr>
      <w:r w:rsidDel="00000000" w:rsidR="00000000" w:rsidRPr="00000000">
        <w:rPr>
          <w:rFonts w:ascii="Times New Roman" w:cs="Times New Roman" w:eastAsia="Times New Roman" w:hAnsi="Times New Roman"/>
          <w:b w:val="1"/>
          <w:bCs w:val="1"/>
          <w:i w:val="0"/>
          <w:iCs w:val="0"/>
          <w:color w:val="0f172a"/>
          <w:sz w:val="32"/>
          <w:szCs w:val="32"/>
          <w:rtl w:val="0"/>
        </w:rPr>
        <w:t xml:space="preserve">CAPÍTULO X · RECURSOS DEL PROYECTO</w:t>
      </w:r>
      <w:r w:rsidDel="00000000" w:rsidR="00000000" w:rsidRPr="00000000">
        <w:rPr>
          <w:rtl w:val="0"/>
        </w:rPr>
      </w:r>
    </w:p>
    <w:p w:rsidR="00000000" w:rsidDel="00000000" w:rsidP="00000000" w:rsidRDefault="00000000" w:rsidRPr="00000000" w14:paraId="00000547">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dimensionamiento, costeo y asignación de recursos del proyecto CODI (</w:t>
      </w:r>
      <w:r w:rsidDel="00000000" w:rsidR="00000000" w:rsidRPr="00000000">
        <w:rPr>
          <w:rFonts w:ascii="Times New Roman" w:cs="Times New Roman" w:eastAsia="Times New Roman" w:hAnsi="Times New Roman"/>
          <w:b w:val="0"/>
          <w:bCs w:val="0"/>
          <w:i w:val="1"/>
          <w:iCs w:val="1"/>
          <w:color w:val="0f172a"/>
          <w:sz w:val="24"/>
          <w:szCs w:val="24"/>
          <w:rtl w:val="0"/>
        </w:rPr>
        <w:t xml:space="preserve">Cognitive Operations &amp; Decision Intelligence</w:t>
      </w:r>
      <w:r w:rsidDel="00000000" w:rsidR="00000000" w:rsidRPr="00000000">
        <w:rPr>
          <w:rFonts w:ascii="Times New Roman" w:cs="Times New Roman" w:eastAsia="Times New Roman" w:hAnsi="Times New Roman"/>
          <w:b w:val="0"/>
          <w:bCs w:val="0"/>
          <w:i w:val="0"/>
          <w:iCs w:val="0"/>
          <w:color w:val="0f172a"/>
          <w:sz w:val="24"/>
          <w:szCs w:val="24"/>
          <w:rtl w:val="0"/>
        </w:rPr>
        <w:t xml:space="preserve">) se derivan directamente de la especificación técnica de requisitos (Capítulo III, Sec. III.5) y del cronograma operativo de trabajo (Capítulo V, Sec. V.4), asegurando que ninguna partida presupuestaria constituya un valor aislado o decorativo. La presupuestación del esfuerzo de desarrollo se sustenta en una dedicación efectiva estricta de 190 horas-persona distribuidas en diez semanas de desarrollo activo, calibradas para absorber la demanda técnica de 184 horas-persona del Producto Mínimo Viable (MVP) y mantener una reserva de contingencia de 6 horas-persona. Se evalúa y descarta una estimación de recursos basada en costos globales promedio o tarifas genéricas desvinculadas de la estructura formal del sector de software argentino por inducir desvíos presupuestarios inviables, remitiendo el detalle de adquisiciones de infraestructura y cómputo híbrido a los apartados atómicos subsiguientes y a los registros de la Bitácora.</w:t>
      </w:r>
      <w:r w:rsidDel="00000000" w:rsidR="00000000" w:rsidRPr="00000000">
        <w:rPr>
          <w:rtl w:val="0"/>
        </w:rPr>
      </w:r>
    </w:p>
    <w:p w:rsidR="00000000" w:rsidDel="00000000" w:rsidP="00000000" w:rsidRDefault="00000000" w:rsidRPr="00000000" w14:paraId="00000548">
      <w:pPr>
        <w:pStyle w:val="Heading2"/>
        <w:keepNext w:val="1"/>
        <w:rPr/>
      </w:pPr>
      <w:r w:rsidDel="00000000" w:rsidR="00000000" w:rsidRPr="00000000">
        <w:rPr>
          <w:rFonts w:ascii="Times New Roman" w:cs="Times New Roman" w:eastAsia="Times New Roman" w:hAnsi="Times New Roman"/>
          <w:b w:val="1"/>
          <w:bCs w:val="1"/>
          <w:i w:val="0"/>
          <w:iCs w:val="0"/>
          <w:color w:val="0f172a"/>
          <w:sz w:val="28"/>
          <w:szCs w:val="28"/>
          <w:rtl w:val="0"/>
        </w:rPr>
        <w:t xml:space="preserve">X.1 · Recursos Humanos</w:t>
      </w:r>
      <w:r w:rsidDel="00000000" w:rsidR="00000000" w:rsidRPr="00000000">
        <w:rPr>
          <w:rtl w:val="0"/>
        </w:rPr>
      </w:r>
    </w:p>
    <w:p w:rsidR="00000000" w:rsidDel="00000000" w:rsidP="00000000" w:rsidRDefault="00000000" w:rsidRPr="00000000" w14:paraId="00000549">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La ejecución técnica y la formulación metodológica del proyecto CODI se estructuran bajo la modalidad de autoría individual a cargo del estudiante Santiago Agustín Nuñez (Resolución Rectoral N.º 97/23, Art. 16.º), quien asume de manera unificada los roles de ingeniería de software, arquitectura de sistemas, ingeniería de datos/IA y modelado del dominio aeroespacial. La asignación horaria responde a una capacidad real de diecinueve (19) horas semanales efectivas durante diez (10) semanas de desarrollo (Semanas 5 a 14), totalizando un </w:t>
      </w:r>
      <w:r w:rsidDel="00000000" w:rsidR="00000000" w:rsidRPr="00000000">
        <w:rPr>
          <w:rFonts w:ascii="Times New Roman" w:cs="Times New Roman" w:eastAsia="Times New Roman" w:hAnsi="Times New Roman"/>
          <w:b w:val="1"/>
          <w:bCs w:val="1"/>
          <w:i w:val="0"/>
          <w:iCs w:val="0"/>
          <w:color w:val="0f172a"/>
          <w:sz w:val="24"/>
          <w:szCs w:val="24"/>
          <w:rtl w:val="0"/>
        </w:rPr>
        <w:t xml:space="preserve">presupuesto efectivo de 190 horas-persona</w:t>
      </w:r>
      <w:r w:rsidDel="00000000" w:rsidR="00000000" w:rsidRPr="00000000">
        <w:rPr>
          <w:rFonts w:ascii="Times New Roman" w:cs="Times New Roman" w:eastAsia="Times New Roman" w:hAnsi="Times New Roman"/>
          <w:b w:val="0"/>
          <w:bCs w:val="0"/>
          <w:i w:val="0"/>
          <w:iCs w:val="0"/>
          <w:color w:val="0f172a"/>
          <w:sz w:val="24"/>
          <w:szCs w:val="24"/>
          <w:rtl w:val="0"/>
        </w:rPr>
        <w:t xml:space="preserve">, en estricta e idéntica concordancia matemática con el balance de horas del alcance del proyecto (Capítulo III, Sec. III.3) y la matriz de capacidad del cronograma (Capítulo V, Sec. V.4, Tabla V.4).</w:t>
      </w:r>
      <w:r w:rsidDel="00000000" w:rsidR="00000000" w:rsidRPr="00000000">
        <w:rPr>
          <w:rtl w:val="0"/>
        </w:rPr>
      </w:r>
    </w:p>
    <w:p w:rsidR="00000000" w:rsidDel="00000000" w:rsidP="00000000" w:rsidRDefault="00000000" w:rsidRPr="00000000" w14:paraId="0000054A">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Análisis Comparativo de Universos de Referencia del Sector SSI</w:t>
      </w:r>
      <w:r w:rsidDel="00000000" w:rsidR="00000000" w:rsidRPr="00000000">
        <w:rPr>
          <w:rtl w:val="0"/>
        </w:rPr>
      </w:r>
    </w:p>
    <w:p w:rsidR="00000000" w:rsidDel="00000000" w:rsidP="00000000" w:rsidRDefault="00000000" w:rsidRPr="00000000" w14:paraId="0000054B">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En estricto cumplimiento de la regla metodológica de costeo establecida para el proyecto integrador (regla de las tres preguntas: quién produjo el dato, con qué método y sobre qué universo, y para qué período de referencia), la determinación del costo de hora de desarrollo informático examina de forma contrastada los dos universos empíricos y estadísticos de mayor relevancia en el Sector de Software y Servicios Informáticos (SSI) de la República Argentina:</w:t>
      </w:r>
      <w:r w:rsidDel="00000000" w:rsidR="00000000" w:rsidRPr="00000000">
        <w:rPr>
          <w:rtl w:val="0"/>
        </w:rPr>
      </w:r>
    </w:p>
    <w:p w:rsidR="00000000" w:rsidDel="00000000" w:rsidP="00000000" w:rsidRDefault="00000000" w:rsidRPr="00000000" w14:paraId="0000054C">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 </w:t>
      </w:r>
      <w:r w:rsidDel="00000000" w:rsidR="00000000" w:rsidRPr="00000000">
        <w:rPr>
          <w:rFonts w:ascii="Times New Roman" w:cs="Times New Roman" w:eastAsia="Times New Roman" w:hAnsi="Times New Roman"/>
          <w:b w:val="1"/>
          <w:bCs w:val="1"/>
          <w:i w:val="0"/>
          <w:iCs w:val="0"/>
          <w:color w:val="0f172a"/>
          <w:sz w:val="23"/>
          <w:szCs w:val="23"/>
          <w:rtl w:val="0"/>
        </w:rPr>
        <w:t xml:space="preserve">Encuesta Salarial de la Comunidad Sysarmy (Edición 2026.01)</w:t>
      </w:r>
      <w:r w:rsidDel="00000000" w:rsidR="00000000" w:rsidRPr="00000000">
        <w:rPr>
          <w:rFonts w:ascii="Times New Roman" w:cs="Times New Roman" w:eastAsia="Times New Roman" w:hAnsi="Times New Roman"/>
          <w:b w:val="0"/>
          <w:bCs w:val="0"/>
          <w:i w:val="0"/>
          <w:iCs w:val="0"/>
          <w:color w:val="0f172a"/>
          <w:sz w:val="23"/>
          <w:szCs w:val="23"/>
          <w:rtl w:val="0"/>
        </w:rPr>
        <w:t xml:space="preserve">:</w:t>
      </w:r>
      <w:r w:rsidDel="00000000" w:rsidR="00000000" w:rsidRPr="00000000">
        <w:rPr>
          <w:rtl w:val="0"/>
        </w:rPr>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Quién la produjo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La comunidad tecnológica abierta Sysarmy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open-data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autogestionado).</w:t>
      </w:r>
      <w:r w:rsidDel="00000000" w:rsidR="00000000" w:rsidRPr="00000000">
        <w:rPr>
          <w:rtl w:val="0"/>
        </w:rPr>
      </w:r>
    </w:p>
    <w:p w:rsidR="00000000" w:rsidDel="00000000" w:rsidP="00000000" w:rsidRDefault="00000000" w:rsidRPr="00000000" w14:paraId="000005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Método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Relevamiento voluntario estructurado, abierto y anónimo mediante formulario digital, sometido a procesamiento estadístico de limpieza de valores atípicos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outliers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y normalización salarial.</w:t>
      </w:r>
      <w:r w:rsidDel="00000000" w:rsidR="00000000" w:rsidRPr="00000000">
        <w:rPr>
          <w:rtl w:val="0"/>
        </w:rPr>
      </w:r>
    </w:p>
    <w:p w:rsidR="00000000" w:rsidDel="00000000" w:rsidP="00000000" w:rsidRDefault="00000000" w:rsidRPr="00000000" w14:paraId="00000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Universo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Más de 5.400 profesionales informáticos y trabajadores de la economía del conocimiento en toda la República Argentina, abarcando una diversidad de regímenes que incluye relación de dependencia formal, contratación independiente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freelance</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 monotributo) y servicios de exportación de código al exterior.</w:t>
      </w:r>
      <w:r w:rsidDel="00000000" w:rsidR="00000000" w:rsidRPr="00000000">
        <w:rPr>
          <w:rtl w:val="0"/>
        </w:rPr>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Período de referencia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Enero de 2026 (publicación oficial 2026.01).</w:t>
      </w:r>
      <w:r w:rsidDel="00000000" w:rsidR="00000000" w:rsidRPr="00000000">
        <w:rPr>
          <w:rtl w:val="0"/>
        </w:rPr>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Parámetros resultantes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La mediana salarial general bruta para la industria tecnológica en Argentina asciende a 3.253.581 mensuales. Para el perfil de Desarrollo de Software / Full-Stack Semi-Senior, la mediana salarial se ubica en2.290.000 mensuales brutos, determinando una tarifa de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14.312 por hora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sobre la base legal argentina de 160 horas laborales mensuales (2.290.000 / 160 h), la cual se establece como el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piso de mercado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del proyecto. Para los perfiles de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Arquitectura de Software y Especialistas en Datos / Inteligencia Artificial Senior</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la mediana se eleva a3.790.000 mensuales brutos, fijando una tarifa horaria de referencia de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23.687,50 por hora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(3.790.000 / 160 h).</w:t>
      </w:r>
      <w:r w:rsidDel="00000000" w:rsidR="00000000" w:rsidRPr="00000000">
        <w:rPr>
          <w:rtl w:val="0"/>
        </w:rPr>
      </w:r>
    </w:p>
    <w:p w:rsidR="00000000" w:rsidDel="00000000" w:rsidP="00000000" w:rsidRDefault="00000000" w:rsidRPr="00000000" w14:paraId="00000552">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2. </w:t>
      </w:r>
      <w:r w:rsidDel="00000000" w:rsidR="00000000" w:rsidRPr="00000000">
        <w:rPr>
          <w:rFonts w:ascii="Times New Roman" w:cs="Times New Roman" w:eastAsia="Times New Roman" w:hAnsi="Times New Roman"/>
          <w:b w:val="1"/>
          <w:bCs w:val="1"/>
          <w:i w:val="0"/>
          <w:iCs w:val="0"/>
          <w:color w:val="0f172a"/>
          <w:sz w:val="23"/>
          <w:szCs w:val="23"/>
          <w:rtl w:val="0"/>
        </w:rPr>
        <w:t xml:space="preserve">Reporte del Observatorio Permanente de la Industria del Software y Servicios Informáticos (OPSSI / CESSI)</w:t>
      </w:r>
      <w:r w:rsidDel="00000000" w:rsidR="00000000" w:rsidRPr="00000000">
        <w:rPr>
          <w:rFonts w:ascii="Times New Roman" w:cs="Times New Roman" w:eastAsia="Times New Roman" w:hAnsi="Times New Roman"/>
          <w:b w:val="0"/>
          <w:bCs w:val="0"/>
          <w:i w:val="0"/>
          <w:iCs w:val="0"/>
          <w:color w:val="0f172a"/>
          <w:sz w:val="23"/>
          <w:szCs w:val="23"/>
          <w:rtl w:val="0"/>
        </w:rPr>
        <w:t xml:space="preserve">:</w:t>
      </w:r>
      <w:r w:rsidDel="00000000" w:rsidR="00000000" w:rsidRPr="00000000">
        <w:rPr>
          <w:rtl w:val="0"/>
        </w:rPr>
      </w:r>
    </w:p>
    <w:p w:rsidR="00000000" w:rsidDel="00000000" w:rsidP="00000000" w:rsidRDefault="00000000" w:rsidRPr="00000000" w14:paraId="00000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Quién la produjo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El Observatorio Permanente de la Industria de Software y Servicios Informáticos (OPSSI), organismo técnico de la Cámara de la Empresa de Software y Servicios Informáticos de la República Argentina (CESSI).</w:t>
      </w:r>
      <w:r w:rsidDel="00000000" w:rsidR="00000000" w:rsidRPr="00000000">
        <w:rPr>
          <w:rtl w:val="0"/>
        </w:rPr>
      </w:r>
    </w:p>
    <w:p w:rsidR="00000000" w:rsidDel="00000000" w:rsidP="00000000" w:rsidRDefault="00000000" w:rsidRPr="00000000" w14:paraId="000005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Método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Relevamiento institucional, muestral y censal corporativo mediante matrices estandarizadas completadas por las direcciones de recursos humanos y finanzas de las empresas socias, auditando nóminas salariales brutas y costo total del empleo registrado.</w:t>
      </w:r>
      <w:r w:rsidDel="00000000" w:rsidR="00000000" w:rsidRPr="00000000">
        <w:rPr>
          <w:rtl w:val="0"/>
        </w:rPr>
      </w:r>
    </w:p>
    <w:p w:rsidR="00000000" w:rsidDel="00000000" w:rsidP="00000000" w:rsidRDefault="00000000" w:rsidRPr="00000000" w14:paraId="000005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Universo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Empresas formales de software debidamente inscriptas y radicadas en los principales polos y clústeres del país (Polo IT Buenos Aires, Córdoba Technology Cluster, Polo TIC Rosario, Silicon Misiones, entre otros), con marcada representatividad de organizaciones medianas y grandes con contratos corporativos B2B.</w:t>
      </w:r>
      <w:r w:rsidDel="00000000" w:rsidR="00000000" w:rsidRPr="00000000">
        <w:rPr>
          <w:rtl w:val="0"/>
        </w:rPr>
      </w:r>
    </w:p>
    <w:p w:rsidR="00000000" w:rsidDel="00000000" w:rsidP="00000000" w:rsidRDefault="00000000" w:rsidRPr="00000000" w14:paraId="00000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Período de referencia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Informe consolidado del sector 2025/2026.</w:t>
      </w:r>
      <w:r w:rsidDel="00000000" w:rsidR="00000000" w:rsidRPr="00000000">
        <w:rPr>
          <w:rtl w:val="0"/>
        </w:rPr>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Parámetros resultantes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Refleja el costo laboral formal de las empresas del sector, donde un perfil de desarrollo Semi-Senior percibe un salario básico de convenio y nómina formal que, sumado a las contribuciones de seguridad social obligatorias y aportes patronales (aproximadamente 24% a 27% sobre el bruto, más alícuotas de ART y previsión de SAC), consolida un costo de hora de nómina empresarial situado en la franja de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18.500 a 22.000 por hora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mientras que para perfiles Senior de arquitectura y soluciones especializadas asciende a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28.000 a 35.000 por hora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con tarifas de facturación corporativa en consultoría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billing rate</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superiores a los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38.000 por hora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58">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Tabla X.1</w:t>
      </w:r>
      <w:r w:rsidDel="00000000" w:rsidR="00000000" w:rsidRPr="00000000">
        <w:rPr>
          <w:rtl w:val="0"/>
        </w:rPr>
      </w:r>
    </w:p>
    <w:p w:rsidR="00000000" w:rsidDel="00000000" w:rsidP="00000000" w:rsidRDefault="00000000" w:rsidRPr="00000000" w14:paraId="00000559">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Análisis Comparativo de Fuentes Salariales del Sector de Software (SSI)</w:t>
      </w:r>
      <w:r w:rsidDel="00000000" w:rsidR="00000000" w:rsidRPr="00000000">
        <w:rPr>
          <w:rtl w:val="0"/>
        </w:rPr>
      </w:r>
    </w:p>
    <w:tbl>
      <w:tblPr>
        <w:tblStyle w:val="Table58"/>
        <w:tblW w:w="8505.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2835"/>
        <w:gridCol w:w="2835"/>
        <w:gridCol w:w="2835"/>
        <w:tblGridChange w:id="0">
          <w:tblGrid>
            <w:gridCol w:w="2835"/>
            <w:gridCol w:w="2835"/>
            <w:gridCol w:w="2835"/>
          </w:tblGrid>
        </w:tblGridChange>
      </w:tblGrid>
      <w:tr>
        <w:trPr>
          <w:cantSplit w:val="1"/>
          <w:tblHeader w:val="1"/>
        </w:trPr>
        <w:tc>
          <w:tcPr>
            <w:shd w:fill="f1f5f9" w:val="clear"/>
          </w:tcPr>
          <w:p w:rsidR="00000000" w:rsidDel="00000000" w:rsidP="00000000" w:rsidRDefault="00000000" w:rsidRPr="00000000" w14:paraId="0000055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Dimensión de Análisis</w:t>
            </w:r>
            <w:r w:rsidDel="00000000" w:rsidR="00000000" w:rsidRPr="00000000">
              <w:rPr>
                <w:rtl w:val="0"/>
              </w:rPr>
            </w:r>
          </w:p>
        </w:tc>
        <w:tc>
          <w:tcPr>
            <w:shd w:fill="f1f5f9" w:val="clear"/>
          </w:tcPr>
          <w:p w:rsidR="00000000" w:rsidDel="00000000" w:rsidP="00000000" w:rsidRDefault="00000000" w:rsidRPr="00000000" w14:paraId="0000055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Universo Comunitario: Sysarmy 2026.01</w:t>
            </w:r>
            <w:r w:rsidDel="00000000" w:rsidR="00000000" w:rsidRPr="00000000">
              <w:rPr>
                <w:rtl w:val="0"/>
              </w:rPr>
            </w:r>
          </w:p>
        </w:tc>
        <w:tc>
          <w:tcPr>
            <w:shd w:fill="f1f5f9" w:val="clear"/>
          </w:tcPr>
          <w:p w:rsidR="00000000" w:rsidDel="00000000" w:rsidP="00000000" w:rsidRDefault="00000000" w:rsidRPr="00000000" w14:paraId="0000055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Universo Corporativo: OPSSI / CESSI 2025/2026</w:t>
            </w:r>
            <w:r w:rsidDel="00000000" w:rsidR="00000000" w:rsidRPr="00000000">
              <w:rPr>
                <w:rtl w:val="0"/>
              </w:rPr>
            </w:r>
          </w:p>
        </w:tc>
      </w:tr>
      <w:tr>
        <w:trPr>
          <w:cantSplit w:val="1"/>
          <w:tblHeader w:val="0"/>
        </w:trPr>
        <w:tc>
          <w:tcPr/>
          <w:p w:rsidR="00000000" w:rsidDel="00000000" w:rsidP="00000000" w:rsidRDefault="00000000" w:rsidRPr="00000000" w14:paraId="0000055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Entidad emisora</w:t>
            </w:r>
            <w:r w:rsidDel="00000000" w:rsidR="00000000" w:rsidRPr="00000000">
              <w:rPr>
                <w:rtl w:val="0"/>
              </w:rPr>
            </w:r>
          </w:p>
        </w:tc>
        <w:tc>
          <w:tcPr/>
          <w:p w:rsidR="00000000" w:rsidDel="00000000" w:rsidP="00000000" w:rsidRDefault="00000000" w:rsidRPr="00000000" w14:paraId="0000055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Sysarmy Argentina (Comunidad TI abierta)</w:t>
            </w:r>
            <w:r w:rsidDel="00000000" w:rsidR="00000000" w:rsidRPr="00000000">
              <w:rPr>
                <w:rtl w:val="0"/>
              </w:rPr>
            </w:r>
          </w:p>
        </w:tc>
        <w:tc>
          <w:tcPr/>
          <w:p w:rsidR="00000000" w:rsidDel="00000000" w:rsidP="00000000" w:rsidRDefault="00000000" w:rsidRPr="00000000" w14:paraId="0000055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OPSSI / CESSI (Cámara Empresaria de Software)</w:t>
            </w:r>
            <w:r w:rsidDel="00000000" w:rsidR="00000000" w:rsidRPr="00000000">
              <w:rPr>
                <w:rtl w:val="0"/>
              </w:rPr>
            </w:r>
          </w:p>
        </w:tc>
      </w:tr>
      <w:tr>
        <w:trPr>
          <w:cantSplit w:val="1"/>
          <w:tblHeader w:val="0"/>
        </w:trPr>
        <w:tc>
          <w:tcPr/>
          <w:p w:rsidR="00000000" w:rsidDel="00000000" w:rsidP="00000000" w:rsidRDefault="00000000" w:rsidRPr="00000000" w14:paraId="0000056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Naturaleza del método</w:t>
            </w:r>
            <w:r w:rsidDel="00000000" w:rsidR="00000000" w:rsidRPr="00000000">
              <w:rPr>
                <w:rtl w:val="0"/>
              </w:rPr>
            </w:r>
          </w:p>
        </w:tc>
        <w:tc>
          <w:tcPr/>
          <w:p w:rsidR="00000000" w:rsidDel="00000000" w:rsidP="00000000" w:rsidRDefault="00000000" w:rsidRPr="00000000" w14:paraId="0000056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Encuesta directa, anónima, voluntaria y abierta</w:t>
            </w:r>
            <w:r w:rsidDel="00000000" w:rsidR="00000000" w:rsidRPr="00000000">
              <w:rPr>
                <w:rtl w:val="0"/>
              </w:rPr>
            </w:r>
          </w:p>
        </w:tc>
        <w:tc>
          <w:tcPr/>
          <w:p w:rsidR="00000000" w:rsidDel="00000000" w:rsidP="00000000" w:rsidRDefault="00000000" w:rsidRPr="00000000" w14:paraId="0000056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Relevamiento institucional de nóminas corporativas</w:t>
            </w:r>
            <w:r w:rsidDel="00000000" w:rsidR="00000000" w:rsidRPr="00000000">
              <w:rPr>
                <w:rtl w:val="0"/>
              </w:rPr>
            </w:r>
          </w:p>
        </w:tc>
      </w:tr>
      <w:tr>
        <w:trPr>
          <w:cantSplit w:val="1"/>
          <w:tblHeader w:val="0"/>
        </w:trPr>
        <w:tc>
          <w:tcPr/>
          <w:p w:rsidR="00000000" w:rsidDel="00000000" w:rsidP="00000000" w:rsidRDefault="00000000" w:rsidRPr="00000000" w14:paraId="0000056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Población y muestra</w:t>
            </w:r>
            <w:r w:rsidDel="00000000" w:rsidR="00000000" w:rsidRPr="00000000">
              <w:rPr>
                <w:rtl w:val="0"/>
              </w:rPr>
            </w:r>
          </w:p>
        </w:tc>
        <w:tc>
          <w:tcPr/>
          <w:p w:rsidR="00000000" w:rsidDel="00000000" w:rsidP="00000000" w:rsidRDefault="00000000" w:rsidRPr="00000000" w14:paraId="0000056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5.400+ profesionales individuales (federal)</w:t>
            </w:r>
            <w:r w:rsidDel="00000000" w:rsidR="00000000" w:rsidRPr="00000000">
              <w:rPr>
                <w:rtl w:val="0"/>
              </w:rPr>
            </w:r>
          </w:p>
        </w:tc>
        <w:tc>
          <w:tcPr/>
          <w:p w:rsidR="00000000" w:rsidDel="00000000" w:rsidP="00000000" w:rsidRDefault="00000000" w:rsidRPr="00000000" w14:paraId="0000056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Empresas formales asociadas a la cámara (nacional)</w:t>
            </w:r>
            <w:r w:rsidDel="00000000" w:rsidR="00000000" w:rsidRPr="00000000">
              <w:rPr>
                <w:rtl w:val="0"/>
              </w:rPr>
            </w:r>
          </w:p>
        </w:tc>
      </w:tr>
      <w:tr>
        <w:trPr>
          <w:cantSplit w:val="1"/>
          <w:tblHeader w:val="0"/>
        </w:trPr>
        <w:tc>
          <w:tcPr/>
          <w:p w:rsidR="00000000" w:rsidDel="00000000" w:rsidP="00000000" w:rsidRDefault="00000000" w:rsidRPr="00000000" w14:paraId="0000056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Régimen laboral cubierto</w:t>
            </w:r>
            <w:r w:rsidDel="00000000" w:rsidR="00000000" w:rsidRPr="00000000">
              <w:rPr>
                <w:rtl w:val="0"/>
              </w:rPr>
            </w:r>
          </w:p>
        </w:tc>
        <w:tc>
          <w:tcPr/>
          <w:p w:rsidR="00000000" w:rsidDel="00000000" w:rsidP="00000000" w:rsidRDefault="00000000" w:rsidRPr="00000000" w14:paraId="0000056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Relación de dependencia, contratistas y autónomos</w:t>
            </w:r>
            <w:r w:rsidDel="00000000" w:rsidR="00000000" w:rsidRPr="00000000">
              <w:rPr>
                <w:rtl w:val="0"/>
              </w:rPr>
            </w:r>
          </w:p>
        </w:tc>
        <w:tc>
          <w:tcPr/>
          <w:p w:rsidR="00000000" w:rsidDel="00000000" w:rsidP="00000000" w:rsidRDefault="00000000" w:rsidRPr="00000000" w14:paraId="0000056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Empleo formal registrado bajo legislación laboral</w:t>
            </w:r>
            <w:r w:rsidDel="00000000" w:rsidR="00000000" w:rsidRPr="00000000">
              <w:rPr>
                <w:rtl w:val="0"/>
              </w:rPr>
            </w:r>
          </w:p>
        </w:tc>
      </w:tr>
      <w:tr>
        <w:trPr>
          <w:cantSplit w:val="1"/>
          <w:tblHeader w:val="0"/>
        </w:trPr>
        <w:tc>
          <w:tcPr/>
          <w:p w:rsidR="00000000" w:rsidDel="00000000" w:rsidP="00000000" w:rsidRDefault="00000000" w:rsidRPr="00000000" w14:paraId="0000056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Componentes de costo</w:t>
            </w:r>
            <w:r w:rsidDel="00000000" w:rsidR="00000000" w:rsidRPr="00000000">
              <w:rPr>
                <w:rtl w:val="0"/>
              </w:rPr>
            </w:r>
          </w:p>
        </w:tc>
        <w:tc>
          <w:tcPr/>
          <w:p w:rsidR="00000000" w:rsidDel="00000000" w:rsidP="00000000" w:rsidRDefault="00000000" w:rsidRPr="00000000" w14:paraId="0000056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Remuneración bruta declarada por el individuo</w:t>
            </w:r>
            <w:r w:rsidDel="00000000" w:rsidR="00000000" w:rsidRPr="00000000">
              <w:rPr>
                <w:rtl w:val="0"/>
              </w:rPr>
            </w:r>
          </w:p>
        </w:tc>
        <w:tc>
          <w:tcPr/>
          <w:p w:rsidR="00000000" w:rsidDel="00000000" w:rsidP="00000000" w:rsidRDefault="00000000" w:rsidRPr="00000000" w14:paraId="0000056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8"/>
                <w:szCs w:val="18"/>
                <w:rtl w:val="0"/>
              </w:rPr>
              <w:t xml:space="preserve">Costo laboral de empresa (sueldo + cargas patronales)</w:t>
            </w:r>
            <w:r w:rsidDel="00000000" w:rsidR="00000000" w:rsidRPr="00000000">
              <w:rPr>
                <w:rtl w:val="0"/>
              </w:rPr>
            </w:r>
          </w:p>
        </w:tc>
      </w:tr>
      <w:tr>
        <w:trPr>
          <w:cantSplit w:val="1"/>
          <w:tblHeader w:val="0"/>
        </w:trPr>
        <w:tc>
          <w:tcPr/>
          <w:p w:rsidR="00000000" w:rsidDel="00000000" w:rsidP="00000000" w:rsidRDefault="00000000" w:rsidRPr="00000000" w14:paraId="0000056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Piso de desarrollo (Full-Stack SSR)</w:t>
            </w:r>
            <w:r w:rsidDel="00000000" w:rsidR="00000000" w:rsidRPr="00000000">
              <w:rPr>
                <w:rtl w:val="0"/>
              </w:rPr>
            </w:r>
          </w:p>
        </w:tc>
        <w:tc>
          <w:tcPr/>
          <w:p w:rsidR="00000000" w:rsidDel="00000000" w:rsidP="00000000" w:rsidRDefault="00000000" w:rsidRPr="00000000" w14:paraId="0000056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14.312 / hora</w:t>
            </w:r>
            <w:r w:rsidDel="00000000" w:rsidR="00000000" w:rsidRPr="00000000">
              <w:rPr>
                <w:rFonts w:ascii="Times New Roman" w:cs="Times New Roman" w:eastAsia="Times New Roman" w:hAnsi="Times New Roman"/>
                <w:b w:val="0"/>
                <w:bCs w:val="0"/>
                <w:i w:val="0"/>
                <w:iCs w:val="0"/>
                <w:color w:val="0f172a"/>
                <w:sz w:val="18"/>
                <w:szCs w:val="18"/>
                <w:rtl w:val="0"/>
              </w:rPr>
              <w:t xml:space="preserve"> (2.290.000 bruto / 160 h)</w:t>
            </w:r>
            <w:r w:rsidDel="00000000" w:rsidR="00000000" w:rsidRPr="00000000">
              <w:rPr>
                <w:rtl w:val="0"/>
              </w:rPr>
            </w:r>
          </w:p>
        </w:tc>
        <w:tc>
          <w:tcPr/>
          <w:p w:rsidR="00000000" w:rsidDel="00000000" w:rsidP="00000000" w:rsidRDefault="00000000" w:rsidRPr="00000000" w14:paraId="0000056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18.500 a22.000 / hora</w:t>
            </w:r>
            <w:r w:rsidDel="00000000" w:rsidR="00000000" w:rsidRPr="00000000">
              <w:rPr>
                <w:rFonts w:ascii="Times New Roman" w:cs="Times New Roman" w:eastAsia="Times New Roman" w:hAnsi="Times New Roman"/>
                <w:b w:val="0"/>
                <w:bCs w:val="0"/>
                <w:i w:val="0"/>
                <w:iCs w:val="0"/>
                <w:color w:val="0f172a"/>
                <w:sz w:val="18"/>
                <w:szCs w:val="18"/>
                <w:rtl w:val="0"/>
              </w:rPr>
              <w:t xml:space="preserve"> (costo laboral integral)</w:t>
            </w:r>
            <w:r w:rsidDel="00000000" w:rsidR="00000000" w:rsidRPr="00000000">
              <w:rPr>
                <w:rtl w:val="0"/>
              </w:rPr>
            </w:r>
          </w:p>
        </w:tc>
      </w:tr>
      <w:tr>
        <w:trPr>
          <w:cantSplit w:val="1"/>
          <w:tblHeader w:val="0"/>
        </w:trPr>
        <w:tc>
          <w:tcPr/>
          <w:p w:rsidR="00000000" w:rsidDel="00000000" w:rsidP="00000000" w:rsidRDefault="00000000" w:rsidRPr="00000000" w14:paraId="0000056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Tarifa de referencia (Arquitecto / IA SR)</w:t>
            </w:r>
            <w:r w:rsidDel="00000000" w:rsidR="00000000" w:rsidRPr="00000000">
              <w:rPr>
                <w:rtl w:val="0"/>
              </w:rPr>
            </w:r>
          </w:p>
        </w:tc>
        <w:tc>
          <w:tcPr/>
          <w:p w:rsidR="00000000" w:rsidDel="00000000" w:rsidP="00000000" w:rsidRDefault="00000000" w:rsidRPr="00000000" w14:paraId="0000057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23.688 / hora</w:t>
            </w:r>
            <w:r w:rsidDel="00000000" w:rsidR="00000000" w:rsidRPr="00000000">
              <w:rPr>
                <w:rFonts w:ascii="Times New Roman" w:cs="Times New Roman" w:eastAsia="Times New Roman" w:hAnsi="Times New Roman"/>
                <w:b w:val="0"/>
                <w:bCs w:val="0"/>
                <w:i w:val="0"/>
                <w:iCs w:val="0"/>
                <w:color w:val="0f172a"/>
                <w:sz w:val="18"/>
                <w:szCs w:val="18"/>
                <w:rtl w:val="0"/>
              </w:rPr>
              <w:t xml:space="preserve"> (3.790.000 bruto / 160 h)</w:t>
            </w:r>
            <w:r w:rsidDel="00000000" w:rsidR="00000000" w:rsidRPr="00000000">
              <w:rPr>
                <w:rtl w:val="0"/>
              </w:rPr>
            </w:r>
          </w:p>
        </w:tc>
        <w:tc>
          <w:tcPr/>
          <w:p w:rsidR="00000000" w:rsidDel="00000000" w:rsidP="00000000" w:rsidRDefault="00000000" w:rsidRPr="00000000" w14:paraId="0000057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28.000 a35.000 / hora</w:t>
            </w:r>
            <w:r w:rsidDel="00000000" w:rsidR="00000000" w:rsidRPr="00000000">
              <w:rPr>
                <w:rFonts w:ascii="Times New Roman" w:cs="Times New Roman" w:eastAsia="Times New Roman" w:hAnsi="Times New Roman"/>
                <w:b w:val="0"/>
                <w:bCs w:val="0"/>
                <w:i w:val="0"/>
                <w:iCs w:val="0"/>
                <w:color w:val="0f172a"/>
                <w:sz w:val="18"/>
                <w:szCs w:val="18"/>
                <w:rtl w:val="0"/>
              </w:rPr>
              <w:t xml:space="preserve"> (costo laboral Senior)</w:t>
            </w:r>
            <w:r w:rsidDel="00000000" w:rsidR="00000000" w:rsidRPr="00000000">
              <w:rPr>
                <w:rtl w:val="0"/>
              </w:rPr>
            </w:r>
          </w:p>
        </w:tc>
      </w:tr>
      <w:tr>
        <w:trPr>
          <w:cantSplit w:val="1"/>
          <w:tblHeader w:val="0"/>
        </w:trPr>
        <w:tc>
          <w:tcPr/>
          <w:p w:rsidR="00000000" w:rsidDel="00000000" w:rsidP="00000000" w:rsidRDefault="00000000" w:rsidRPr="00000000" w14:paraId="0000057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Aplicación metodológica</w:t>
            </w:r>
            <w:r w:rsidDel="00000000" w:rsidR="00000000" w:rsidRPr="00000000">
              <w:rPr>
                <w:rtl w:val="0"/>
              </w:rPr>
            </w:r>
          </w:p>
        </w:tc>
        <w:tc>
          <w:tcPr/>
          <w:p w:rsidR="00000000" w:rsidDel="00000000" w:rsidP="00000000" w:rsidRDefault="00000000" w:rsidRPr="00000000" w14:paraId="0000057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Costo directo de reposición del recurso técnico</w:t>
            </w:r>
            <w:r w:rsidDel="00000000" w:rsidR="00000000" w:rsidRPr="00000000">
              <w:rPr>
                <w:rtl w:val="0"/>
              </w:rPr>
            </w:r>
          </w:p>
        </w:tc>
        <w:tc>
          <w:tcPr/>
          <w:p w:rsidR="00000000" w:rsidDel="00000000" w:rsidP="00000000" w:rsidRDefault="00000000" w:rsidRPr="00000000" w14:paraId="0000057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8"/>
                <w:szCs w:val="18"/>
                <w:rtl w:val="0"/>
              </w:rPr>
              <w:t xml:space="preserve">Referencia de costo corporativo e institucional</w:t>
            </w:r>
            <w:r w:rsidDel="00000000" w:rsidR="00000000" w:rsidRPr="00000000">
              <w:rPr>
                <w:rtl w:val="0"/>
              </w:rPr>
            </w:r>
          </w:p>
        </w:tc>
      </w:tr>
    </w:tbl>
    <w:p w:rsidR="00000000" w:rsidDel="00000000" w:rsidP="00000000" w:rsidRDefault="00000000" w:rsidRPr="00000000" w14:paraId="00000575">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Nota. Elaboración propia en base a datos de Sysarmy (2026) y OPSSI/CESSI (2026). En cumplimiento estricto del estándar metodológico de costeo del proyecto, queda terminantemente prohibido promediar ambas fuentes por corresponder a poblaciones y criterios contables heterogéneos.</w:t>
      </w:r>
      <w:r w:rsidDel="00000000" w:rsidR="00000000" w:rsidRPr="00000000">
        <w:rPr>
          <w:rtl w:val="0"/>
        </w:rPr>
      </w:r>
    </w:p>
    <w:p w:rsidR="00000000" w:rsidDel="00000000" w:rsidP="00000000" w:rsidRDefault="00000000" w:rsidRPr="00000000" w14:paraId="00000576">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Criterio de Decisión y Determinación del Costo de Horas-Persona</w:t>
      </w:r>
      <w:r w:rsidDel="00000000" w:rsidR="00000000" w:rsidRPr="00000000">
        <w:rPr>
          <w:rtl w:val="0"/>
        </w:rPr>
      </w:r>
    </w:p>
    <w:p w:rsidR="00000000" w:rsidDel="00000000" w:rsidP="00000000" w:rsidRDefault="00000000" w:rsidRPr="00000000" w14:paraId="00000577">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En virtud de la prohibición de promediar universos muestrales dispares y atendiendo a la complejidad intrínseca del sistema, se adoptan las siguientes decisiones de ingeniería de costos:</w:t>
      </w:r>
      <w:r w:rsidDel="00000000" w:rsidR="00000000" w:rsidRPr="00000000">
        <w:rPr>
          <w:rtl w:val="0"/>
        </w:rPr>
      </w:r>
    </w:p>
    <w:p w:rsidR="00000000" w:rsidDel="00000000" w:rsidP="00000000" w:rsidRDefault="00000000" w:rsidRPr="00000000" w14:paraId="00000578">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 </w:t>
      </w:r>
      <w:r w:rsidDel="00000000" w:rsidR="00000000" w:rsidRPr="00000000">
        <w:rPr>
          <w:rFonts w:ascii="Times New Roman" w:cs="Times New Roman" w:eastAsia="Times New Roman" w:hAnsi="Times New Roman"/>
          <w:b w:val="1"/>
          <w:bCs w:val="1"/>
          <w:i w:val="0"/>
          <w:iCs w:val="0"/>
          <w:color w:val="0f172a"/>
          <w:sz w:val="23"/>
          <w:szCs w:val="23"/>
          <w:rtl w:val="0"/>
        </w:rPr>
        <w:t xml:space="preserve">Adopción de la Tarifa de Arquitecto y Especialista en Datos/IA Senior como Valor Rector</w:t>
      </w:r>
      <w:r w:rsidDel="00000000" w:rsidR="00000000" w:rsidRPr="00000000">
        <w:rPr>
          <w:rFonts w:ascii="Times New Roman" w:cs="Times New Roman" w:eastAsia="Times New Roman" w:hAnsi="Times New Roman"/>
          <w:b w:val="0"/>
          <w:bCs w:val="0"/>
          <w:i w:val="0"/>
          <w:iCs w:val="0"/>
          <w:color w:val="0f172a"/>
          <w:sz w:val="23"/>
          <w:szCs w:val="23"/>
          <w:rtl w:val="0"/>
        </w:rPr>
        <w:t xml:space="preserve">:</w:t>
      </w:r>
      <w:r w:rsidDel="00000000" w:rsidR="00000000" w:rsidRPr="00000000">
        <w:rPr>
          <w:rtl w:val="0"/>
        </w:rPr>
      </w:r>
    </w:p>
    <w:p w:rsidR="00000000" w:rsidDel="00000000" w:rsidP="00000000" w:rsidRDefault="00000000" w:rsidRPr="00000000" w14:paraId="00000579">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Se establece el valor horario de desarrollo Full-Stack Semi-Senior (14.312 / h) estrictamente como el </w:t>
      </w:r>
      <w:r w:rsidDel="00000000" w:rsidR="00000000" w:rsidRPr="00000000">
        <w:rPr>
          <w:rFonts w:ascii="Times New Roman" w:cs="Times New Roman" w:eastAsia="Times New Roman" w:hAnsi="Times New Roman"/>
          <w:b w:val="1"/>
          <w:bCs w:val="1"/>
          <w:i w:val="0"/>
          <w:iCs w:val="0"/>
          <w:color w:val="0f172a"/>
          <w:sz w:val="24"/>
          <w:szCs w:val="24"/>
          <w:rtl w:val="0"/>
        </w:rPr>
        <w:t xml:space="preserve">piso salarial de mercado</w:t>
      </w:r>
      <w:r w:rsidDel="00000000" w:rsidR="00000000" w:rsidRPr="00000000">
        <w:rPr>
          <w:rFonts w:ascii="Times New Roman" w:cs="Times New Roman" w:eastAsia="Times New Roman" w:hAnsi="Times New Roman"/>
          <w:b w:val="0"/>
          <w:bCs w:val="0"/>
          <w:i w:val="0"/>
          <w:iCs w:val="0"/>
          <w:color w:val="0f172a"/>
          <w:sz w:val="24"/>
          <w:szCs w:val="24"/>
          <w:rtl w:val="0"/>
        </w:rPr>
        <w:t xml:space="preserve">, pero se adopta de forma rectora la tarifa de </w:t>
      </w:r>
      <w:r w:rsidDel="00000000" w:rsidR="00000000" w:rsidRPr="00000000">
        <w:rPr>
          <w:rFonts w:ascii="Times New Roman" w:cs="Times New Roman" w:eastAsia="Times New Roman" w:hAnsi="Times New Roman"/>
          <w:b w:val="1"/>
          <w:bCs w:val="1"/>
          <w:i w:val="0"/>
          <w:iCs w:val="0"/>
          <w:color w:val="0f172a"/>
          <w:sz w:val="24"/>
          <w:szCs w:val="24"/>
          <w:rtl w:val="0"/>
        </w:rPr>
        <w:t xml:space="preserve">Arquitecto de Software y Especialista en Datos / Inteligencia Artificial Senior (23.687,50 / hora \approx 23.688 / hora)</w:t>
      </w:r>
      <w:r w:rsidDel="00000000" w:rsidR="00000000" w:rsidRPr="00000000">
        <w:rPr>
          <w:rFonts w:ascii="Times New Roman" w:cs="Times New Roman" w:eastAsia="Times New Roman" w:hAnsi="Times New Roman"/>
          <w:b w:val="0"/>
          <w:bCs w:val="0"/>
          <w:i w:val="0"/>
          <w:iCs w:val="0"/>
          <w:color w:val="0f172a"/>
          <w:sz w:val="24"/>
          <w:szCs w:val="24"/>
          <w:rtl w:val="0"/>
        </w:rPr>
        <w:t xml:space="preserve"> según la Encuesta Sysarmy 2026.01. Esta determinación se fundamenta en la naturaleza neuro-simbólica de CODI: el proyecto no constituye una aplicación transaccional estándar, sino un arnés cognitivo de alta criticidad que articula recuperación aumentada (RAG) sobre normativas aeroespaciales (ECSS/NASA), modelos determinísticos orbitales keplerianos en LEO, integridad de persistencia inmutable bajo hashes SHA-256 e instrumentación psicométrica adaptativa (NASA-TLX). Valorar el esfuerzo a nivel de un desarrollador generalista subestimaría la responsabilidad de ingeniería demandada para mitigar colapsos tempranos de misión (los cuales explican el 38,8% de las pérdidas en nanosatélites).</w:t>
      </w:r>
      <w:r w:rsidDel="00000000" w:rsidR="00000000" w:rsidRPr="00000000">
        <w:rPr>
          <w:rtl w:val="0"/>
        </w:rPr>
      </w:r>
    </w:p>
    <w:p w:rsidR="00000000" w:rsidDel="00000000" w:rsidP="00000000" w:rsidRDefault="00000000" w:rsidRPr="00000000" w14:paraId="0000057A">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2. </w:t>
      </w:r>
      <w:r w:rsidDel="00000000" w:rsidR="00000000" w:rsidRPr="00000000">
        <w:rPr>
          <w:rFonts w:ascii="Times New Roman" w:cs="Times New Roman" w:eastAsia="Times New Roman" w:hAnsi="Times New Roman"/>
          <w:b w:val="1"/>
          <w:bCs w:val="1"/>
          <w:i w:val="0"/>
          <w:iCs w:val="0"/>
          <w:color w:val="0f172a"/>
          <w:sz w:val="23"/>
          <w:szCs w:val="23"/>
          <w:rtl w:val="0"/>
        </w:rPr>
        <w:t xml:space="preserve">Benchmark Institucional frente al Costo Corporativo (OPSSI/CESSI)</w:t>
      </w:r>
      <w:r w:rsidDel="00000000" w:rsidR="00000000" w:rsidRPr="00000000">
        <w:rPr>
          <w:rFonts w:ascii="Times New Roman" w:cs="Times New Roman" w:eastAsia="Times New Roman" w:hAnsi="Times New Roman"/>
          <w:b w:val="0"/>
          <w:bCs w:val="0"/>
          <w:i w:val="0"/>
          <w:iCs w:val="0"/>
          <w:color w:val="0f172a"/>
          <w:sz w:val="23"/>
          <w:szCs w:val="23"/>
          <w:rtl w:val="0"/>
        </w:rPr>
        <w:t xml:space="preserve">:</w:t>
      </w:r>
      <w:r w:rsidDel="00000000" w:rsidR="00000000" w:rsidRPr="00000000">
        <w:rPr>
          <w:rtl w:val="0"/>
        </w:rPr>
      </w:r>
    </w:p>
    <w:p w:rsidR="00000000" w:rsidDel="00000000" w:rsidP="00000000" w:rsidRDefault="00000000" w:rsidRPr="00000000" w14:paraId="0000057B">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La tarifa corporativa Senior de OPSSI/CESSI (30.000 / h media con cargas sociales y estructura) se mantiene como patrón comparativo de mercado formal. Mientras el presupuesto directo asignado al autor por sus 190 horas-persona asciende a </w:t>
      </w:r>
      <w:r w:rsidDel="00000000" w:rsidR="00000000" w:rsidRPr="00000000">
        <w:rPr>
          <w:rFonts w:ascii="Times New Roman" w:cs="Times New Roman" w:eastAsia="Times New Roman" w:hAnsi="Times New Roman"/>
          <w:b w:val="1"/>
          <w:bCs w:val="1"/>
          <w:i w:val="0"/>
          <w:iCs w:val="0"/>
          <w:color w:val="0f172a"/>
          <w:sz w:val="24"/>
          <w:szCs w:val="24"/>
          <w:rtl w:val="0"/>
        </w:rPr>
        <w:t xml:space="preserve">4.500.625</w:t>
      </w:r>
      <w:r w:rsidDel="00000000" w:rsidR="00000000" w:rsidRPr="00000000">
        <w:rPr>
          <w:rFonts w:ascii="Times New Roman" w:cs="Times New Roman" w:eastAsia="Times New Roman" w:hAnsi="Times New Roman"/>
          <w:b w:val="0"/>
          <w:bCs w:val="0"/>
          <w:i w:val="0"/>
          <w:iCs w:val="0"/>
          <w:color w:val="0f172a"/>
          <w:sz w:val="24"/>
          <w:szCs w:val="24"/>
          <w:rtl w:val="0"/>
        </w:rPr>
        <w:t xml:space="preserve"> (23.687,50 × 190 h), el costo de contratar dicho desarrollo especializado a una consultora de software formalizada superaría los </w:t>
      </w:r>
      <w:r w:rsidDel="00000000" w:rsidR="00000000" w:rsidRPr="00000000">
        <w:rPr>
          <w:rFonts w:ascii="Times New Roman" w:cs="Times New Roman" w:eastAsia="Times New Roman" w:hAnsi="Times New Roman"/>
          <w:b w:val="1"/>
          <w:bCs w:val="1"/>
          <w:i w:val="0"/>
          <w:iCs w:val="0"/>
          <w:color w:val="0f172a"/>
          <w:sz w:val="24"/>
          <w:szCs w:val="24"/>
          <w:rtl w:val="0"/>
        </w:rPr>
        <w:t xml:space="preserve">5.700.000</w:t>
      </w:r>
      <w:r w:rsidDel="00000000" w:rsidR="00000000" w:rsidRPr="00000000">
        <w:rPr>
          <w:rFonts w:ascii="Times New Roman" w:cs="Times New Roman" w:eastAsia="Times New Roman" w:hAnsi="Times New Roman"/>
          <w:b w:val="0"/>
          <w:bCs w:val="0"/>
          <w:i w:val="0"/>
          <w:iCs w:val="0"/>
          <w:color w:val="0f172a"/>
          <w:sz w:val="24"/>
          <w:szCs w:val="24"/>
          <w:rtl w:val="0"/>
        </w:rPr>
        <w:t xml:space="preserve"> (30.000 × 190 h), reflejando la ventaja de capitalización técnica en la etapa de formulación e incubación.</w:t>
      </w:r>
      <w:r w:rsidDel="00000000" w:rsidR="00000000" w:rsidRPr="00000000">
        <w:rPr>
          <w:rtl w:val="0"/>
        </w:rPr>
      </w:r>
    </w:p>
    <w:p w:rsidR="00000000" w:rsidDel="00000000" w:rsidP="00000000" w:rsidRDefault="00000000" w:rsidRPr="00000000" w14:paraId="0000057C">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Tabla X.2</w:t>
      </w:r>
      <w:r w:rsidDel="00000000" w:rsidR="00000000" w:rsidRPr="00000000">
        <w:rPr>
          <w:rtl w:val="0"/>
        </w:rPr>
      </w:r>
    </w:p>
    <w:p w:rsidR="00000000" w:rsidDel="00000000" w:rsidP="00000000" w:rsidRDefault="00000000" w:rsidRPr="00000000" w14:paraId="0000057D">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Asignación de Recursos Humanos y Presupuesto de Horas del Proyecto CODI</w:t>
      </w:r>
      <w:r w:rsidDel="00000000" w:rsidR="00000000" w:rsidRPr="00000000">
        <w:rPr>
          <w:rtl w:val="0"/>
        </w:rPr>
      </w:r>
    </w:p>
    <w:tbl>
      <w:tblPr>
        <w:tblStyle w:val="Table59"/>
        <w:tblW w:w="8505.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1701"/>
        <w:gridCol w:w="1701"/>
        <w:gridCol w:w="1701"/>
        <w:gridCol w:w="1701"/>
        <w:gridCol w:w="1701"/>
        <w:tblGridChange w:id="0">
          <w:tblGrid>
            <w:gridCol w:w="1701"/>
            <w:gridCol w:w="1701"/>
            <w:gridCol w:w="1701"/>
            <w:gridCol w:w="1701"/>
            <w:gridCol w:w="1701"/>
          </w:tblGrid>
        </w:tblGridChange>
      </w:tblGrid>
      <w:tr>
        <w:trPr>
          <w:cantSplit w:val="1"/>
          <w:tblHeader w:val="1"/>
        </w:trPr>
        <w:tc>
          <w:tcPr>
            <w:shd w:fill="f1f5f9" w:val="clear"/>
          </w:tcPr>
          <w:p w:rsidR="00000000" w:rsidDel="00000000" w:rsidP="00000000" w:rsidRDefault="00000000" w:rsidRPr="00000000" w14:paraId="0000057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Perfil Funcional Asumido</w:t>
            </w:r>
            <w:r w:rsidDel="00000000" w:rsidR="00000000" w:rsidRPr="00000000">
              <w:rPr>
                <w:rtl w:val="0"/>
              </w:rPr>
            </w:r>
          </w:p>
        </w:tc>
        <w:tc>
          <w:tcPr>
            <w:shd w:fill="f1f5f9" w:val="clear"/>
          </w:tcPr>
          <w:p w:rsidR="00000000" w:rsidDel="00000000" w:rsidP="00000000" w:rsidRDefault="00000000" w:rsidRPr="00000000" w14:paraId="0000057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Dedicación (horas)</w:t>
            </w:r>
            <w:r w:rsidDel="00000000" w:rsidR="00000000" w:rsidRPr="00000000">
              <w:rPr>
                <w:rtl w:val="0"/>
              </w:rPr>
            </w:r>
          </w:p>
        </w:tc>
        <w:tc>
          <w:tcPr>
            <w:shd w:fill="f1f5f9" w:val="clear"/>
          </w:tcPr>
          <w:p w:rsidR="00000000" w:rsidDel="00000000" w:rsidP="00000000" w:rsidRDefault="00000000" w:rsidRPr="00000000" w14:paraId="0000058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Costo de hora de referencia</w:t>
            </w:r>
            <w:r w:rsidDel="00000000" w:rsidR="00000000" w:rsidRPr="00000000">
              <w:rPr>
                <w:rtl w:val="0"/>
              </w:rPr>
            </w:r>
          </w:p>
        </w:tc>
        <w:tc>
          <w:tcPr>
            <w:shd w:fill="f1f5f9" w:val="clear"/>
          </w:tcPr>
          <w:p w:rsidR="00000000" w:rsidDel="00000000" w:rsidP="00000000" w:rsidRDefault="00000000" w:rsidRPr="00000000" w14:paraId="0000058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Fuente y período</w:t>
            </w:r>
            <w:r w:rsidDel="00000000" w:rsidR="00000000" w:rsidRPr="00000000">
              <w:rPr>
                <w:rtl w:val="0"/>
              </w:rPr>
            </w:r>
          </w:p>
        </w:tc>
        <w:tc>
          <w:tcPr>
            <w:shd w:fill="f1f5f9" w:val="clear"/>
          </w:tcPr>
          <w:p w:rsidR="00000000" w:rsidDel="00000000" w:rsidP="00000000" w:rsidRDefault="00000000" w:rsidRPr="00000000" w14:paraId="0000058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Justificación de la asignación y Requisitos Vinculados</w:t>
            </w:r>
            <w:r w:rsidDel="00000000" w:rsidR="00000000" w:rsidRPr="00000000">
              <w:rPr>
                <w:rtl w:val="0"/>
              </w:rPr>
            </w:r>
          </w:p>
        </w:tc>
      </w:tr>
      <w:tr>
        <w:trPr>
          <w:cantSplit w:val="1"/>
          <w:tblHeader w:val="0"/>
        </w:trPr>
        <w:tc>
          <w:tcPr/>
          <w:p w:rsidR="00000000" w:rsidDel="00000000" w:rsidP="00000000" w:rsidRDefault="00000000" w:rsidRPr="00000000" w14:paraId="0000058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Arquitectura de Software y Modelado de Dominio Espacial</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1"/>
                <w:iCs w:val="1"/>
                <w:color w:val="0f172a"/>
                <w:sz w:val="17"/>
                <w:szCs w:val="17"/>
                <w:rtl w:val="0"/>
              </w:rPr>
              <w:t xml:space="preserve">(Santiago Agustin Nuñez)</w:t>
            </w:r>
            <w:r w:rsidDel="00000000" w:rsidR="00000000" w:rsidRPr="00000000">
              <w:rPr>
                <w:rtl w:val="0"/>
              </w:rPr>
            </w:r>
          </w:p>
        </w:tc>
        <w:tc>
          <w:tcPr/>
          <w:p w:rsidR="00000000" w:rsidDel="00000000" w:rsidP="00000000" w:rsidRDefault="00000000" w:rsidRPr="00000000" w14:paraId="0000058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68 h-p</w:t>
            </w:r>
            <w:r w:rsidDel="00000000" w:rsidR="00000000" w:rsidRPr="00000000">
              <w:rPr>
                <w:rtl w:val="0"/>
              </w:rPr>
            </w:r>
          </w:p>
        </w:tc>
        <w:tc>
          <w:tcPr/>
          <w:p w:rsidR="00000000" w:rsidDel="00000000" w:rsidP="00000000" w:rsidRDefault="00000000" w:rsidRPr="00000000" w14:paraId="0000058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23.688 / h</w:t>
            </w:r>
            <w:r w:rsidDel="00000000" w:rsidR="00000000" w:rsidRPr="00000000">
              <w:rPr>
                <w:rtl w:val="0"/>
              </w:rPr>
            </w:r>
          </w:p>
        </w:tc>
        <w:tc>
          <w:tcPr/>
          <w:p w:rsidR="00000000" w:rsidDel="00000000" w:rsidP="00000000" w:rsidRDefault="00000000" w:rsidRPr="00000000" w14:paraId="0000058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Sysarmy 2026.01</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(Enero 2026, SR)</w:t>
            </w:r>
            <w:r w:rsidDel="00000000" w:rsidR="00000000" w:rsidRPr="00000000">
              <w:rPr>
                <w:rtl w:val="0"/>
              </w:rPr>
            </w:r>
          </w:p>
        </w:tc>
        <w:tc>
          <w:tcPr/>
          <w:p w:rsidR="00000000" w:rsidDel="00000000" w:rsidP="00000000" w:rsidRDefault="00000000" w:rsidRPr="00000000" w14:paraId="0000058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Diseño de arquitectura modular desacoplada, modelo de datos relacional para misiones y subsistemas, y formulación kepleriana analítica de geometría orbital en LEO. Cobertura de WBS 2.1, 2.3, 3.2 y 3.3. Requisitos RF-00, RF-02, RF-04, RF-05; RNF-01, RNF-02. Costo:1.610.750.</w:t>
            </w:r>
            <w:r w:rsidDel="00000000" w:rsidR="00000000" w:rsidRPr="00000000">
              <w:rPr>
                <w:rtl w:val="0"/>
              </w:rPr>
            </w:r>
          </w:p>
        </w:tc>
      </w:tr>
      <w:tr>
        <w:trPr>
          <w:cantSplit w:val="1"/>
          <w:tblHeader w:val="0"/>
        </w:trPr>
        <w:tc>
          <w:tcPr/>
          <w:p w:rsidR="00000000" w:rsidDel="00000000" w:rsidP="00000000" w:rsidRDefault="00000000" w:rsidRPr="00000000" w14:paraId="0000058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Ingeniería de Datos y Lógica Determinística EPS</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1"/>
                <w:iCs w:val="1"/>
                <w:color w:val="0f172a"/>
                <w:sz w:val="17"/>
                <w:szCs w:val="17"/>
                <w:rtl w:val="0"/>
              </w:rPr>
              <w:t xml:space="preserve">(Santiago Agustin Nuñez)</w:t>
            </w:r>
            <w:r w:rsidDel="00000000" w:rsidR="00000000" w:rsidRPr="00000000">
              <w:rPr>
                <w:rtl w:val="0"/>
              </w:rPr>
            </w:r>
          </w:p>
        </w:tc>
        <w:tc>
          <w:tcPr/>
          <w:p w:rsidR="00000000" w:rsidDel="00000000" w:rsidP="00000000" w:rsidRDefault="00000000" w:rsidRPr="00000000" w14:paraId="0000058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46 h-p</w:t>
            </w:r>
            <w:r w:rsidDel="00000000" w:rsidR="00000000" w:rsidRPr="00000000">
              <w:rPr>
                <w:rtl w:val="0"/>
              </w:rPr>
            </w:r>
          </w:p>
        </w:tc>
        <w:tc>
          <w:tcPr/>
          <w:p w:rsidR="00000000" w:rsidDel="00000000" w:rsidP="00000000" w:rsidRDefault="00000000" w:rsidRPr="00000000" w14:paraId="0000058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23.688 / h</w:t>
            </w:r>
            <w:r w:rsidDel="00000000" w:rsidR="00000000" w:rsidRPr="00000000">
              <w:rPr>
                <w:rtl w:val="0"/>
              </w:rPr>
            </w:r>
          </w:p>
        </w:tc>
        <w:tc>
          <w:tcPr/>
          <w:p w:rsidR="00000000" w:rsidDel="00000000" w:rsidP="00000000" w:rsidRDefault="00000000" w:rsidRPr="00000000" w14:paraId="0000058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Sysarmy 2026.01</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(Enero 2026, SR)</w:t>
            </w:r>
            <w:r w:rsidDel="00000000" w:rsidR="00000000" w:rsidRPr="00000000">
              <w:rPr>
                <w:rtl w:val="0"/>
              </w:rPr>
            </w:r>
          </w:p>
        </w:tc>
        <w:tc>
          <w:tcPr/>
          <w:p w:rsidR="00000000" w:rsidDel="00000000" w:rsidP="00000000" w:rsidRDefault="00000000" w:rsidRPr="00000000" w14:paraId="0000058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Construcción del motor determinístico de restricciones de balance de potencia, parser de ICDs JSON/CSV y algoritmos de detección de incompatibilidades eléctricas de bus. Cobertura de WBS 2.4, 3.1 y 3.4. Requisitos RF-01, RF-03, RF-08; RN-01, RN-02, RN-05. Costo:1.089.625.</w:t>
            </w:r>
            <w:r w:rsidDel="00000000" w:rsidR="00000000" w:rsidRPr="00000000">
              <w:rPr>
                <w:rtl w:val="0"/>
              </w:rPr>
            </w:r>
          </w:p>
        </w:tc>
      </w:tr>
      <w:tr>
        <w:trPr>
          <w:cantSplit w:val="1"/>
          <w:tblHeader w:val="0"/>
        </w:trPr>
        <w:tc>
          <w:tcPr/>
          <w:p w:rsidR="00000000" w:rsidDel="00000000" w:rsidP="00000000" w:rsidRDefault="00000000" w:rsidRPr="00000000" w14:paraId="0000058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Especialista en IA y Arnés Cognitivo Adaptativo</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1"/>
                <w:iCs w:val="1"/>
                <w:color w:val="0f172a"/>
                <w:sz w:val="17"/>
                <w:szCs w:val="17"/>
                <w:rtl w:val="0"/>
              </w:rPr>
              <w:t xml:space="preserve">(Santiago Agustin Nuñez)</w:t>
            </w:r>
            <w:r w:rsidDel="00000000" w:rsidR="00000000" w:rsidRPr="00000000">
              <w:rPr>
                <w:rtl w:val="0"/>
              </w:rPr>
            </w:r>
          </w:p>
        </w:tc>
        <w:tc>
          <w:tcPr/>
          <w:p w:rsidR="00000000" w:rsidDel="00000000" w:rsidP="00000000" w:rsidRDefault="00000000" w:rsidRPr="00000000" w14:paraId="0000058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32 h-p</w:t>
            </w:r>
            <w:r w:rsidDel="00000000" w:rsidR="00000000" w:rsidRPr="00000000">
              <w:rPr>
                <w:rtl w:val="0"/>
              </w:rPr>
            </w:r>
          </w:p>
        </w:tc>
        <w:tc>
          <w:tcPr/>
          <w:p w:rsidR="00000000" w:rsidDel="00000000" w:rsidP="00000000" w:rsidRDefault="00000000" w:rsidRPr="00000000" w14:paraId="0000058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23.688 / h</w:t>
            </w:r>
            <w:r w:rsidDel="00000000" w:rsidR="00000000" w:rsidRPr="00000000">
              <w:rPr>
                <w:rtl w:val="0"/>
              </w:rPr>
            </w:r>
          </w:p>
        </w:tc>
        <w:tc>
          <w:tcPr/>
          <w:p w:rsidR="00000000" w:rsidDel="00000000" w:rsidP="00000000" w:rsidRDefault="00000000" w:rsidRPr="00000000" w14:paraId="0000059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Sysarmy 2026.01</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(Enero 2026, SR)</w:t>
            </w:r>
            <w:r w:rsidDel="00000000" w:rsidR="00000000" w:rsidRPr="00000000">
              <w:rPr>
                <w:rtl w:val="0"/>
              </w:rPr>
            </w:r>
          </w:p>
        </w:tc>
        <w:tc>
          <w:tcPr/>
          <w:p w:rsidR="00000000" w:rsidDel="00000000" w:rsidP="00000000" w:rsidRDefault="00000000" w:rsidRPr="00000000" w14:paraId="0000059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Implementación del pipeline RAG desacoplado para normativas ECSS/NASA, arquitectura de doble agente interactivo y adaptación de densidad visual según carga cognitiva. Cobertura de WBS 4.1 y 4.2. Requisitos RF-06, RF-12; RN-04, RN-07; RNF-04. Costo:758.000.</w:t>
            </w:r>
            <w:r w:rsidDel="00000000" w:rsidR="00000000" w:rsidRPr="00000000">
              <w:rPr>
                <w:rtl w:val="0"/>
              </w:rPr>
            </w:r>
          </w:p>
        </w:tc>
      </w:tr>
      <w:tr>
        <w:trPr>
          <w:cantSplit w:val="1"/>
          <w:tblHeader w:val="0"/>
        </w:trPr>
        <w:tc>
          <w:tcPr/>
          <w:p w:rsidR="00000000" w:rsidDel="00000000" w:rsidP="00000000" w:rsidRDefault="00000000" w:rsidRPr="00000000" w14:paraId="0000059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Aseguramiento de Calidad y Verificación Automatizada</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1"/>
                <w:iCs w:val="1"/>
                <w:color w:val="0f172a"/>
                <w:sz w:val="17"/>
                <w:szCs w:val="17"/>
                <w:rtl w:val="0"/>
              </w:rPr>
              <w:t xml:space="preserve">(Santiago Agustin Nuñez)</w:t>
            </w:r>
            <w:r w:rsidDel="00000000" w:rsidR="00000000" w:rsidRPr="00000000">
              <w:rPr>
                <w:rtl w:val="0"/>
              </w:rPr>
            </w:r>
          </w:p>
        </w:tc>
        <w:tc>
          <w:tcPr/>
          <w:p w:rsidR="00000000" w:rsidDel="00000000" w:rsidP="00000000" w:rsidRDefault="00000000" w:rsidRPr="00000000" w14:paraId="0000059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20 h-p</w:t>
            </w:r>
            <w:r w:rsidDel="00000000" w:rsidR="00000000" w:rsidRPr="00000000">
              <w:rPr>
                <w:rtl w:val="0"/>
              </w:rPr>
            </w:r>
          </w:p>
        </w:tc>
        <w:tc>
          <w:tcPr/>
          <w:p w:rsidR="00000000" w:rsidDel="00000000" w:rsidP="00000000" w:rsidRDefault="00000000" w:rsidRPr="00000000" w14:paraId="0000059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23.688 / h</w:t>
            </w:r>
            <w:r w:rsidDel="00000000" w:rsidR="00000000" w:rsidRPr="00000000">
              <w:rPr>
                <w:rtl w:val="0"/>
              </w:rPr>
            </w:r>
          </w:p>
        </w:tc>
        <w:tc>
          <w:tcPr/>
          <w:p w:rsidR="00000000" w:rsidDel="00000000" w:rsidP="00000000" w:rsidRDefault="00000000" w:rsidRPr="00000000" w14:paraId="0000059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Sysarmy 2026.01</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(Enero 2026, SR)</w:t>
            </w:r>
            <w:r w:rsidDel="00000000" w:rsidR="00000000" w:rsidRPr="00000000">
              <w:rPr>
                <w:rtl w:val="0"/>
              </w:rPr>
            </w:r>
          </w:p>
        </w:tc>
        <w:tc>
          <w:tcPr/>
          <w:p w:rsidR="00000000" w:rsidDel="00000000" w:rsidP="00000000" w:rsidRDefault="00000000" w:rsidRPr="00000000" w14:paraId="0000059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Configuración de contenedor Docker multicapa, canal de CI/CD en GitHub Actions, suite de pruebas unitarias determinísticas y validación en máquina limpia del prototipo v1. Cobertura de WBS 2.2, 2.5 y 3.5. Requisitos RNF-01, RNF-05. Costo:473.750.</w:t>
            </w:r>
            <w:r w:rsidDel="00000000" w:rsidR="00000000" w:rsidRPr="00000000">
              <w:rPr>
                <w:rtl w:val="0"/>
              </w:rPr>
            </w:r>
          </w:p>
        </w:tc>
      </w:tr>
      <w:tr>
        <w:trPr>
          <w:cantSplit w:val="1"/>
          <w:tblHeader w:val="0"/>
        </w:trPr>
        <w:tc>
          <w:tcPr/>
          <w:p w:rsidR="00000000" w:rsidDel="00000000" w:rsidP="00000000" w:rsidRDefault="00000000" w:rsidRPr="00000000" w14:paraId="0000059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Evaluación Psicométrica, Trazabilidad y Cierre</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1"/>
                <w:iCs w:val="1"/>
                <w:color w:val="0f172a"/>
                <w:sz w:val="17"/>
                <w:szCs w:val="17"/>
                <w:rtl w:val="0"/>
              </w:rPr>
              <w:t xml:space="preserve">(Santiago Agustin Nuñez)</w:t>
            </w:r>
            <w:r w:rsidDel="00000000" w:rsidR="00000000" w:rsidRPr="00000000">
              <w:rPr>
                <w:rtl w:val="0"/>
              </w:rPr>
            </w:r>
          </w:p>
        </w:tc>
        <w:tc>
          <w:tcPr/>
          <w:p w:rsidR="00000000" w:rsidDel="00000000" w:rsidP="00000000" w:rsidRDefault="00000000" w:rsidRPr="00000000" w14:paraId="0000059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18 h-p</w:t>
            </w:r>
            <w:r w:rsidDel="00000000" w:rsidR="00000000" w:rsidRPr="00000000">
              <w:rPr>
                <w:rtl w:val="0"/>
              </w:rPr>
            </w:r>
          </w:p>
        </w:tc>
        <w:tc>
          <w:tcPr/>
          <w:p w:rsidR="00000000" w:rsidDel="00000000" w:rsidP="00000000" w:rsidRDefault="00000000" w:rsidRPr="00000000" w14:paraId="0000059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23.688 / h</w:t>
            </w:r>
            <w:r w:rsidDel="00000000" w:rsidR="00000000" w:rsidRPr="00000000">
              <w:rPr>
                <w:rtl w:val="0"/>
              </w:rPr>
            </w:r>
          </w:p>
        </w:tc>
        <w:tc>
          <w:tcPr/>
          <w:p w:rsidR="00000000" w:rsidDel="00000000" w:rsidP="00000000" w:rsidRDefault="00000000" w:rsidRPr="00000000" w14:paraId="0000059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Sysarmy 2026.01</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(Enero 2026, SR)</w:t>
            </w:r>
            <w:r w:rsidDel="00000000" w:rsidR="00000000" w:rsidRPr="00000000">
              <w:rPr>
                <w:rtl w:val="0"/>
              </w:rPr>
            </w:r>
          </w:p>
        </w:tc>
        <w:tc>
          <w:tcPr/>
          <w:p w:rsidR="00000000" w:rsidDel="00000000" w:rsidP="00000000" w:rsidRDefault="00000000" w:rsidRPr="00000000" w14:paraId="0000059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Instrumentación psicométrica NASA-TLX de 6 subescalas, pista criptográfica inmutable DecisionLog con SHA-256, ensayos experimentales y congelamiento de versión. Cobertura de WBS 4.3, 4.4, 4.5 y 4.6. Requisitos RF-07, RF-09; RNF-03; RN-06. Costo:426.375.</w:t>
            </w:r>
            <w:r w:rsidDel="00000000" w:rsidR="00000000" w:rsidRPr="00000000">
              <w:rPr>
                <w:rtl w:val="0"/>
              </w:rPr>
            </w:r>
          </w:p>
        </w:tc>
      </w:tr>
      <w:tr>
        <w:trPr>
          <w:cantSplit w:val="1"/>
          <w:tblHeader w:val="0"/>
        </w:trPr>
        <w:tc>
          <w:tcPr/>
          <w:p w:rsidR="00000000" w:rsidDel="00000000" w:rsidP="00000000" w:rsidRDefault="00000000" w:rsidRPr="00000000" w14:paraId="0000059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Subtotal Demanda Técnica MVP</w:t>
            </w:r>
            <w:r w:rsidDel="00000000" w:rsidR="00000000" w:rsidRPr="00000000">
              <w:rPr>
                <w:rtl w:val="0"/>
              </w:rPr>
            </w:r>
          </w:p>
        </w:tc>
        <w:tc>
          <w:tcPr/>
          <w:p w:rsidR="00000000" w:rsidDel="00000000" w:rsidP="00000000" w:rsidRDefault="00000000" w:rsidRPr="00000000" w14:paraId="0000059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184 h-p</w:t>
            </w:r>
            <w:r w:rsidDel="00000000" w:rsidR="00000000" w:rsidRPr="00000000">
              <w:rPr>
                <w:rtl w:val="0"/>
              </w:rPr>
            </w:r>
          </w:p>
        </w:tc>
        <w:tc>
          <w:tcPr/>
          <w:p w:rsidR="00000000" w:rsidDel="00000000" w:rsidP="00000000" w:rsidRDefault="00000000" w:rsidRPr="00000000" w14:paraId="0000059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23.688 / h</w:t>
            </w:r>
            <w:r w:rsidDel="00000000" w:rsidR="00000000" w:rsidRPr="00000000">
              <w:rPr>
                <w:rtl w:val="0"/>
              </w:rPr>
            </w:r>
          </w:p>
        </w:tc>
        <w:tc>
          <w:tcPr/>
          <w:p w:rsidR="00000000" w:rsidDel="00000000" w:rsidP="00000000" w:rsidRDefault="00000000" w:rsidRPr="00000000" w14:paraId="0000059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Sysarmy 2026.01 (SR)</w:t>
            </w:r>
            <w:r w:rsidDel="00000000" w:rsidR="00000000" w:rsidRPr="00000000">
              <w:rPr>
                <w:rtl w:val="0"/>
              </w:rPr>
            </w:r>
          </w:p>
        </w:tc>
        <w:tc>
          <w:tcPr/>
          <w:p w:rsidR="00000000" w:rsidDel="00000000" w:rsidP="00000000" w:rsidRDefault="00000000" w:rsidRPr="00000000" w14:paraId="000005A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Costo directo de mano de obra técnica del MVP:4.358.500.</w:t>
            </w:r>
            <w:r w:rsidDel="00000000" w:rsidR="00000000" w:rsidRPr="00000000">
              <w:rPr>
                <w:rFonts w:ascii="Times New Roman" w:cs="Times New Roman" w:eastAsia="Times New Roman" w:hAnsi="Times New Roman"/>
                <w:b w:val="0"/>
                <w:bCs w:val="0"/>
                <w:i w:val="0"/>
                <w:iCs w:val="0"/>
                <w:color w:val="0f172a"/>
                <w:sz w:val="17"/>
                <w:szCs w:val="17"/>
                <w:rtl w:val="0"/>
              </w:rPr>
              <w:t xml:space="preserve"> </w:t>
            </w:r>
            <w:r w:rsidDel="00000000" w:rsidR="00000000" w:rsidRPr="00000000">
              <w:rPr>
                <w:rFonts w:ascii="Times New Roman" w:cs="Times New Roman" w:eastAsia="Times New Roman" w:hAnsi="Times New Roman"/>
                <w:b w:val="0"/>
                <w:bCs w:val="0"/>
                <w:i w:val="1"/>
                <w:iCs w:val="1"/>
                <w:color w:val="0f172a"/>
                <w:sz w:val="17"/>
                <w:szCs w:val="17"/>
                <w:rtl w:val="0"/>
              </w:rPr>
              <w:t xml:space="preserve">(Piso Full-Stack SSR: 2.633.408)</w:t>
            </w:r>
            <w:r w:rsidDel="00000000" w:rsidR="00000000" w:rsidRPr="00000000">
              <w:rPr>
                <w:rtl w:val="0"/>
              </w:rPr>
            </w:r>
          </w:p>
        </w:tc>
      </w:tr>
      <w:tr>
        <w:trPr>
          <w:cantSplit w:val="1"/>
          <w:tblHeader w:val="0"/>
        </w:trPr>
        <w:tc>
          <w:tcPr/>
          <w:p w:rsidR="00000000" w:rsidDel="00000000" w:rsidP="00000000" w:rsidRDefault="00000000" w:rsidRPr="00000000" w14:paraId="000005A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Holgura Operativa de Contingencia</w:t>
            </w:r>
            <w:r w:rsidDel="00000000" w:rsidR="00000000" w:rsidRPr="00000000">
              <w:rPr>
                <w:rtl w:val="0"/>
              </w:rPr>
            </w:r>
          </w:p>
        </w:tc>
        <w:tc>
          <w:tcPr/>
          <w:p w:rsidR="00000000" w:rsidDel="00000000" w:rsidP="00000000" w:rsidRDefault="00000000" w:rsidRPr="00000000" w14:paraId="000005A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6 h-p</w:t>
            </w:r>
            <w:r w:rsidDel="00000000" w:rsidR="00000000" w:rsidRPr="00000000">
              <w:rPr>
                <w:rtl w:val="0"/>
              </w:rPr>
            </w:r>
          </w:p>
        </w:tc>
        <w:tc>
          <w:tcPr/>
          <w:p w:rsidR="00000000" w:rsidDel="00000000" w:rsidP="00000000" w:rsidRDefault="00000000" w:rsidRPr="00000000" w14:paraId="000005A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23.688 / h</w:t>
            </w:r>
            <w:r w:rsidDel="00000000" w:rsidR="00000000" w:rsidRPr="00000000">
              <w:rPr>
                <w:rtl w:val="0"/>
              </w:rPr>
            </w:r>
          </w:p>
        </w:tc>
        <w:tc>
          <w:tcPr/>
          <w:p w:rsidR="00000000" w:rsidDel="00000000" w:rsidP="00000000" w:rsidRDefault="00000000" w:rsidRPr="00000000" w14:paraId="000005A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Sysarmy 2026.01 (SR)</w:t>
            </w:r>
            <w:r w:rsidDel="00000000" w:rsidR="00000000" w:rsidRPr="00000000">
              <w:rPr>
                <w:rtl w:val="0"/>
              </w:rPr>
            </w:r>
          </w:p>
        </w:tc>
        <w:tc>
          <w:tcPr/>
          <w:p w:rsidR="00000000" w:rsidDel="00000000" w:rsidP="00000000" w:rsidRDefault="00000000" w:rsidRPr="00000000" w14:paraId="000005A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Reserva técnica para desvíos imprevistos en validación de restricciones duras de EPS (3,16% de la capacidad horaria). Costo: 142.125.</w:t>
            </w:r>
            <w:r w:rsidDel="00000000" w:rsidR="00000000" w:rsidRPr="00000000">
              <w:rPr>
                <w:rtl w:val="0"/>
              </w:rPr>
            </w:r>
          </w:p>
        </w:tc>
      </w:tr>
      <w:tr>
        <w:trPr>
          <w:cantSplit w:val="1"/>
          <w:tblHeader w:val="0"/>
        </w:trPr>
        <w:tc>
          <w:tcPr/>
          <w:p w:rsidR="00000000" w:rsidDel="00000000" w:rsidP="00000000" w:rsidRDefault="00000000" w:rsidRPr="00000000" w14:paraId="000005A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Total Presupuesto de Recursos Humanos</w:t>
            </w:r>
            <w:r w:rsidDel="00000000" w:rsidR="00000000" w:rsidRPr="00000000">
              <w:rPr>
                <w:rtl w:val="0"/>
              </w:rPr>
            </w:r>
          </w:p>
        </w:tc>
        <w:tc>
          <w:tcPr/>
          <w:p w:rsidR="00000000" w:rsidDel="00000000" w:rsidP="00000000" w:rsidRDefault="00000000" w:rsidRPr="00000000" w14:paraId="000005A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190 h-p</w:t>
            </w:r>
            <w:r w:rsidDel="00000000" w:rsidR="00000000" w:rsidRPr="00000000">
              <w:rPr>
                <w:rtl w:val="0"/>
              </w:rPr>
            </w:r>
          </w:p>
        </w:tc>
        <w:tc>
          <w:tcPr/>
          <w:p w:rsidR="00000000" w:rsidDel="00000000" w:rsidP="00000000" w:rsidRDefault="00000000" w:rsidRPr="00000000" w14:paraId="000005A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23.688 / h</w:t>
            </w:r>
            <w:r w:rsidDel="00000000" w:rsidR="00000000" w:rsidRPr="00000000">
              <w:rPr>
                <w:rtl w:val="0"/>
              </w:rPr>
            </w:r>
          </w:p>
        </w:tc>
        <w:tc>
          <w:tcPr/>
          <w:p w:rsidR="00000000" w:rsidDel="00000000" w:rsidP="00000000" w:rsidRDefault="00000000" w:rsidRPr="00000000" w14:paraId="000005A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Sysarmy 2026.01 (SR)</w:t>
            </w:r>
            <w:r w:rsidDel="00000000" w:rsidR="00000000" w:rsidRPr="00000000">
              <w:rPr>
                <w:rtl w:val="0"/>
              </w:rPr>
            </w:r>
          </w:p>
        </w:tc>
        <w:tc>
          <w:tcPr/>
          <w:p w:rsidR="00000000" w:rsidDel="00000000" w:rsidP="00000000" w:rsidRDefault="00000000" w:rsidRPr="00000000" w14:paraId="000005A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Presupuesto total efectivo de desarrollo: 4.500.625.</w:t>
            </w:r>
            <w:r w:rsidDel="00000000" w:rsidR="00000000" w:rsidRPr="00000000">
              <w:rPr>
                <w:rFonts w:ascii="Times New Roman" w:cs="Times New Roman" w:eastAsia="Times New Roman" w:hAnsi="Times New Roman"/>
                <w:b w:val="0"/>
                <w:bCs w:val="0"/>
                <w:i w:val="0"/>
                <w:iCs w:val="0"/>
                <w:color w:val="0f172a"/>
                <w:sz w:val="17"/>
                <w:szCs w:val="17"/>
                <w:rtl w:val="0"/>
              </w:rPr>
              <w:t xml:space="preserve"> </w:t>
            </w:r>
            <w:r w:rsidDel="00000000" w:rsidR="00000000" w:rsidRPr="00000000">
              <w:rPr>
                <w:rFonts w:ascii="Times New Roman" w:cs="Times New Roman" w:eastAsia="Times New Roman" w:hAnsi="Times New Roman"/>
                <w:b w:val="0"/>
                <w:bCs w:val="0"/>
                <w:i w:val="1"/>
                <w:iCs w:val="1"/>
                <w:color w:val="0f172a"/>
                <w:sz w:val="17"/>
                <w:szCs w:val="17"/>
                <w:rtl w:val="0"/>
              </w:rPr>
              <w:t xml:space="preserve">(Piso Full-Stack SSR:2.719.280)</w:t>
            </w:r>
            <w:r w:rsidDel="00000000" w:rsidR="00000000" w:rsidRPr="00000000">
              <w:rPr>
                <w:rtl w:val="0"/>
              </w:rPr>
            </w:r>
          </w:p>
        </w:tc>
      </w:tr>
    </w:tbl>
    <w:p w:rsidR="00000000" w:rsidDel="00000000" w:rsidP="00000000" w:rsidRDefault="00000000" w:rsidRPr="00000000" w14:paraId="000005AB">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Nota. Las 190 horas-persona comprometidas coinciden exactamente con el presupuesto efectivo declarado en el Capítulo V (Sec. V.4, Tabla V.4), absorbiendo de forma íntegra las 184 horas-persona de la Estructura de Desglose del Trabajo (WBS) y reservando 6 horas para la cláusula de contingencia.</w:t>
      </w:r>
      <w:r w:rsidDel="00000000" w:rsidR="00000000" w:rsidRPr="00000000">
        <w:rPr>
          <w:rtl w:val="0"/>
        </w:rPr>
      </w:r>
    </w:p>
    <w:p w:rsidR="00000000" w:rsidDel="00000000" w:rsidP="00000000" w:rsidRDefault="00000000" w:rsidRPr="00000000" w14:paraId="000005AC">
      <w:pPr>
        <w:pStyle w:val="Heading2"/>
        <w:keepNext w:val="1"/>
        <w:rPr/>
      </w:pPr>
      <w:r w:rsidDel="00000000" w:rsidR="00000000" w:rsidRPr="00000000">
        <w:rPr>
          <w:rFonts w:ascii="Times New Roman" w:cs="Times New Roman" w:eastAsia="Times New Roman" w:hAnsi="Times New Roman"/>
          <w:b w:val="1"/>
          <w:bCs w:val="1"/>
          <w:i w:val="0"/>
          <w:iCs w:val="0"/>
          <w:color w:val="0f172a"/>
          <w:sz w:val="28"/>
          <w:szCs w:val="28"/>
          <w:rtl w:val="0"/>
        </w:rPr>
        <w:t xml:space="preserve">X.2 · Recursos Físicos y Materiales</w:t>
      </w:r>
      <w:r w:rsidDel="00000000" w:rsidR="00000000" w:rsidRPr="00000000">
        <w:rPr>
          <w:rtl w:val="0"/>
        </w:rPr>
      </w:r>
    </w:p>
    <w:p w:rsidR="00000000" w:rsidDel="00000000" w:rsidP="00000000" w:rsidRDefault="00000000" w:rsidRPr="00000000" w14:paraId="000005AD">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La asignación de equipamiento computacional, periféricos de precisión y espacio físico del proyecto CODI se deriva de las necesidades concretas de desarrollo, integración y verificación del software: la virtualización de la pila de servicios en contenedores Docker (FastAPI, React, base relacional) y el consumo de la capa cognitiva en la nube bajo arquitectura híbrida. Esta infraestructura material se sustenta en la auditoría física del sistema anfitrión del autor (computadora portátil HP Pavilion Gaming con almacenamiento de estado sólido de alta velocidad) y en la acreditación documental de los servicios de conectividad y suministro eléctrico mediante comprobantes y facturas reales del período de desarrollo (Semanas 5 a 14). Se evalúa y descarta el arrendamiento de una oficina comercial o espacios de coworking en la ciudad de Posadas por generar sobrecostos innecesarios para un proyecto unipersonal, resolviendo el espacio de trabajo en un ámbito propio preexistente con costo de locación cero (0) y computando contablemente el valor de reposición de los activos duraderos mediante su cuota de amortización proporcional al ciclo de vida del proyecto.</w:t>
      </w:r>
      <w:r w:rsidDel="00000000" w:rsidR="00000000" w:rsidRPr="00000000">
        <w:rPr>
          <w:rtl w:val="0"/>
        </w:rPr>
      </w:r>
    </w:p>
    <w:p w:rsidR="00000000" w:rsidDel="00000000" w:rsidP="00000000" w:rsidRDefault="00000000" w:rsidRPr="00000000" w14:paraId="000005AE">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Inventario de Equipamiento y Cuotas de Amortización Contable</w:t>
      </w:r>
      <w:r w:rsidDel="00000000" w:rsidR="00000000" w:rsidRPr="00000000">
        <w:rPr>
          <w:rtl w:val="0"/>
        </w:rPr>
      </w:r>
    </w:p>
    <w:p w:rsidR="00000000" w:rsidDel="00000000" w:rsidP="00000000" w:rsidRDefault="00000000" w:rsidRPr="00000000" w14:paraId="000005AF">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De conformidad con los principios contables para la formulación de proyectos de ingeniería, los bienes de capital duraderos con una vida útil superior a tres años no se imputan en su valor de adquisición total como gasto directo del período, sino mediante la </w:t>
      </w:r>
      <w:r w:rsidDel="00000000" w:rsidR="00000000" w:rsidRPr="00000000">
        <w:rPr>
          <w:rFonts w:ascii="Times New Roman" w:cs="Times New Roman" w:eastAsia="Times New Roman" w:hAnsi="Times New Roman"/>
          <w:b w:val="1"/>
          <w:bCs w:val="1"/>
          <w:i w:val="0"/>
          <w:iCs w:val="0"/>
          <w:color w:val="0f172a"/>
          <w:sz w:val="24"/>
          <w:szCs w:val="24"/>
          <w:rtl w:val="0"/>
        </w:rPr>
        <w:t xml:space="preserve">cuota de amortización lineal proporcional al tiempo de uso efectivo en el proyecto</w:t>
      </w:r>
      <w:r w:rsidDel="00000000" w:rsidR="00000000" w:rsidRPr="00000000">
        <w:rPr>
          <w:rFonts w:ascii="Times New Roman" w:cs="Times New Roman" w:eastAsia="Times New Roman" w:hAnsi="Times New Roman"/>
          <w:b w:val="0"/>
          <w:bCs w:val="0"/>
          <w:i w:val="0"/>
          <w:iCs w:val="0"/>
          <w:color w:val="0f172a"/>
          <w:sz w:val="24"/>
          <w:szCs w:val="24"/>
          <w:rtl w:val="0"/>
        </w:rPr>
        <w:t xml:space="preserve"> (diez semanas, equivalentes a 2,5 meses sobre una vida útil estándar de 36 meses para hardware informático y 12 meses para periféricos):Cuota de Amortización = ( (Valor de Activo / Vida Útil en Meses) ) × 2,5 meses### Tabla X.3</w:t>
      </w:r>
      <w:r w:rsidDel="00000000" w:rsidR="00000000" w:rsidRPr="00000000">
        <w:rPr>
          <w:rtl w:val="0"/>
        </w:rPr>
      </w:r>
    </w:p>
    <w:p w:rsidR="00000000" w:rsidDel="00000000" w:rsidP="00000000" w:rsidRDefault="00000000" w:rsidRPr="00000000" w14:paraId="000005B0">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Inventario de Equipamiento Físico y Amortización Asignada al Proyecto</w:t>
      </w:r>
      <w:r w:rsidDel="00000000" w:rsidR="00000000" w:rsidRPr="00000000">
        <w:rPr>
          <w:rtl w:val="0"/>
        </w:rPr>
      </w:r>
    </w:p>
    <w:tbl>
      <w:tblPr>
        <w:tblStyle w:val="Table60"/>
        <w:tblW w:w="8502.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1417"/>
        <w:gridCol w:w="1417"/>
        <w:gridCol w:w="1417"/>
        <w:gridCol w:w="1417"/>
        <w:gridCol w:w="1417"/>
        <w:gridCol w:w="1417"/>
        <w:tblGridChange w:id="0">
          <w:tblGrid>
            <w:gridCol w:w="1417"/>
            <w:gridCol w:w="1417"/>
            <w:gridCol w:w="1417"/>
            <w:gridCol w:w="1417"/>
            <w:gridCol w:w="1417"/>
            <w:gridCol w:w="1417"/>
          </w:tblGrid>
        </w:tblGridChange>
      </w:tblGrid>
      <w:tr>
        <w:trPr>
          <w:cantSplit w:val="1"/>
          <w:tblHeader w:val="1"/>
        </w:trPr>
        <w:tc>
          <w:tcPr>
            <w:shd w:fill="f1f5f9" w:val="clear"/>
          </w:tcPr>
          <w:p w:rsidR="00000000" w:rsidDel="00000000" w:rsidP="00000000" w:rsidRDefault="00000000" w:rsidRPr="00000000" w14:paraId="000005B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Dispositivo / Componente</w:t>
            </w:r>
            <w:r w:rsidDel="00000000" w:rsidR="00000000" w:rsidRPr="00000000">
              <w:rPr>
                <w:rtl w:val="0"/>
              </w:rPr>
            </w:r>
          </w:p>
        </w:tc>
        <w:tc>
          <w:tcPr>
            <w:shd w:fill="f1f5f9" w:val="clear"/>
          </w:tcPr>
          <w:p w:rsidR="00000000" w:rsidDel="00000000" w:rsidP="00000000" w:rsidRDefault="00000000" w:rsidRPr="00000000" w14:paraId="000005B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Especificaciones Técnicas Auditadas</w:t>
            </w:r>
            <w:r w:rsidDel="00000000" w:rsidR="00000000" w:rsidRPr="00000000">
              <w:rPr>
                <w:rtl w:val="0"/>
              </w:rPr>
            </w:r>
          </w:p>
        </w:tc>
        <w:tc>
          <w:tcPr>
            <w:shd w:fill="f1f5f9" w:val="clear"/>
          </w:tcPr>
          <w:p w:rsidR="00000000" w:rsidDel="00000000" w:rsidP="00000000" w:rsidRDefault="00000000" w:rsidRPr="00000000" w14:paraId="000005B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Rol en el Proyecto</w:t>
            </w:r>
            <w:r w:rsidDel="00000000" w:rsidR="00000000" w:rsidRPr="00000000">
              <w:rPr>
                <w:rtl w:val="0"/>
              </w:rPr>
            </w:r>
          </w:p>
        </w:tc>
        <w:tc>
          <w:tcPr>
            <w:shd w:fill="f1f5f9" w:val="clear"/>
          </w:tcPr>
          <w:p w:rsidR="00000000" w:rsidDel="00000000" w:rsidP="00000000" w:rsidRDefault="00000000" w:rsidRPr="00000000" w14:paraId="000005B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Valor de Activo (Mercado 2026)</w:t>
            </w:r>
            <w:r w:rsidDel="00000000" w:rsidR="00000000" w:rsidRPr="00000000">
              <w:rPr>
                <w:rtl w:val="0"/>
              </w:rPr>
            </w:r>
          </w:p>
        </w:tc>
        <w:tc>
          <w:tcPr>
            <w:shd w:fill="f1f5f9" w:val="clear"/>
          </w:tcPr>
          <w:p w:rsidR="00000000" w:rsidDel="00000000" w:rsidP="00000000" w:rsidRDefault="00000000" w:rsidRPr="00000000" w14:paraId="000005B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Vida Útil Estimada</w:t>
            </w:r>
            <w:r w:rsidDel="00000000" w:rsidR="00000000" w:rsidRPr="00000000">
              <w:rPr>
                <w:rtl w:val="0"/>
              </w:rPr>
            </w:r>
          </w:p>
        </w:tc>
        <w:tc>
          <w:tcPr>
            <w:shd w:fill="f1f5f9" w:val="clear"/>
          </w:tcPr>
          <w:p w:rsidR="00000000" w:rsidDel="00000000" w:rsidP="00000000" w:rsidRDefault="00000000" w:rsidRPr="00000000" w14:paraId="000005B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Cuota de Amortización Imputada (10 sem)</w:t>
            </w:r>
            <w:r w:rsidDel="00000000" w:rsidR="00000000" w:rsidRPr="00000000">
              <w:rPr>
                <w:rtl w:val="0"/>
              </w:rPr>
            </w:r>
          </w:p>
        </w:tc>
      </w:tr>
      <w:tr>
        <w:trPr>
          <w:cantSplit w:val="1"/>
          <w:tblHeader w:val="0"/>
        </w:trPr>
        <w:tc>
          <w:tcPr/>
          <w:p w:rsidR="00000000" w:rsidDel="00000000" w:rsidP="00000000" w:rsidRDefault="00000000" w:rsidRPr="00000000" w14:paraId="000005B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Estación de Trabajo Portátil:</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HP Pavilion Gaming Laptop 15-ec1xxx</w:t>
            </w:r>
            <w:r w:rsidDel="00000000" w:rsidR="00000000" w:rsidRPr="00000000">
              <w:rPr>
                <w:rtl w:val="0"/>
              </w:rPr>
            </w:r>
          </w:p>
        </w:tc>
        <w:tc>
          <w:tcPr/>
          <w:p w:rsidR="00000000" w:rsidDel="00000000" w:rsidP="00000000" w:rsidRDefault="00000000" w:rsidRPr="00000000" w14:paraId="000005B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 CPU: AMD Ryzen 5 4600H (6C/12T, 3.0-4.0 GHz)</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 RAM: 16 GB DDR4 (16.497.086.464 B)</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 GPU: NVIDIA GeForce GTX 1050 (3 GB VRAM)</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 SSD 1: WDC SN530 256 GB M.2 NVMe PCIe</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 SSD 2: Kingston A400 480 GB SATA SSD</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 Pantalla: 15.6" FHD IPS Antirreflejo</w:t>
            </w:r>
            <w:r w:rsidDel="00000000" w:rsidR="00000000" w:rsidRPr="00000000">
              <w:rPr>
                <w:rtl w:val="0"/>
              </w:rPr>
            </w:r>
          </w:p>
        </w:tc>
        <w:tc>
          <w:tcPr/>
          <w:p w:rsidR="00000000" w:rsidDel="00000000" w:rsidP="00000000" w:rsidRDefault="00000000" w:rsidRPr="00000000" w14:paraId="000005B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Nodo central de desarrollo, entorno de virtualización Docker, ejecución de pruebas unitarias locales y gestión del arnés de ingeniería.</w:t>
            </w:r>
            <w:r w:rsidDel="00000000" w:rsidR="00000000" w:rsidRPr="00000000">
              <w:rPr>
                <w:rtl w:val="0"/>
              </w:rPr>
            </w:r>
          </w:p>
        </w:tc>
        <w:tc>
          <w:tcPr/>
          <w:p w:rsidR="00000000" w:rsidDel="00000000" w:rsidP="00000000" w:rsidRDefault="00000000" w:rsidRPr="00000000" w14:paraId="000005B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980.000</w:t>
            </w:r>
            <w:r w:rsidDel="00000000" w:rsidR="00000000" w:rsidRPr="00000000">
              <w:rPr>
                <w:rtl w:val="0"/>
              </w:rPr>
            </w:r>
          </w:p>
        </w:tc>
        <w:tc>
          <w:tcPr/>
          <w:p w:rsidR="00000000" w:rsidDel="00000000" w:rsidP="00000000" w:rsidRDefault="00000000" w:rsidRPr="00000000" w14:paraId="000005B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36 meses</w:t>
            </w:r>
            <w:r w:rsidDel="00000000" w:rsidR="00000000" w:rsidRPr="00000000">
              <w:rPr>
                <w:rtl w:val="0"/>
              </w:rPr>
            </w:r>
          </w:p>
        </w:tc>
        <w:tc>
          <w:tcPr/>
          <w:p w:rsidR="00000000" w:rsidDel="00000000" w:rsidP="00000000" w:rsidRDefault="00000000" w:rsidRPr="00000000" w14:paraId="000005B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68.055</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1"/>
                <w:iCs w:val="1"/>
                <w:color w:val="0f172a"/>
                <w:sz w:val="17"/>
                <w:szCs w:val="17"/>
                <w:rtl w:val="0"/>
              </w:rPr>
              <w:t xml:space="preserve">(Aprox.68.000)</w:t>
            </w:r>
            <w:r w:rsidDel="00000000" w:rsidR="00000000" w:rsidRPr="00000000">
              <w:rPr>
                <w:rtl w:val="0"/>
              </w:rPr>
            </w:r>
          </w:p>
        </w:tc>
      </w:tr>
      <w:tr>
        <w:trPr>
          <w:cantSplit w:val="1"/>
          <w:tblHeader w:val="0"/>
        </w:trPr>
        <w:tc>
          <w:tcPr/>
          <w:p w:rsidR="00000000" w:rsidDel="00000000" w:rsidP="00000000" w:rsidRDefault="00000000" w:rsidRPr="00000000" w14:paraId="000005B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Periférico de Entrada:</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Mouse Óptico Ergonómico</w:t>
            </w:r>
            <w:r w:rsidDel="00000000" w:rsidR="00000000" w:rsidRPr="00000000">
              <w:rPr>
                <w:rtl w:val="0"/>
              </w:rPr>
            </w:r>
          </w:p>
        </w:tc>
        <w:tc>
          <w:tcPr/>
          <w:p w:rsidR="00000000" w:rsidDel="00000000" w:rsidP="00000000" w:rsidRDefault="00000000" w:rsidRPr="00000000" w14:paraId="000005B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 Sensor óptico de alta resolución (1600 DPI)</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 Conexión USB y diseño ergonómico de precisión</w:t>
            </w:r>
            <w:r w:rsidDel="00000000" w:rsidR="00000000" w:rsidRPr="00000000">
              <w:rPr>
                <w:rtl w:val="0"/>
              </w:rPr>
            </w:r>
          </w:p>
        </w:tc>
        <w:tc>
          <w:tcPr/>
          <w:p w:rsidR="00000000" w:rsidDel="00000000" w:rsidP="00000000" w:rsidRDefault="00000000" w:rsidRPr="00000000" w14:paraId="000005B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Navegación precisa sobre tablas de telemetría, matrices ICD y grafos de decisión del sistema.</w:t>
            </w:r>
            <w:r w:rsidDel="00000000" w:rsidR="00000000" w:rsidRPr="00000000">
              <w:rPr>
                <w:rtl w:val="0"/>
              </w:rPr>
            </w:r>
          </w:p>
        </w:tc>
        <w:tc>
          <w:tcPr/>
          <w:p w:rsidR="00000000" w:rsidDel="00000000" w:rsidP="00000000" w:rsidRDefault="00000000" w:rsidRPr="00000000" w14:paraId="000005C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21.500</w:t>
            </w:r>
            <w:r w:rsidDel="00000000" w:rsidR="00000000" w:rsidRPr="00000000">
              <w:rPr>
                <w:rtl w:val="0"/>
              </w:rPr>
            </w:r>
          </w:p>
        </w:tc>
        <w:tc>
          <w:tcPr/>
          <w:p w:rsidR="00000000" w:rsidDel="00000000" w:rsidP="00000000" w:rsidRDefault="00000000" w:rsidRPr="00000000" w14:paraId="000005C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12 meses</w:t>
            </w:r>
            <w:r w:rsidDel="00000000" w:rsidR="00000000" w:rsidRPr="00000000">
              <w:rPr>
                <w:rtl w:val="0"/>
              </w:rPr>
            </w:r>
          </w:p>
        </w:tc>
        <w:tc>
          <w:tcPr/>
          <w:p w:rsidR="00000000" w:rsidDel="00000000" w:rsidP="00000000" w:rsidRDefault="00000000" w:rsidRPr="00000000" w14:paraId="000005C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4.479</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1"/>
                <w:iCs w:val="1"/>
                <w:color w:val="0f172a"/>
                <w:sz w:val="17"/>
                <w:szCs w:val="17"/>
                <w:rtl w:val="0"/>
              </w:rPr>
              <w:t xml:space="preserve">(Aprox. 4.500)</w:t>
            </w:r>
            <w:r w:rsidDel="00000000" w:rsidR="00000000" w:rsidRPr="00000000">
              <w:rPr>
                <w:rtl w:val="0"/>
              </w:rPr>
            </w:r>
          </w:p>
        </w:tc>
      </w:tr>
      <w:tr>
        <w:trPr>
          <w:cantSplit w:val="1"/>
          <w:tblHeader w:val="0"/>
        </w:trPr>
        <w:tc>
          <w:tcPr/>
          <w:p w:rsidR="00000000" w:rsidDel="00000000" w:rsidP="00000000" w:rsidRDefault="00000000" w:rsidRPr="00000000" w14:paraId="000005C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Subtotal Bienes de Equipamiento</w:t>
            </w:r>
            <w:r w:rsidDel="00000000" w:rsidR="00000000" w:rsidRPr="00000000">
              <w:rPr>
                <w:rtl w:val="0"/>
              </w:rPr>
            </w:r>
          </w:p>
        </w:tc>
        <w:tc>
          <w:tcPr/>
          <w:p w:rsidR="00000000" w:rsidDel="00000000" w:rsidP="00000000" w:rsidRDefault="00000000" w:rsidRPr="00000000" w14:paraId="000005C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Hardware de ingeniería auditado en el sistema</w:t>
            </w:r>
            <w:r w:rsidDel="00000000" w:rsidR="00000000" w:rsidRPr="00000000">
              <w:rPr>
                <w:rtl w:val="0"/>
              </w:rPr>
            </w:r>
          </w:p>
        </w:tc>
        <w:tc>
          <w:tcPr/>
          <w:p w:rsidR="00000000" w:rsidDel="00000000" w:rsidP="00000000" w:rsidRDefault="00000000" w:rsidRPr="00000000" w14:paraId="000005C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w:t>
            </w:r>
            <w:r w:rsidDel="00000000" w:rsidR="00000000" w:rsidRPr="00000000">
              <w:rPr>
                <w:rtl w:val="0"/>
              </w:rPr>
            </w:r>
          </w:p>
        </w:tc>
        <w:tc>
          <w:tcPr/>
          <w:p w:rsidR="00000000" w:rsidDel="00000000" w:rsidP="00000000" w:rsidRDefault="00000000" w:rsidRPr="00000000" w14:paraId="000005C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1.001.500</w:t>
            </w:r>
            <w:r w:rsidDel="00000000" w:rsidR="00000000" w:rsidRPr="00000000">
              <w:rPr>
                <w:rtl w:val="0"/>
              </w:rPr>
            </w:r>
          </w:p>
        </w:tc>
        <w:tc>
          <w:tcPr/>
          <w:p w:rsidR="00000000" w:rsidDel="00000000" w:rsidP="00000000" w:rsidRDefault="00000000" w:rsidRPr="00000000" w14:paraId="000005C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w:t>
            </w:r>
            <w:r w:rsidDel="00000000" w:rsidR="00000000" w:rsidRPr="00000000">
              <w:rPr>
                <w:rtl w:val="0"/>
              </w:rPr>
            </w:r>
          </w:p>
        </w:tc>
        <w:tc>
          <w:tcPr/>
          <w:p w:rsidR="00000000" w:rsidDel="00000000" w:rsidP="00000000" w:rsidRDefault="00000000" w:rsidRPr="00000000" w14:paraId="000005C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72.500</w:t>
            </w:r>
            <w:r w:rsidDel="00000000" w:rsidR="00000000" w:rsidRPr="00000000">
              <w:rPr>
                <w:rtl w:val="0"/>
              </w:rPr>
            </w:r>
          </w:p>
        </w:tc>
      </w:tr>
    </w:tbl>
    <w:p w:rsidR="00000000" w:rsidDel="00000000" w:rsidP="00000000" w:rsidRDefault="00000000" w:rsidRPr="00000000" w14:paraId="000005C9">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Nota. El valor de activo representa el valor de reposición de mercado en Argentina (septiembre de 2026). La cuota de amortización imputada cubre con exactitud el período de desarrollo activo de 10 semanas (2,5 meses).</w:t>
      </w:r>
      <w:r w:rsidDel="00000000" w:rsidR="00000000" w:rsidRPr="00000000">
        <w:rPr>
          <w:rtl w:val="0"/>
        </w:rPr>
      </w:r>
    </w:p>
    <w:p w:rsidR="00000000" w:rsidDel="00000000" w:rsidP="00000000" w:rsidRDefault="00000000" w:rsidRPr="00000000" w14:paraId="000005CA">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Espacio de Trabajo e Infraestructura de Servicios Acreditados</w:t>
      </w:r>
      <w:r w:rsidDel="00000000" w:rsidR="00000000" w:rsidRPr="00000000">
        <w:rPr>
          <w:rtl w:val="0"/>
        </w:rPr>
      </w:r>
    </w:p>
    <w:p w:rsidR="00000000" w:rsidDel="00000000" w:rsidP="00000000" w:rsidRDefault="00000000" w:rsidRPr="00000000" w14:paraId="000005CB">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espacio de desarrollo físico se localiza en la ciudad de Posadas, Provincia de Misiones, bajo un régimen de locación con </w:t>
      </w:r>
      <w:r w:rsidDel="00000000" w:rsidR="00000000" w:rsidRPr="00000000">
        <w:rPr>
          <w:rFonts w:ascii="Times New Roman" w:cs="Times New Roman" w:eastAsia="Times New Roman" w:hAnsi="Times New Roman"/>
          <w:b w:val="1"/>
          <w:bCs w:val="1"/>
          <w:i w:val="0"/>
          <w:iCs w:val="0"/>
          <w:color w:val="0f172a"/>
          <w:sz w:val="24"/>
          <w:szCs w:val="24"/>
          <w:rtl w:val="0"/>
        </w:rPr>
        <w:t xml:space="preserve">costo de alquiler cero (0 ARS)</w:t>
      </w:r>
      <w:r w:rsidDel="00000000" w:rsidR="00000000" w:rsidRPr="00000000">
        <w:rPr>
          <w:rFonts w:ascii="Times New Roman" w:cs="Times New Roman" w:eastAsia="Times New Roman" w:hAnsi="Times New Roman"/>
          <w:b w:val="0"/>
          <w:bCs w:val="0"/>
          <w:i w:val="0"/>
          <w:iCs w:val="0"/>
          <w:color w:val="0f172a"/>
          <w:sz w:val="24"/>
          <w:szCs w:val="24"/>
          <w:rtl w:val="0"/>
        </w:rPr>
        <w:t xml:space="preserve"> al tratarse de un inmueble propio preexistente. No obstante, para garantizar un costeo transparente y riguroso, se imputan las erogaciones de servicios e infraestructura física indispensables para el ciclo de desarrollo, acreditadas fehacientemente mediante los comprobantes y facturas del período agosto-septiembre de 2026:</w:t>
      </w:r>
      <w:r w:rsidDel="00000000" w:rsidR="00000000" w:rsidRPr="00000000">
        <w:rPr>
          <w:rtl w:val="0"/>
        </w:rPr>
      </w:r>
    </w:p>
    <w:p w:rsidR="00000000" w:rsidDel="00000000" w:rsidP="00000000" w:rsidRDefault="00000000" w:rsidRPr="00000000" w14:paraId="000005CC">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 </w:t>
      </w:r>
      <w:r w:rsidDel="00000000" w:rsidR="00000000" w:rsidRPr="00000000">
        <w:rPr>
          <w:rFonts w:ascii="Times New Roman" w:cs="Times New Roman" w:eastAsia="Times New Roman" w:hAnsi="Times New Roman"/>
          <w:b w:val="1"/>
          <w:bCs w:val="1"/>
          <w:i w:val="0"/>
          <w:iCs w:val="0"/>
          <w:color w:val="0f172a"/>
          <w:sz w:val="23"/>
          <w:szCs w:val="23"/>
          <w:rtl w:val="0"/>
        </w:rPr>
        <w:t xml:space="preserve">Servicio de Conectividad a Internet de Alta Capacidad (Claro Fibra Óptica 300 Mbps)</w:t>
      </w:r>
      <w:r w:rsidDel="00000000" w:rsidR="00000000" w:rsidRPr="00000000">
        <w:rPr>
          <w:rFonts w:ascii="Times New Roman" w:cs="Times New Roman" w:eastAsia="Times New Roman" w:hAnsi="Times New Roman"/>
          <w:b w:val="0"/>
          <w:bCs w:val="0"/>
          <w:i w:val="0"/>
          <w:iCs w:val="0"/>
          <w:color w:val="0f172a"/>
          <w:sz w:val="23"/>
          <w:szCs w:val="23"/>
          <w:rtl w:val="0"/>
        </w:rPr>
        <w:t xml:space="preserve">:</w:t>
      </w:r>
      <w:r w:rsidDel="00000000" w:rsidR="00000000" w:rsidRPr="00000000">
        <w:rPr>
          <w:rtl w:val="0"/>
        </w:rPr>
      </w:r>
    </w:p>
    <w:p w:rsidR="00000000" w:rsidDel="00000000" w:rsidP="00000000" w:rsidRDefault="00000000" w:rsidRPr="00000000" w14:paraId="000005CD">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Acreditado mediante la </w:t>
      </w:r>
      <w:r w:rsidDel="00000000" w:rsidR="00000000" w:rsidRPr="00000000">
        <w:rPr>
          <w:rFonts w:ascii="Consolas" w:cs="Consolas" w:eastAsia="Consolas" w:hAnsi="Consolas"/>
          <w:b w:val="0"/>
          <w:bCs w:val="0"/>
          <w:i w:val="0"/>
          <w:iCs w:val="0"/>
          <w:color w:val="334155"/>
          <w:sz w:val="21"/>
          <w:szCs w:val="21"/>
          <w:rtl w:val="0"/>
        </w:rPr>
        <w:t xml:space="preserve">Factura N.° 1340-22788123</w:t>
      </w:r>
      <w:r w:rsidDel="00000000" w:rsidR="00000000" w:rsidRPr="00000000">
        <w:rPr>
          <w:rFonts w:ascii="Times New Roman" w:cs="Times New Roman" w:eastAsia="Times New Roman" w:hAnsi="Times New Roman"/>
          <w:b w:val="0"/>
          <w:bCs w:val="0"/>
          <w:i w:val="0"/>
          <w:iCs w:val="0"/>
          <w:color w:val="0f172a"/>
          <w:sz w:val="24"/>
          <w:szCs w:val="24"/>
          <w:rtl w:val="0"/>
        </w:rPr>
        <w:t xml:space="preserve"> emitida por AMX Argentina S.A. a nombre de Santiago Agustín Nuñez (período 09/08/2026 al 08/09/2026) por un importe mensual de </w:t>
      </w:r>
      <w:r w:rsidDel="00000000" w:rsidR="00000000" w:rsidRPr="00000000">
        <w:rPr>
          <w:rFonts w:ascii="Times New Roman" w:cs="Times New Roman" w:eastAsia="Times New Roman" w:hAnsi="Times New Roman"/>
          <w:b w:val="1"/>
          <w:bCs w:val="1"/>
          <w:i w:val="0"/>
          <w:iCs w:val="0"/>
          <w:color w:val="0f172a"/>
          <w:sz w:val="24"/>
          <w:szCs w:val="24"/>
          <w:rtl w:val="0"/>
        </w:rPr>
        <w:t xml:space="preserve">20.518,61 ARS</w:t>
      </w:r>
      <w:r w:rsidDel="00000000" w:rsidR="00000000" w:rsidRPr="00000000">
        <w:rPr>
          <w:rFonts w:ascii="Times New Roman" w:cs="Times New Roman" w:eastAsia="Times New Roman" w:hAnsi="Times New Roman"/>
          <w:b w:val="0"/>
          <w:bCs w:val="0"/>
          <w:i w:val="0"/>
          <w:iCs w:val="0"/>
          <w:color w:val="0f172a"/>
          <w:sz w:val="24"/>
          <w:szCs w:val="24"/>
          <w:rtl w:val="0"/>
        </w:rPr>
        <w:t xml:space="preserve">. Al constituir el canal imprescindible para la sincronización del repositorio GitHub, la descarga de paquetes (</w:t>
      </w:r>
      <w:r w:rsidDel="00000000" w:rsidR="00000000" w:rsidRPr="00000000">
        <w:rPr>
          <w:rFonts w:ascii="Consolas" w:cs="Consolas" w:eastAsia="Consolas" w:hAnsi="Consolas"/>
          <w:b w:val="0"/>
          <w:bCs w:val="0"/>
          <w:i w:val="0"/>
          <w:iCs w:val="0"/>
          <w:color w:val="334155"/>
          <w:sz w:val="21"/>
          <w:szCs w:val="21"/>
          <w:rtl w:val="0"/>
        </w:rPr>
        <w:t xml:space="preserve">npm</w:t>
      </w:r>
      <w:r w:rsidDel="00000000" w:rsidR="00000000" w:rsidRPr="00000000">
        <w:rPr>
          <w:rFonts w:ascii="Times New Roman" w:cs="Times New Roman" w:eastAsia="Times New Roman" w:hAnsi="Times New Roman"/>
          <w:b w:val="0"/>
          <w:bCs w:val="0"/>
          <w:i w:val="0"/>
          <w:iCs w:val="0"/>
          <w:color w:val="0f172a"/>
          <w:sz w:val="24"/>
          <w:szCs w:val="24"/>
          <w:rtl w:val="0"/>
        </w:rPr>
        <w:t xml:space="preserve">, </w:t>
      </w:r>
      <w:r w:rsidDel="00000000" w:rsidR="00000000" w:rsidRPr="00000000">
        <w:rPr>
          <w:rFonts w:ascii="Consolas" w:cs="Consolas" w:eastAsia="Consolas" w:hAnsi="Consolas"/>
          <w:b w:val="0"/>
          <w:bCs w:val="0"/>
          <w:i w:val="0"/>
          <w:iCs w:val="0"/>
          <w:color w:val="334155"/>
          <w:sz w:val="21"/>
          <w:szCs w:val="21"/>
          <w:rtl w:val="0"/>
        </w:rPr>
        <w:t xml:space="preserve">pip</w:t>
      </w:r>
      <w:r w:rsidDel="00000000" w:rsidR="00000000" w:rsidRPr="00000000">
        <w:rPr>
          <w:rFonts w:ascii="Times New Roman" w:cs="Times New Roman" w:eastAsia="Times New Roman" w:hAnsi="Times New Roman"/>
          <w:b w:val="0"/>
          <w:bCs w:val="0"/>
          <w:i w:val="0"/>
          <w:iCs w:val="0"/>
          <w:color w:val="0f172a"/>
          <w:sz w:val="24"/>
          <w:szCs w:val="24"/>
          <w:rtl w:val="0"/>
        </w:rPr>
        <w:t xml:space="preserve">, imágenes Docker) y la interacción con APIs de prueba, se imputa el </w:t>
      </w:r>
      <w:r w:rsidDel="00000000" w:rsidR="00000000" w:rsidRPr="00000000">
        <w:rPr>
          <w:rFonts w:ascii="Times New Roman" w:cs="Times New Roman" w:eastAsia="Times New Roman" w:hAnsi="Times New Roman"/>
          <w:b w:val="1"/>
          <w:bCs w:val="1"/>
          <w:i w:val="0"/>
          <w:iCs w:val="0"/>
          <w:color w:val="0f172a"/>
          <w:sz w:val="24"/>
          <w:szCs w:val="24"/>
          <w:rtl w:val="0"/>
        </w:rPr>
        <w:t xml:space="preserve">100% del servicio</w:t>
      </w:r>
      <w:r w:rsidDel="00000000" w:rsidR="00000000" w:rsidRPr="00000000">
        <w:rPr>
          <w:rFonts w:ascii="Times New Roman" w:cs="Times New Roman" w:eastAsia="Times New Roman" w:hAnsi="Times New Roman"/>
          <w:b w:val="0"/>
          <w:bCs w:val="0"/>
          <w:i w:val="0"/>
          <w:iCs w:val="0"/>
          <w:color w:val="0f172a"/>
          <w:sz w:val="24"/>
          <w:szCs w:val="24"/>
          <w:rtl w:val="0"/>
        </w:rPr>
        <w:t xml:space="preserve"> durante las 10 semanas (2,5 meses):Costo Conectividad = \20.518,61 × 2,5 = \51.296,53 ARS2. </w:t>
      </w:r>
      <w:r w:rsidDel="00000000" w:rsidR="00000000" w:rsidRPr="00000000">
        <w:rPr>
          <w:rFonts w:ascii="Times New Roman" w:cs="Times New Roman" w:eastAsia="Times New Roman" w:hAnsi="Times New Roman"/>
          <w:b w:val="1"/>
          <w:bCs w:val="1"/>
          <w:i w:val="0"/>
          <w:iCs w:val="0"/>
          <w:color w:val="0f172a"/>
          <w:sz w:val="24"/>
          <w:szCs w:val="24"/>
          <w:rtl w:val="0"/>
        </w:rPr>
        <w:t xml:space="preserve">Suministro de Energía Eléctrica (Energía de Misiones S.A. - EMSA)</w:t>
      </w:r>
      <w:r w:rsidDel="00000000" w:rsidR="00000000" w:rsidRPr="00000000">
        <w:rPr>
          <w:rFonts w:ascii="Times New Roman" w:cs="Times New Roman" w:eastAsia="Times New Roman" w:hAnsi="Times New Roman"/>
          <w:b w:val="0"/>
          <w:bCs w:val="0"/>
          <w:i w:val="0"/>
          <w:iCs w:val="0"/>
          <w:color w:val="0f172a"/>
          <w:sz w:val="24"/>
          <w:szCs w:val="24"/>
          <w:rtl w:val="0"/>
        </w:rPr>
        <w:t xml:space="preserve">:</w:t>
      </w:r>
      <w:r w:rsidDel="00000000" w:rsidR="00000000" w:rsidRPr="00000000">
        <w:rPr>
          <w:rtl w:val="0"/>
        </w:rPr>
      </w:r>
    </w:p>
    <w:p w:rsidR="00000000" w:rsidDel="00000000" w:rsidP="00000000" w:rsidRDefault="00000000" w:rsidRPr="00000000" w14:paraId="000005CE">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Acreditado mediante la </w:t>
      </w:r>
      <w:r w:rsidDel="00000000" w:rsidR="00000000" w:rsidRPr="00000000">
        <w:rPr>
          <w:rFonts w:ascii="Consolas" w:cs="Consolas" w:eastAsia="Consolas" w:hAnsi="Consolas"/>
          <w:b w:val="0"/>
          <w:bCs w:val="0"/>
          <w:i w:val="0"/>
          <w:iCs w:val="0"/>
          <w:color w:val="334155"/>
          <w:sz w:val="21"/>
          <w:szCs w:val="21"/>
          <w:rtl w:val="0"/>
        </w:rPr>
        <w:t xml:space="preserve">Factura N.° B.0005.35556770</w:t>
      </w:r>
      <w:r w:rsidDel="00000000" w:rsidR="00000000" w:rsidRPr="00000000">
        <w:rPr>
          <w:rFonts w:ascii="Times New Roman" w:cs="Times New Roman" w:eastAsia="Times New Roman" w:hAnsi="Times New Roman"/>
          <w:b w:val="0"/>
          <w:bCs w:val="0"/>
          <w:i w:val="0"/>
          <w:iCs w:val="0"/>
          <w:color w:val="0f172a"/>
          <w:sz w:val="24"/>
          <w:szCs w:val="24"/>
          <w:rtl w:val="0"/>
        </w:rPr>
        <w:t xml:space="preserve"> de EMSA con fecha de vencimiento 05/10/2026 (consumo mensual de 139 kWh, categoría residencial) por un monto de </w:t>
      </w:r>
      <w:r w:rsidDel="00000000" w:rsidR="00000000" w:rsidRPr="00000000">
        <w:rPr>
          <w:rFonts w:ascii="Times New Roman" w:cs="Times New Roman" w:eastAsia="Times New Roman" w:hAnsi="Times New Roman"/>
          <w:b w:val="1"/>
          <w:bCs w:val="1"/>
          <w:i w:val="0"/>
          <w:iCs w:val="0"/>
          <w:color w:val="0f172a"/>
          <w:sz w:val="24"/>
          <w:szCs w:val="24"/>
          <w:rtl w:val="0"/>
        </w:rPr>
        <w:t xml:space="preserve">26.375,22 ARS</w:t>
      </w:r>
      <w:r w:rsidDel="00000000" w:rsidR="00000000" w:rsidRPr="00000000">
        <w:rPr>
          <w:rFonts w:ascii="Times New Roman" w:cs="Times New Roman" w:eastAsia="Times New Roman" w:hAnsi="Times New Roman"/>
          <w:b w:val="0"/>
          <w:bCs w:val="0"/>
          <w:i w:val="0"/>
          <w:iCs w:val="0"/>
          <w:color w:val="0f172a"/>
          <w:sz w:val="24"/>
          <w:szCs w:val="24"/>
          <w:rtl w:val="0"/>
        </w:rPr>
        <w:t xml:space="preserve">. Se aplica un </w:t>
      </w:r>
      <w:r w:rsidDel="00000000" w:rsidR="00000000" w:rsidRPr="00000000">
        <w:rPr>
          <w:rFonts w:ascii="Times New Roman" w:cs="Times New Roman" w:eastAsia="Times New Roman" w:hAnsi="Times New Roman"/>
          <w:b w:val="1"/>
          <w:bCs w:val="1"/>
          <w:i w:val="0"/>
          <w:iCs w:val="0"/>
          <w:color w:val="0f172a"/>
          <w:sz w:val="24"/>
          <w:szCs w:val="24"/>
          <w:rtl w:val="0"/>
        </w:rPr>
        <w:t xml:space="preserve">factor de uso del 50%</w:t>
      </w:r>
      <w:r w:rsidDel="00000000" w:rsidR="00000000" w:rsidRPr="00000000">
        <w:rPr>
          <w:rFonts w:ascii="Times New Roman" w:cs="Times New Roman" w:eastAsia="Times New Roman" w:hAnsi="Times New Roman"/>
          <w:b w:val="0"/>
          <w:bCs w:val="0"/>
          <w:i w:val="0"/>
          <w:iCs w:val="0"/>
          <w:color w:val="0f172a"/>
          <w:sz w:val="24"/>
          <w:szCs w:val="24"/>
          <w:rtl w:val="0"/>
        </w:rPr>
        <w:t xml:space="preserve"> atribuible al funcionamiento de la estación de trabajo y periféricos durante las jornadas de desarrollo e integración del proyecto a lo largo de 2,5 meses:</w:t>
      </w:r>
      <w:r w:rsidDel="00000000" w:rsidR="00000000" w:rsidRPr="00000000">
        <w:rPr>
          <w:rtl w:val="0"/>
        </w:rPr>
      </w:r>
    </w:p>
    <w:p w:rsidR="00000000" w:rsidDel="00000000" w:rsidP="00000000" w:rsidRDefault="00000000" w:rsidRPr="00000000" w14:paraId="000005CF">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$Costo Eléctrico Imputado = \26.375,22 × 2,5 × 0,50 = \32.969,03 ARS3. </w:t>
      </w:r>
      <w:r w:rsidDel="00000000" w:rsidR="00000000" w:rsidRPr="00000000">
        <w:rPr>
          <w:rFonts w:ascii="Times New Roman" w:cs="Times New Roman" w:eastAsia="Times New Roman" w:hAnsi="Times New Roman"/>
          <w:b w:val="1"/>
          <w:bCs w:val="1"/>
          <w:i w:val="0"/>
          <w:iCs w:val="0"/>
          <w:color w:val="0f172a"/>
          <w:sz w:val="24"/>
          <w:szCs w:val="24"/>
          <w:rtl w:val="0"/>
        </w:rPr>
        <w:t xml:space="preserve">Mantenimiento Edilicio, Seguridad y Suministro de Agua (Expensas Ordinarias Consorcio)</w:t>
      </w:r>
      <w:r w:rsidDel="00000000" w:rsidR="00000000" w:rsidRPr="00000000">
        <w:rPr>
          <w:rFonts w:ascii="Times New Roman" w:cs="Times New Roman" w:eastAsia="Times New Roman" w:hAnsi="Times New Roman"/>
          <w:b w:val="0"/>
          <w:bCs w:val="0"/>
          <w:i w:val="0"/>
          <w:iCs w:val="0"/>
          <w:color w:val="0f172a"/>
          <w:sz w:val="24"/>
          <w:szCs w:val="24"/>
          <w:rtl w:val="0"/>
        </w:rPr>
        <w:t xml:space="preserve">:</w:t>
      </w:r>
      <w:r w:rsidDel="00000000" w:rsidR="00000000" w:rsidRPr="00000000">
        <w:rPr>
          <w:rtl w:val="0"/>
        </w:rPr>
      </w:r>
    </w:p>
    <w:p w:rsidR="00000000" w:rsidDel="00000000" w:rsidP="00000000" w:rsidRDefault="00000000" w:rsidRPr="00000000" w14:paraId="000005D0">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Acreditado mediante el </w:t>
      </w:r>
      <w:r w:rsidDel="00000000" w:rsidR="00000000" w:rsidRPr="00000000">
        <w:rPr>
          <w:rFonts w:ascii="Consolas" w:cs="Consolas" w:eastAsia="Consolas" w:hAnsi="Consolas"/>
          <w:b w:val="0"/>
          <w:bCs w:val="0"/>
          <w:i w:val="0"/>
          <w:iCs w:val="0"/>
          <w:color w:val="334155"/>
          <w:sz w:val="21"/>
          <w:szCs w:val="21"/>
          <w:rtl w:val="0"/>
        </w:rPr>
        <w:t xml:space="preserve">Cupón de Pago N.° 000286</w:t>
      </w:r>
      <w:r w:rsidDel="00000000" w:rsidR="00000000" w:rsidRPr="00000000">
        <w:rPr>
          <w:rFonts w:ascii="Times New Roman" w:cs="Times New Roman" w:eastAsia="Times New Roman" w:hAnsi="Times New Roman"/>
          <w:b w:val="0"/>
          <w:bCs w:val="0"/>
          <w:i w:val="0"/>
          <w:iCs w:val="0"/>
          <w:color w:val="0f172a"/>
          <w:sz w:val="24"/>
          <w:szCs w:val="24"/>
          <w:rtl w:val="0"/>
        </w:rPr>
        <w:t xml:space="preserve"> de la Administración Val &amp; Wall (cierre agosto de 2026) por un total de </w:t>
      </w:r>
      <w:r w:rsidDel="00000000" w:rsidR="00000000" w:rsidRPr="00000000">
        <w:rPr>
          <w:rFonts w:ascii="Times New Roman" w:cs="Times New Roman" w:eastAsia="Times New Roman" w:hAnsi="Times New Roman"/>
          <w:b w:val="1"/>
          <w:bCs w:val="1"/>
          <w:i w:val="0"/>
          <w:iCs w:val="0"/>
          <w:color w:val="0f172a"/>
          <w:sz w:val="24"/>
          <w:szCs w:val="24"/>
          <w:rtl w:val="0"/>
        </w:rPr>
        <w:t xml:space="preserve">56.752,87 ARS</w:t>
      </w:r>
      <w:r w:rsidDel="00000000" w:rsidR="00000000" w:rsidRPr="00000000">
        <w:rPr>
          <w:rFonts w:ascii="Times New Roman" w:cs="Times New Roman" w:eastAsia="Times New Roman" w:hAnsi="Times New Roman"/>
          <w:b w:val="0"/>
          <w:bCs w:val="0"/>
          <w:i w:val="0"/>
          <w:iCs w:val="0"/>
          <w:color w:val="0f172a"/>
          <w:sz w:val="24"/>
          <w:szCs w:val="24"/>
          <w:rtl w:val="0"/>
        </w:rPr>
        <w:t xml:space="preserve"> en concepto de expensas comunes ordinarias y provisión sanitaria del inmueble. Aplicando un </w:t>
      </w:r>
      <w:r w:rsidDel="00000000" w:rsidR="00000000" w:rsidRPr="00000000">
        <w:rPr>
          <w:rFonts w:ascii="Times New Roman" w:cs="Times New Roman" w:eastAsia="Times New Roman" w:hAnsi="Times New Roman"/>
          <w:b w:val="1"/>
          <w:bCs w:val="1"/>
          <w:i w:val="0"/>
          <w:iCs w:val="0"/>
          <w:color w:val="0f172a"/>
          <w:sz w:val="24"/>
          <w:szCs w:val="24"/>
          <w:rtl w:val="0"/>
        </w:rPr>
        <w:t xml:space="preserve">factor de asignación del 50%</w:t>
      </w:r>
      <w:r w:rsidDel="00000000" w:rsidR="00000000" w:rsidRPr="00000000">
        <w:rPr>
          <w:rFonts w:ascii="Times New Roman" w:cs="Times New Roman" w:eastAsia="Times New Roman" w:hAnsi="Times New Roman"/>
          <w:b w:val="0"/>
          <w:bCs w:val="0"/>
          <w:i w:val="0"/>
          <w:iCs w:val="0"/>
          <w:color w:val="0f172a"/>
          <w:sz w:val="24"/>
          <w:szCs w:val="24"/>
          <w:rtl w:val="0"/>
        </w:rPr>
        <w:t xml:space="preserve"> por el uso del espacio físico de ingeniería durante 2,5 meses:</w:t>
      </w:r>
      <w:r w:rsidDel="00000000" w:rsidR="00000000" w:rsidRPr="00000000">
        <w:rPr>
          <w:rtl w:val="0"/>
        </w:rPr>
      </w:r>
    </w:p>
    <w:p w:rsidR="00000000" w:rsidDel="00000000" w:rsidP="00000000" w:rsidRDefault="00000000" w:rsidRPr="00000000" w14:paraId="000005D1">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$Costo Mantenimiento Imputado = \56.752,87 × 2,5 × 0,50 = \70.941,09 ARS### Tabla X.4</w:t>
      </w:r>
      <w:r w:rsidDel="00000000" w:rsidR="00000000" w:rsidRPr="00000000">
        <w:rPr>
          <w:rtl w:val="0"/>
        </w:rPr>
      </w:r>
    </w:p>
    <w:p w:rsidR="00000000" w:rsidDel="00000000" w:rsidP="00000000" w:rsidRDefault="00000000" w:rsidRPr="00000000" w14:paraId="000005D2">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Infraestructura de Servicios y Espacio Físico Acreditados por Factura</w:t>
      </w:r>
      <w:r w:rsidDel="00000000" w:rsidR="00000000" w:rsidRPr="00000000">
        <w:rPr>
          <w:rtl w:val="0"/>
        </w:rPr>
      </w:r>
    </w:p>
    <w:tbl>
      <w:tblPr>
        <w:tblStyle w:val="Table61"/>
        <w:tblW w:w="8505.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1215"/>
        <w:gridCol w:w="1215"/>
        <w:gridCol w:w="1215"/>
        <w:gridCol w:w="1215"/>
        <w:gridCol w:w="1215"/>
        <w:gridCol w:w="1215"/>
        <w:gridCol w:w="1215"/>
        <w:tblGridChange w:id="0">
          <w:tblGrid>
            <w:gridCol w:w="1215"/>
            <w:gridCol w:w="1215"/>
            <w:gridCol w:w="1215"/>
            <w:gridCol w:w="1215"/>
            <w:gridCol w:w="1215"/>
            <w:gridCol w:w="1215"/>
            <w:gridCol w:w="1215"/>
          </w:tblGrid>
        </w:tblGridChange>
      </w:tblGrid>
      <w:tr>
        <w:trPr>
          <w:cantSplit w:val="1"/>
          <w:tblHeader w:val="1"/>
        </w:trPr>
        <w:tc>
          <w:tcPr>
            <w:shd w:fill="f1f5f9" w:val="clear"/>
          </w:tcPr>
          <w:p w:rsidR="00000000" w:rsidDel="00000000" w:rsidP="00000000" w:rsidRDefault="00000000" w:rsidRPr="00000000" w14:paraId="000005D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Concepto de Servicio</w:t>
            </w:r>
            <w:r w:rsidDel="00000000" w:rsidR="00000000" w:rsidRPr="00000000">
              <w:rPr>
                <w:rtl w:val="0"/>
              </w:rPr>
            </w:r>
          </w:p>
        </w:tc>
        <w:tc>
          <w:tcPr>
            <w:shd w:fill="f1f5f9" w:val="clear"/>
          </w:tcPr>
          <w:p w:rsidR="00000000" w:rsidDel="00000000" w:rsidP="00000000" w:rsidRDefault="00000000" w:rsidRPr="00000000" w14:paraId="000005D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Prestador / Emisor</w:t>
            </w:r>
            <w:r w:rsidDel="00000000" w:rsidR="00000000" w:rsidRPr="00000000">
              <w:rPr>
                <w:rtl w:val="0"/>
              </w:rPr>
            </w:r>
          </w:p>
        </w:tc>
        <w:tc>
          <w:tcPr>
            <w:shd w:fill="f1f5f9" w:val="clear"/>
          </w:tcPr>
          <w:p w:rsidR="00000000" w:rsidDel="00000000" w:rsidP="00000000" w:rsidRDefault="00000000" w:rsidRPr="00000000" w14:paraId="000005D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Identificador de Comprobante</w:t>
            </w:r>
            <w:r w:rsidDel="00000000" w:rsidR="00000000" w:rsidRPr="00000000">
              <w:rPr>
                <w:rtl w:val="0"/>
              </w:rPr>
            </w:r>
          </w:p>
        </w:tc>
        <w:tc>
          <w:tcPr>
            <w:shd w:fill="f1f5f9" w:val="clear"/>
          </w:tcPr>
          <w:p w:rsidR="00000000" w:rsidDel="00000000" w:rsidP="00000000" w:rsidRDefault="00000000" w:rsidRPr="00000000" w14:paraId="000005D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Período de Facturación</w:t>
            </w:r>
            <w:r w:rsidDel="00000000" w:rsidR="00000000" w:rsidRPr="00000000">
              <w:rPr>
                <w:rtl w:val="0"/>
              </w:rPr>
            </w:r>
          </w:p>
        </w:tc>
        <w:tc>
          <w:tcPr>
            <w:shd w:fill="f1f5f9" w:val="clear"/>
          </w:tcPr>
          <w:p w:rsidR="00000000" w:rsidDel="00000000" w:rsidP="00000000" w:rsidRDefault="00000000" w:rsidRPr="00000000" w14:paraId="000005D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Tarifa Mensual Total</w:t>
            </w:r>
            <w:r w:rsidDel="00000000" w:rsidR="00000000" w:rsidRPr="00000000">
              <w:rPr>
                <w:rtl w:val="0"/>
              </w:rPr>
            </w:r>
          </w:p>
        </w:tc>
        <w:tc>
          <w:tcPr>
            <w:shd w:fill="f1f5f9" w:val="clear"/>
          </w:tcPr>
          <w:p w:rsidR="00000000" w:rsidDel="00000000" w:rsidP="00000000" w:rsidRDefault="00000000" w:rsidRPr="00000000" w14:paraId="000005D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Criterio de Imputación al Proyecto</w:t>
            </w:r>
            <w:r w:rsidDel="00000000" w:rsidR="00000000" w:rsidRPr="00000000">
              <w:rPr>
                <w:rtl w:val="0"/>
              </w:rPr>
            </w:r>
          </w:p>
        </w:tc>
        <w:tc>
          <w:tcPr>
            <w:shd w:fill="f1f5f9" w:val="clear"/>
          </w:tcPr>
          <w:p w:rsidR="00000000" w:rsidDel="00000000" w:rsidP="00000000" w:rsidRDefault="00000000" w:rsidRPr="00000000" w14:paraId="000005D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Monto Imputado al Proyecto (10 sem)</w:t>
            </w:r>
            <w:r w:rsidDel="00000000" w:rsidR="00000000" w:rsidRPr="00000000">
              <w:rPr>
                <w:rtl w:val="0"/>
              </w:rPr>
            </w:r>
          </w:p>
        </w:tc>
      </w:tr>
      <w:tr>
        <w:trPr>
          <w:cantSplit w:val="1"/>
          <w:tblHeader w:val="0"/>
        </w:trPr>
        <w:tc>
          <w:tcPr/>
          <w:p w:rsidR="00000000" w:rsidDel="00000000" w:rsidP="00000000" w:rsidRDefault="00000000" w:rsidRPr="00000000" w14:paraId="000005D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Locación de Espacio Físico</w:t>
            </w:r>
            <w:r w:rsidDel="00000000" w:rsidR="00000000" w:rsidRPr="00000000">
              <w:rPr>
                <w:rtl w:val="0"/>
              </w:rPr>
            </w:r>
          </w:p>
        </w:tc>
        <w:tc>
          <w:tcPr/>
          <w:p w:rsidR="00000000" w:rsidDel="00000000" w:rsidP="00000000" w:rsidRDefault="00000000" w:rsidRPr="00000000" w14:paraId="000005D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Inmueble propio del autor</w:t>
            </w:r>
            <w:r w:rsidDel="00000000" w:rsidR="00000000" w:rsidRPr="00000000">
              <w:rPr>
                <w:rtl w:val="0"/>
              </w:rPr>
            </w:r>
          </w:p>
        </w:tc>
        <w:tc>
          <w:tcPr/>
          <w:p w:rsidR="00000000" w:rsidDel="00000000" w:rsidP="00000000" w:rsidRDefault="00000000" w:rsidRPr="00000000" w14:paraId="000005D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w:t>
            </w:r>
            <w:r w:rsidDel="00000000" w:rsidR="00000000" w:rsidRPr="00000000">
              <w:rPr>
                <w:rtl w:val="0"/>
              </w:rPr>
            </w:r>
          </w:p>
        </w:tc>
        <w:tc>
          <w:tcPr/>
          <w:p w:rsidR="00000000" w:rsidDel="00000000" w:rsidP="00000000" w:rsidRDefault="00000000" w:rsidRPr="00000000" w14:paraId="000005D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Ago. - Nov. 2026</w:t>
            </w:r>
            <w:r w:rsidDel="00000000" w:rsidR="00000000" w:rsidRPr="00000000">
              <w:rPr>
                <w:rtl w:val="0"/>
              </w:rPr>
            </w:r>
          </w:p>
        </w:tc>
        <w:tc>
          <w:tcPr/>
          <w:p w:rsidR="00000000" w:rsidDel="00000000" w:rsidP="00000000" w:rsidRDefault="00000000" w:rsidRPr="00000000" w14:paraId="000005D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0,00</w:t>
            </w:r>
            <w:r w:rsidDel="00000000" w:rsidR="00000000" w:rsidRPr="00000000">
              <w:rPr>
                <w:rtl w:val="0"/>
              </w:rPr>
            </w:r>
          </w:p>
        </w:tc>
        <w:tc>
          <w:tcPr/>
          <w:p w:rsidR="00000000" w:rsidDel="00000000" w:rsidP="00000000" w:rsidRDefault="00000000" w:rsidRPr="00000000" w14:paraId="000005D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Espacio propio preexistente en Posadas (sin costo de alquiler).</w:t>
            </w:r>
            <w:r w:rsidDel="00000000" w:rsidR="00000000" w:rsidRPr="00000000">
              <w:rPr>
                <w:rtl w:val="0"/>
              </w:rPr>
            </w:r>
          </w:p>
        </w:tc>
        <w:tc>
          <w:tcPr/>
          <w:p w:rsidR="00000000" w:rsidDel="00000000" w:rsidP="00000000" w:rsidRDefault="00000000" w:rsidRPr="00000000" w14:paraId="000005E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0,00</w:t>
            </w:r>
            <w:r w:rsidDel="00000000" w:rsidR="00000000" w:rsidRPr="00000000">
              <w:rPr>
                <w:rtl w:val="0"/>
              </w:rPr>
            </w:r>
          </w:p>
        </w:tc>
      </w:tr>
      <w:tr>
        <w:trPr>
          <w:cantSplit w:val="1"/>
          <w:tblHeader w:val="0"/>
        </w:trPr>
        <w:tc>
          <w:tcPr/>
          <w:p w:rsidR="00000000" w:rsidDel="00000000" w:rsidP="00000000" w:rsidRDefault="00000000" w:rsidRPr="00000000" w14:paraId="000005E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Conectividad a Internet (300 MB Simétrico)</w:t>
            </w:r>
            <w:r w:rsidDel="00000000" w:rsidR="00000000" w:rsidRPr="00000000">
              <w:rPr>
                <w:rtl w:val="0"/>
              </w:rPr>
            </w:r>
          </w:p>
        </w:tc>
        <w:tc>
          <w:tcPr/>
          <w:p w:rsidR="00000000" w:rsidDel="00000000" w:rsidP="00000000" w:rsidRDefault="00000000" w:rsidRPr="00000000" w14:paraId="000005E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AMX Argentina S.A. (Claro)</w:t>
            </w:r>
            <w:r w:rsidDel="00000000" w:rsidR="00000000" w:rsidRPr="00000000">
              <w:rPr>
                <w:rtl w:val="0"/>
              </w:rPr>
            </w:r>
          </w:p>
        </w:tc>
        <w:tc>
          <w:tcPr/>
          <w:p w:rsidR="00000000" w:rsidDel="00000000" w:rsidP="00000000" w:rsidRDefault="00000000" w:rsidRPr="00000000" w14:paraId="000005E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Factura B</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5"/>
                <w:szCs w:val="15"/>
                <w:rtl w:val="0"/>
              </w:rPr>
              <w:t xml:space="preserve">N.° 1340-22788123</w:t>
            </w:r>
            <w:r w:rsidDel="00000000" w:rsidR="00000000" w:rsidRPr="00000000">
              <w:rPr>
                <w:rtl w:val="0"/>
              </w:rPr>
            </w:r>
          </w:p>
        </w:tc>
        <w:tc>
          <w:tcPr/>
          <w:p w:rsidR="00000000" w:rsidDel="00000000" w:rsidP="00000000" w:rsidRDefault="00000000" w:rsidRPr="00000000" w14:paraId="000005E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09/08/2026 al 08/09/2026</w:t>
            </w:r>
            <w:r w:rsidDel="00000000" w:rsidR="00000000" w:rsidRPr="00000000">
              <w:rPr>
                <w:rtl w:val="0"/>
              </w:rPr>
            </w:r>
          </w:p>
        </w:tc>
        <w:tc>
          <w:tcPr/>
          <w:p w:rsidR="00000000" w:rsidDel="00000000" w:rsidP="00000000" w:rsidRDefault="00000000" w:rsidRPr="00000000" w14:paraId="000005E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20.518,61</w:t>
            </w:r>
            <w:r w:rsidDel="00000000" w:rsidR="00000000" w:rsidRPr="00000000">
              <w:rPr>
                <w:rtl w:val="0"/>
              </w:rPr>
            </w:r>
          </w:p>
        </w:tc>
        <w:tc>
          <w:tcPr/>
          <w:p w:rsidR="00000000" w:rsidDel="00000000" w:rsidP="00000000" w:rsidRDefault="00000000" w:rsidRPr="00000000" w14:paraId="000005E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100% de imputación (enlace imprescindible para CI/CD, git y APIs).</w:t>
            </w:r>
            <w:r w:rsidDel="00000000" w:rsidR="00000000" w:rsidRPr="00000000">
              <w:rPr>
                <w:rtl w:val="0"/>
              </w:rPr>
            </w:r>
          </w:p>
        </w:tc>
        <w:tc>
          <w:tcPr/>
          <w:p w:rsidR="00000000" w:rsidDel="00000000" w:rsidP="00000000" w:rsidRDefault="00000000" w:rsidRPr="00000000" w14:paraId="000005E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51.296,53</w:t>
            </w:r>
            <w:r w:rsidDel="00000000" w:rsidR="00000000" w:rsidRPr="00000000">
              <w:rPr>
                <w:rtl w:val="0"/>
              </w:rPr>
            </w:r>
          </w:p>
        </w:tc>
      </w:tr>
      <w:tr>
        <w:trPr>
          <w:cantSplit w:val="1"/>
          <w:tblHeader w:val="0"/>
        </w:trPr>
        <w:tc>
          <w:tcPr/>
          <w:p w:rsidR="00000000" w:rsidDel="00000000" w:rsidP="00000000" w:rsidRDefault="00000000" w:rsidRPr="00000000" w14:paraId="000005E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Suministro Eléctrico (Estación y Servidores)</w:t>
            </w:r>
            <w:r w:rsidDel="00000000" w:rsidR="00000000" w:rsidRPr="00000000">
              <w:rPr>
                <w:rtl w:val="0"/>
              </w:rPr>
            </w:r>
          </w:p>
        </w:tc>
        <w:tc>
          <w:tcPr/>
          <w:p w:rsidR="00000000" w:rsidDel="00000000" w:rsidP="00000000" w:rsidRDefault="00000000" w:rsidRPr="00000000" w14:paraId="000005E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Energía de Misiones S.A. (EMSA)</w:t>
            </w:r>
            <w:r w:rsidDel="00000000" w:rsidR="00000000" w:rsidRPr="00000000">
              <w:rPr>
                <w:rtl w:val="0"/>
              </w:rPr>
            </w:r>
          </w:p>
        </w:tc>
        <w:tc>
          <w:tcPr/>
          <w:p w:rsidR="00000000" w:rsidDel="00000000" w:rsidP="00000000" w:rsidRDefault="00000000" w:rsidRPr="00000000" w14:paraId="000005E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Factura B</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5"/>
                <w:szCs w:val="15"/>
                <w:rtl w:val="0"/>
              </w:rPr>
              <w:t xml:space="preserve">N.° B.0005.35556770</w:t>
            </w:r>
            <w:r w:rsidDel="00000000" w:rsidR="00000000" w:rsidRPr="00000000">
              <w:rPr>
                <w:rtl w:val="0"/>
              </w:rPr>
            </w:r>
          </w:p>
        </w:tc>
        <w:tc>
          <w:tcPr/>
          <w:p w:rsidR="00000000" w:rsidDel="00000000" w:rsidP="00000000" w:rsidRDefault="00000000" w:rsidRPr="00000000" w14:paraId="000005E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Ago. - Sept. 2026 (139 kWh)</w:t>
            </w:r>
            <w:r w:rsidDel="00000000" w:rsidR="00000000" w:rsidRPr="00000000">
              <w:rPr>
                <w:rtl w:val="0"/>
              </w:rPr>
            </w:r>
          </w:p>
        </w:tc>
        <w:tc>
          <w:tcPr/>
          <w:p w:rsidR="00000000" w:rsidDel="00000000" w:rsidP="00000000" w:rsidRDefault="00000000" w:rsidRPr="00000000" w14:paraId="000005E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26.375,22</w:t>
            </w:r>
            <w:r w:rsidDel="00000000" w:rsidR="00000000" w:rsidRPr="00000000">
              <w:rPr>
                <w:rtl w:val="0"/>
              </w:rPr>
            </w:r>
          </w:p>
        </w:tc>
        <w:tc>
          <w:tcPr/>
          <w:p w:rsidR="00000000" w:rsidDel="00000000" w:rsidP="00000000" w:rsidRDefault="00000000" w:rsidRPr="00000000" w14:paraId="000005E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50% de asignación por consumo de estación de trabajo en desarrollo.</w:t>
            </w:r>
            <w:r w:rsidDel="00000000" w:rsidR="00000000" w:rsidRPr="00000000">
              <w:rPr>
                <w:rtl w:val="0"/>
              </w:rPr>
            </w:r>
          </w:p>
        </w:tc>
        <w:tc>
          <w:tcPr/>
          <w:p w:rsidR="00000000" w:rsidDel="00000000" w:rsidP="00000000" w:rsidRDefault="00000000" w:rsidRPr="00000000" w14:paraId="000005E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32.969,03</w:t>
            </w:r>
            <w:r w:rsidDel="00000000" w:rsidR="00000000" w:rsidRPr="00000000">
              <w:rPr>
                <w:rtl w:val="0"/>
              </w:rPr>
            </w:r>
          </w:p>
        </w:tc>
      </w:tr>
      <w:tr>
        <w:trPr>
          <w:cantSplit w:val="1"/>
          <w:tblHeader w:val="0"/>
        </w:trPr>
        <w:tc>
          <w:tcPr/>
          <w:p w:rsidR="00000000" w:rsidDel="00000000" w:rsidP="00000000" w:rsidRDefault="00000000" w:rsidRPr="00000000" w14:paraId="000005E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Expensas y Agua (Mantenimiento Edilicio)</w:t>
            </w:r>
            <w:r w:rsidDel="00000000" w:rsidR="00000000" w:rsidRPr="00000000">
              <w:rPr>
                <w:rtl w:val="0"/>
              </w:rPr>
            </w:r>
          </w:p>
        </w:tc>
        <w:tc>
          <w:tcPr/>
          <w:p w:rsidR="00000000" w:rsidDel="00000000" w:rsidP="00000000" w:rsidRDefault="00000000" w:rsidRPr="00000000" w14:paraId="000005F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Consorcio Celestino XV (Adm. Val &amp; Wall)</w:t>
            </w:r>
            <w:r w:rsidDel="00000000" w:rsidR="00000000" w:rsidRPr="00000000">
              <w:rPr>
                <w:rtl w:val="0"/>
              </w:rPr>
            </w:r>
          </w:p>
        </w:tc>
        <w:tc>
          <w:tcPr/>
          <w:p w:rsidR="00000000" w:rsidDel="00000000" w:rsidP="00000000" w:rsidRDefault="00000000" w:rsidRPr="00000000" w14:paraId="000005F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Cupón de Pago</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5"/>
                <w:szCs w:val="15"/>
                <w:rtl w:val="0"/>
              </w:rPr>
              <w:t xml:space="preserve">N.° 000286</w:t>
            </w:r>
            <w:r w:rsidDel="00000000" w:rsidR="00000000" w:rsidRPr="00000000">
              <w:rPr>
                <w:rtl w:val="0"/>
              </w:rPr>
            </w:r>
          </w:p>
        </w:tc>
        <w:tc>
          <w:tcPr/>
          <w:p w:rsidR="00000000" w:rsidDel="00000000" w:rsidP="00000000" w:rsidRDefault="00000000" w:rsidRPr="00000000" w14:paraId="000005F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Cierre Agosto 2026 (Vto. Septiembre)</w:t>
            </w:r>
            <w:r w:rsidDel="00000000" w:rsidR="00000000" w:rsidRPr="00000000">
              <w:rPr>
                <w:rtl w:val="0"/>
              </w:rPr>
            </w:r>
          </w:p>
        </w:tc>
        <w:tc>
          <w:tcPr/>
          <w:p w:rsidR="00000000" w:rsidDel="00000000" w:rsidP="00000000" w:rsidRDefault="00000000" w:rsidRPr="00000000" w14:paraId="000005F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56.752,87</w:t>
            </w:r>
            <w:r w:rsidDel="00000000" w:rsidR="00000000" w:rsidRPr="00000000">
              <w:rPr>
                <w:rtl w:val="0"/>
              </w:rPr>
            </w:r>
          </w:p>
        </w:tc>
        <w:tc>
          <w:tcPr/>
          <w:p w:rsidR="00000000" w:rsidDel="00000000" w:rsidP="00000000" w:rsidRDefault="00000000" w:rsidRPr="00000000" w14:paraId="000005F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50% de asignación por mantenimiento del espacio operativo de trabajo.</w:t>
            </w:r>
            <w:r w:rsidDel="00000000" w:rsidR="00000000" w:rsidRPr="00000000">
              <w:rPr>
                <w:rtl w:val="0"/>
              </w:rPr>
            </w:r>
          </w:p>
        </w:tc>
        <w:tc>
          <w:tcPr/>
          <w:p w:rsidR="00000000" w:rsidDel="00000000" w:rsidP="00000000" w:rsidRDefault="00000000" w:rsidRPr="00000000" w14:paraId="000005F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70.941,09</w:t>
            </w:r>
            <w:r w:rsidDel="00000000" w:rsidR="00000000" w:rsidRPr="00000000">
              <w:rPr>
                <w:rtl w:val="0"/>
              </w:rPr>
            </w:r>
          </w:p>
        </w:tc>
      </w:tr>
      <w:tr>
        <w:trPr>
          <w:cantSplit w:val="1"/>
          <w:tblHeader w:val="0"/>
        </w:trPr>
        <w:tc>
          <w:tcPr/>
          <w:p w:rsidR="00000000" w:rsidDel="00000000" w:rsidP="00000000" w:rsidRDefault="00000000" w:rsidRPr="00000000" w14:paraId="000005F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Subtotal Servicios e Infraestructura</w:t>
            </w:r>
            <w:r w:rsidDel="00000000" w:rsidR="00000000" w:rsidRPr="00000000">
              <w:rPr>
                <w:rtl w:val="0"/>
              </w:rPr>
            </w:r>
          </w:p>
        </w:tc>
        <w:tc>
          <w:tcPr/>
          <w:p w:rsidR="00000000" w:rsidDel="00000000" w:rsidP="00000000" w:rsidRDefault="00000000" w:rsidRPr="00000000" w14:paraId="000005F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Servicios públicos y edilicios acreditados</w:t>
            </w:r>
            <w:r w:rsidDel="00000000" w:rsidR="00000000" w:rsidRPr="00000000">
              <w:rPr>
                <w:rtl w:val="0"/>
              </w:rPr>
            </w:r>
          </w:p>
        </w:tc>
        <w:tc>
          <w:tcPr/>
          <w:p w:rsidR="00000000" w:rsidDel="00000000" w:rsidP="00000000" w:rsidRDefault="00000000" w:rsidRPr="00000000" w14:paraId="000005F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w:t>
            </w:r>
            <w:r w:rsidDel="00000000" w:rsidR="00000000" w:rsidRPr="00000000">
              <w:rPr>
                <w:rtl w:val="0"/>
              </w:rPr>
            </w:r>
          </w:p>
        </w:tc>
        <w:tc>
          <w:tcPr/>
          <w:p w:rsidR="00000000" w:rsidDel="00000000" w:rsidP="00000000" w:rsidRDefault="00000000" w:rsidRPr="00000000" w14:paraId="000005F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w:t>
            </w:r>
            <w:r w:rsidDel="00000000" w:rsidR="00000000" w:rsidRPr="00000000">
              <w:rPr>
                <w:rtl w:val="0"/>
              </w:rPr>
            </w:r>
          </w:p>
        </w:tc>
        <w:tc>
          <w:tcPr/>
          <w:p w:rsidR="00000000" w:rsidDel="00000000" w:rsidP="00000000" w:rsidRDefault="00000000" w:rsidRPr="00000000" w14:paraId="000005F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w:t>
            </w:r>
            <w:r w:rsidDel="00000000" w:rsidR="00000000" w:rsidRPr="00000000">
              <w:rPr>
                <w:rtl w:val="0"/>
              </w:rPr>
            </w:r>
          </w:p>
        </w:tc>
        <w:tc>
          <w:tcPr/>
          <w:p w:rsidR="00000000" w:rsidDel="00000000" w:rsidP="00000000" w:rsidRDefault="00000000" w:rsidRPr="00000000" w14:paraId="000005F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w:t>
            </w:r>
            <w:r w:rsidDel="00000000" w:rsidR="00000000" w:rsidRPr="00000000">
              <w:rPr>
                <w:rtl w:val="0"/>
              </w:rPr>
            </w:r>
          </w:p>
        </w:tc>
        <w:tc>
          <w:tcPr/>
          <w:p w:rsidR="00000000" w:rsidDel="00000000" w:rsidP="00000000" w:rsidRDefault="00000000" w:rsidRPr="00000000" w14:paraId="000005F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155.206,65</w:t>
            </w:r>
            <w:r w:rsidDel="00000000" w:rsidR="00000000" w:rsidRPr="00000000">
              <w:rPr>
                <w:rtl w:val="0"/>
              </w:rPr>
            </w:r>
          </w:p>
        </w:tc>
      </w:tr>
    </w:tbl>
    <w:p w:rsidR="00000000" w:rsidDel="00000000" w:rsidP="00000000" w:rsidRDefault="00000000" w:rsidRPr="00000000" w14:paraId="000005FD">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Nota. La totalidad de los valores monetarios proviene de comprobantes oficiales de servicios con CUIT y autorización fiscal verificables, cubriendo las 10 semanas de formulación y construcción del proyecto.</w:t>
      </w:r>
      <w:r w:rsidDel="00000000" w:rsidR="00000000" w:rsidRPr="00000000">
        <w:rPr>
          <w:rtl w:val="0"/>
        </w:rPr>
      </w:r>
    </w:p>
    <w:p w:rsidR="00000000" w:rsidDel="00000000" w:rsidP="00000000" w:rsidRDefault="00000000" w:rsidRPr="00000000" w14:paraId="000005FE">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Consolidación Presupuestaria de Recursos Físicos y Materiales</w:t>
      </w:r>
      <w:r w:rsidDel="00000000" w:rsidR="00000000" w:rsidRPr="00000000">
        <w:rPr>
          <w:rtl w:val="0"/>
        </w:rPr>
      </w:r>
    </w:p>
    <w:p w:rsidR="00000000" w:rsidDel="00000000" w:rsidP="00000000" w:rsidRDefault="00000000" w:rsidRPr="00000000" w14:paraId="000005FF">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Integrando las cuotas de amortización del equipamiento de computación y los gastos de infraestructura y conectividad, el presupuesto de recursos físicos y materiales del proyecto CODI se estructura conforme a la matriz normativa de formulación de proyectos:</w:t>
      </w:r>
      <w:r w:rsidDel="00000000" w:rsidR="00000000" w:rsidRPr="00000000">
        <w:rPr>
          <w:rtl w:val="0"/>
        </w:rPr>
      </w:r>
    </w:p>
    <w:p w:rsidR="00000000" w:rsidDel="00000000" w:rsidP="00000000" w:rsidRDefault="00000000" w:rsidRPr="00000000" w14:paraId="00000600">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Tabla X.5</w:t>
      </w:r>
      <w:r w:rsidDel="00000000" w:rsidR="00000000" w:rsidRPr="00000000">
        <w:rPr>
          <w:rtl w:val="0"/>
        </w:rPr>
      </w:r>
    </w:p>
    <w:p w:rsidR="00000000" w:rsidDel="00000000" w:rsidP="00000000" w:rsidRDefault="00000000" w:rsidRPr="00000000" w14:paraId="00000601">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Presupuesto Consolidado de Recursos Físicos y Materiales del Proyecto CODI</w:t>
      </w:r>
      <w:r w:rsidDel="00000000" w:rsidR="00000000" w:rsidRPr="00000000">
        <w:rPr>
          <w:rtl w:val="0"/>
        </w:rPr>
      </w:r>
    </w:p>
    <w:tbl>
      <w:tblPr>
        <w:tblStyle w:val="Table62"/>
        <w:tblW w:w="8505.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1215"/>
        <w:gridCol w:w="1215"/>
        <w:gridCol w:w="1215"/>
        <w:gridCol w:w="1215"/>
        <w:gridCol w:w="1215"/>
        <w:gridCol w:w="1215"/>
        <w:gridCol w:w="1215"/>
        <w:tblGridChange w:id="0">
          <w:tblGrid>
            <w:gridCol w:w="1215"/>
            <w:gridCol w:w="1215"/>
            <w:gridCol w:w="1215"/>
            <w:gridCol w:w="1215"/>
            <w:gridCol w:w="1215"/>
            <w:gridCol w:w="1215"/>
            <w:gridCol w:w="1215"/>
          </w:tblGrid>
        </w:tblGridChange>
      </w:tblGrid>
      <w:tr>
        <w:trPr>
          <w:cantSplit w:val="1"/>
          <w:tblHeader w:val="1"/>
        </w:trPr>
        <w:tc>
          <w:tcPr>
            <w:shd w:fill="f1f5f9" w:val="clear"/>
          </w:tcPr>
          <w:p w:rsidR="00000000" w:rsidDel="00000000" w:rsidP="00000000" w:rsidRDefault="00000000" w:rsidRPr="00000000" w14:paraId="0000060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Clase de Recurso</w:t>
            </w:r>
            <w:r w:rsidDel="00000000" w:rsidR="00000000" w:rsidRPr="00000000">
              <w:rPr>
                <w:rtl w:val="0"/>
              </w:rPr>
            </w:r>
          </w:p>
        </w:tc>
        <w:tc>
          <w:tcPr>
            <w:shd w:fill="f1f5f9" w:val="clear"/>
          </w:tcPr>
          <w:p w:rsidR="00000000" w:rsidDel="00000000" w:rsidP="00000000" w:rsidRDefault="00000000" w:rsidRPr="00000000" w14:paraId="0000060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Concepto / Elemento</w:t>
            </w:r>
            <w:r w:rsidDel="00000000" w:rsidR="00000000" w:rsidRPr="00000000">
              <w:rPr>
                <w:rtl w:val="0"/>
              </w:rPr>
            </w:r>
          </w:p>
        </w:tc>
        <w:tc>
          <w:tcPr>
            <w:shd w:fill="f1f5f9" w:val="clear"/>
          </w:tcPr>
          <w:p w:rsidR="00000000" w:rsidDel="00000000" w:rsidP="00000000" w:rsidRDefault="00000000" w:rsidRPr="00000000" w14:paraId="0000060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Cantidad</w:t>
            </w:r>
            <w:r w:rsidDel="00000000" w:rsidR="00000000" w:rsidRPr="00000000">
              <w:rPr>
                <w:rtl w:val="0"/>
              </w:rPr>
            </w:r>
          </w:p>
        </w:tc>
        <w:tc>
          <w:tcPr>
            <w:shd w:fill="f1f5f9" w:val="clear"/>
          </w:tcPr>
          <w:p w:rsidR="00000000" w:rsidDel="00000000" w:rsidP="00000000" w:rsidRDefault="00000000" w:rsidRPr="00000000" w14:paraId="0000060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Unidad</w:t>
            </w:r>
            <w:r w:rsidDel="00000000" w:rsidR="00000000" w:rsidRPr="00000000">
              <w:rPr>
                <w:rtl w:val="0"/>
              </w:rPr>
            </w:r>
          </w:p>
        </w:tc>
        <w:tc>
          <w:tcPr>
            <w:shd w:fill="f1f5f9" w:val="clear"/>
          </w:tcPr>
          <w:p w:rsidR="00000000" w:rsidDel="00000000" w:rsidP="00000000" w:rsidRDefault="00000000" w:rsidRPr="00000000" w14:paraId="0000060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Costo Unitario</w:t>
            </w:r>
            <w:r w:rsidDel="00000000" w:rsidR="00000000" w:rsidRPr="00000000">
              <w:rPr>
                <w:rtl w:val="0"/>
              </w:rPr>
            </w:r>
          </w:p>
        </w:tc>
        <w:tc>
          <w:tcPr>
            <w:shd w:fill="f1f5f9" w:val="clear"/>
          </w:tcPr>
          <w:p w:rsidR="00000000" w:rsidDel="00000000" w:rsidP="00000000" w:rsidRDefault="00000000" w:rsidRPr="00000000" w14:paraId="0000060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Subtotal Imputado</w:t>
            </w:r>
            <w:r w:rsidDel="00000000" w:rsidR="00000000" w:rsidRPr="00000000">
              <w:rPr>
                <w:rtl w:val="0"/>
              </w:rPr>
            </w:r>
          </w:p>
        </w:tc>
        <w:tc>
          <w:tcPr>
            <w:shd w:fill="f1f5f9" w:val="clear"/>
          </w:tcPr>
          <w:p w:rsidR="00000000" w:rsidDel="00000000" w:rsidP="00000000" w:rsidRDefault="00000000" w:rsidRPr="00000000" w14:paraId="0000060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Fuente, Período y Justificación Técnica</w:t>
            </w:r>
            <w:r w:rsidDel="00000000" w:rsidR="00000000" w:rsidRPr="00000000">
              <w:rPr>
                <w:rtl w:val="0"/>
              </w:rPr>
            </w:r>
          </w:p>
        </w:tc>
      </w:tr>
      <w:tr>
        <w:trPr>
          <w:cantSplit w:val="1"/>
          <w:tblHeader w:val="0"/>
        </w:trPr>
        <w:tc>
          <w:tcPr/>
          <w:p w:rsidR="00000000" w:rsidDel="00000000" w:rsidP="00000000" w:rsidRDefault="00000000" w:rsidRPr="00000000" w14:paraId="0000060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Físico / Equipamiento</w:t>
            </w:r>
            <w:r w:rsidDel="00000000" w:rsidR="00000000" w:rsidRPr="00000000">
              <w:rPr>
                <w:rtl w:val="0"/>
              </w:rPr>
            </w:r>
          </w:p>
        </w:tc>
        <w:tc>
          <w:tcPr/>
          <w:p w:rsidR="00000000" w:rsidDel="00000000" w:rsidP="00000000" w:rsidRDefault="00000000" w:rsidRPr="00000000" w14:paraId="0000060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Estación Portátil HP Pavilion Gaming (Ryzen 5 / 16GB / GTX 1050 / Dual SSD)</w:t>
            </w:r>
            <w:r w:rsidDel="00000000" w:rsidR="00000000" w:rsidRPr="00000000">
              <w:rPr>
                <w:rtl w:val="0"/>
              </w:rPr>
            </w:r>
          </w:p>
        </w:tc>
        <w:tc>
          <w:tcPr/>
          <w:p w:rsidR="00000000" w:rsidDel="00000000" w:rsidP="00000000" w:rsidRDefault="00000000" w:rsidRPr="00000000" w14:paraId="0000060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2,5</w:t>
            </w:r>
            <w:r w:rsidDel="00000000" w:rsidR="00000000" w:rsidRPr="00000000">
              <w:rPr>
                <w:rtl w:val="0"/>
              </w:rPr>
            </w:r>
          </w:p>
        </w:tc>
        <w:tc>
          <w:tcPr/>
          <w:p w:rsidR="00000000" w:rsidDel="00000000" w:rsidP="00000000" w:rsidRDefault="00000000" w:rsidRPr="00000000" w14:paraId="0000060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Meses</w:t>
            </w:r>
            <w:r w:rsidDel="00000000" w:rsidR="00000000" w:rsidRPr="00000000">
              <w:rPr>
                <w:rtl w:val="0"/>
              </w:rPr>
            </w:r>
          </w:p>
        </w:tc>
        <w:tc>
          <w:tcPr/>
          <w:p w:rsidR="00000000" w:rsidDel="00000000" w:rsidP="00000000" w:rsidRDefault="00000000" w:rsidRPr="00000000" w14:paraId="0000060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27.222 / mes </w:t>
            </w:r>
            <w:r w:rsidDel="00000000" w:rsidR="00000000" w:rsidRPr="00000000">
              <w:rPr>
                <w:rFonts w:ascii="Times New Roman" w:cs="Times New Roman" w:eastAsia="Times New Roman" w:hAnsi="Times New Roman"/>
                <w:b w:val="0"/>
                <w:bCs w:val="0"/>
                <w:i w:val="1"/>
                <w:iCs w:val="1"/>
                <w:color w:val="0f172a"/>
                <w:sz w:val="15"/>
                <w:szCs w:val="15"/>
                <w:rtl w:val="0"/>
              </w:rPr>
              <w:t xml:space="preserve">(amortización)</w:t>
            </w:r>
            <w:r w:rsidDel="00000000" w:rsidR="00000000" w:rsidRPr="00000000">
              <w:rPr>
                <w:rtl w:val="0"/>
              </w:rPr>
            </w:r>
          </w:p>
        </w:tc>
        <w:tc>
          <w:tcPr/>
          <w:p w:rsidR="00000000" w:rsidDel="00000000" w:rsidP="00000000" w:rsidRDefault="00000000" w:rsidRPr="00000000" w14:paraId="0000060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68.000</w:t>
            </w:r>
            <w:r w:rsidDel="00000000" w:rsidR="00000000" w:rsidRPr="00000000">
              <w:rPr>
                <w:rtl w:val="0"/>
              </w:rPr>
            </w:r>
          </w:p>
        </w:tc>
        <w:tc>
          <w:tcPr/>
          <w:p w:rsidR="00000000" w:rsidDel="00000000" w:rsidP="00000000" w:rsidRDefault="00000000" w:rsidRPr="00000000" w14:paraId="0000060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Auditoría del sistema anfitrión. Amortización lineal (36 meses) sobre valor de activo de 980.000. Requerido para virtualización de servicios Docker, base de datos relacional y ejecución determinística de ingeniería.</w:t>
            </w:r>
            <w:r w:rsidDel="00000000" w:rsidR="00000000" w:rsidRPr="00000000">
              <w:rPr>
                <w:rtl w:val="0"/>
              </w:rPr>
            </w:r>
          </w:p>
        </w:tc>
      </w:tr>
      <w:tr>
        <w:trPr>
          <w:cantSplit w:val="1"/>
          <w:tblHeader w:val="0"/>
        </w:trPr>
        <w:tc>
          <w:tcPr/>
          <w:p w:rsidR="00000000" w:rsidDel="00000000" w:rsidP="00000000" w:rsidRDefault="00000000" w:rsidRPr="00000000" w14:paraId="0000061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Físico / Periférico</w:t>
            </w:r>
            <w:r w:rsidDel="00000000" w:rsidR="00000000" w:rsidRPr="00000000">
              <w:rPr>
                <w:rtl w:val="0"/>
              </w:rPr>
            </w:r>
          </w:p>
        </w:tc>
        <w:tc>
          <w:tcPr/>
          <w:p w:rsidR="00000000" w:rsidDel="00000000" w:rsidP="00000000" w:rsidRDefault="00000000" w:rsidRPr="00000000" w14:paraId="0000061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Mouse Óptico Ergonómico de Precisión</w:t>
            </w:r>
            <w:r w:rsidDel="00000000" w:rsidR="00000000" w:rsidRPr="00000000">
              <w:rPr>
                <w:rtl w:val="0"/>
              </w:rPr>
            </w:r>
          </w:p>
        </w:tc>
        <w:tc>
          <w:tcPr/>
          <w:p w:rsidR="00000000" w:rsidDel="00000000" w:rsidP="00000000" w:rsidRDefault="00000000" w:rsidRPr="00000000" w14:paraId="0000061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2,5</w:t>
            </w:r>
            <w:r w:rsidDel="00000000" w:rsidR="00000000" w:rsidRPr="00000000">
              <w:rPr>
                <w:rtl w:val="0"/>
              </w:rPr>
            </w:r>
          </w:p>
        </w:tc>
        <w:tc>
          <w:tcPr/>
          <w:p w:rsidR="00000000" w:rsidDel="00000000" w:rsidP="00000000" w:rsidRDefault="00000000" w:rsidRPr="00000000" w14:paraId="0000061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Meses</w:t>
            </w:r>
            <w:r w:rsidDel="00000000" w:rsidR="00000000" w:rsidRPr="00000000">
              <w:rPr>
                <w:rtl w:val="0"/>
              </w:rPr>
            </w:r>
          </w:p>
        </w:tc>
        <w:tc>
          <w:tcPr/>
          <w:p w:rsidR="00000000" w:rsidDel="00000000" w:rsidP="00000000" w:rsidRDefault="00000000" w:rsidRPr="00000000" w14:paraId="0000061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1.792 / mes </w:t>
            </w:r>
            <w:r w:rsidDel="00000000" w:rsidR="00000000" w:rsidRPr="00000000">
              <w:rPr>
                <w:rFonts w:ascii="Times New Roman" w:cs="Times New Roman" w:eastAsia="Times New Roman" w:hAnsi="Times New Roman"/>
                <w:b w:val="0"/>
                <w:bCs w:val="0"/>
                <w:i w:val="1"/>
                <w:iCs w:val="1"/>
                <w:color w:val="0f172a"/>
                <w:sz w:val="15"/>
                <w:szCs w:val="15"/>
                <w:rtl w:val="0"/>
              </w:rPr>
              <w:t xml:space="preserve">(amortización)</w:t>
            </w:r>
            <w:r w:rsidDel="00000000" w:rsidR="00000000" w:rsidRPr="00000000">
              <w:rPr>
                <w:rtl w:val="0"/>
              </w:rPr>
            </w:r>
          </w:p>
        </w:tc>
        <w:tc>
          <w:tcPr/>
          <w:p w:rsidR="00000000" w:rsidDel="00000000" w:rsidP="00000000" w:rsidRDefault="00000000" w:rsidRPr="00000000" w14:paraId="0000061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4.500</w:t>
            </w:r>
            <w:r w:rsidDel="00000000" w:rsidR="00000000" w:rsidRPr="00000000">
              <w:rPr>
                <w:rtl w:val="0"/>
              </w:rPr>
            </w:r>
          </w:p>
        </w:tc>
        <w:tc>
          <w:tcPr/>
          <w:p w:rsidR="00000000" w:rsidDel="00000000" w:rsidP="00000000" w:rsidRDefault="00000000" w:rsidRPr="00000000" w14:paraId="0000061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Amortización lineal (12 meses) sobre valor de reposición de21.500. Requerido para ergonomía y precisión en interacción con telemetría.</w:t>
            </w:r>
            <w:r w:rsidDel="00000000" w:rsidR="00000000" w:rsidRPr="00000000">
              <w:rPr>
                <w:rtl w:val="0"/>
              </w:rPr>
            </w:r>
          </w:p>
        </w:tc>
      </w:tr>
      <w:tr>
        <w:trPr>
          <w:cantSplit w:val="1"/>
          <w:tblHeader w:val="0"/>
        </w:trPr>
        <w:tc>
          <w:tcPr/>
          <w:p w:rsidR="00000000" w:rsidDel="00000000" w:rsidP="00000000" w:rsidRDefault="00000000" w:rsidRPr="00000000" w14:paraId="0000061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Físico / Infraestructura</w:t>
            </w:r>
            <w:r w:rsidDel="00000000" w:rsidR="00000000" w:rsidRPr="00000000">
              <w:rPr>
                <w:rtl w:val="0"/>
              </w:rPr>
            </w:r>
          </w:p>
        </w:tc>
        <w:tc>
          <w:tcPr/>
          <w:p w:rsidR="00000000" w:rsidDel="00000000" w:rsidP="00000000" w:rsidRDefault="00000000" w:rsidRPr="00000000" w14:paraId="0000061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Conectividad Fibra Óptica Claro 300 Mbps</w:t>
            </w:r>
            <w:r w:rsidDel="00000000" w:rsidR="00000000" w:rsidRPr="00000000">
              <w:rPr>
                <w:rtl w:val="0"/>
              </w:rPr>
            </w:r>
          </w:p>
        </w:tc>
        <w:tc>
          <w:tcPr/>
          <w:p w:rsidR="00000000" w:rsidDel="00000000" w:rsidP="00000000" w:rsidRDefault="00000000" w:rsidRPr="00000000" w14:paraId="0000061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2,5</w:t>
            </w:r>
            <w:r w:rsidDel="00000000" w:rsidR="00000000" w:rsidRPr="00000000">
              <w:rPr>
                <w:rtl w:val="0"/>
              </w:rPr>
            </w:r>
          </w:p>
        </w:tc>
        <w:tc>
          <w:tcPr/>
          <w:p w:rsidR="00000000" w:rsidDel="00000000" w:rsidP="00000000" w:rsidRDefault="00000000" w:rsidRPr="00000000" w14:paraId="0000061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Meses</w:t>
            </w:r>
            <w:r w:rsidDel="00000000" w:rsidR="00000000" w:rsidRPr="00000000">
              <w:rPr>
                <w:rtl w:val="0"/>
              </w:rPr>
            </w:r>
          </w:p>
        </w:tc>
        <w:tc>
          <w:tcPr/>
          <w:p w:rsidR="00000000" w:rsidDel="00000000" w:rsidP="00000000" w:rsidRDefault="00000000" w:rsidRPr="00000000" w14:paraId="0000061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20.519 / mes</w:t>
            </w:r>
            <w:r w:rsidDel="00000000" w:rsidR="00000000" w:rsidRPr="00000000">
              <w:rPr>
                <w:rtl w:val="0"/>
              </w:rPr>
            </w:r>
          </w:p>
        </w:tc>
        <w:tc>
          <w:tcPr/>
          <w:p w:rsidR="00000000" w:rsidDel="00000000" w:rsidP="00000000" w:rsidRDefault="00000000" w:rsidRPr="00000000" w14:paraId="0000061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51.297</w:t>
            </w:r>
            <w:r w:rsidDel="00000000" w:rsidR="00000000" w:rsidRPr="00000000">
              <w:rPr>
                <w:rtl w:val="0"/>
              </w:rPr>
            </w:r>
          </w:p>
        </w:tc>
        <w:tc>
          <w:tcPr/>
          <w:p w:rsidR="00000000" w:rsidDel="00000000" w:rsidP="00000000" w:rsidRDefault="00000000" w:rsidRPr="00000000" w14:paraId="0000061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Factura Claro N.° 1340-22788123 (08/09/2026). Imputación al 100% por ser insumo digital crítico para repositorios, Docker Hub y pruebas de APIs.</w:t>
            </w:r>
            <w:r w:rsidDel="00000000" w:rsidR="00000000" w:rsidRPr="00000000">
              <w:rPr>
                <w:rtl w:val="0"/>
              </w:rPr>
            </w:r>
          </w:p>
        </w:tc>
      </w:tr>
      <w:tr>
        <w:trPr>
          <w:cantSplit w:val="1"/>
          <w:tblHeader w:val="0"/>
        </w:trPr>
        <w:tc>
          <w:tcPr/>
          <w:p w:rsidR="00000000" w:rsidDel="00000000" w:rsidP="00000000" w:rsidRDefault="00000000" w:rsidRPr="00000000" w14:paraId="0000061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Físico / Servicios</w:t>
            </w:r>
            <w:r w:rsidDel="00000000" w:rsidR="00000000" w:rsidRPr="00000000">
              <w:rPr>
                <w:rtl w:val="0"/>
              </w:rPr>
            </w:r>
          </w:p>
        </w:tc>
        <w:tc>
          <w:tcPr/>
          <w:p w:rsidR="00000000" w:rsidDel="00000000" w:rsidP="00000000" w:rsidRDefault="00000000" w:rsidRPr="00000000" w14:paraId="0000061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Suministro Eléctrico Estación de Cómputo (EMSA)</w:t>
            </w:r>
            <w:r w:rsidDel="00000000" w:rsidR="00000000" w:rsidRPr="00000000">
              <w:rPr>
                <w:rtl w:val="0"/>
              </w:rPr>
            </w:r>
          </w:p>
        </w:tc>
        <w:tc>
          <w:tcPr/>
          <w:p w:rsidR="00000000" w:rsidDel="00000000" w:rsidP="00000000" w:rsidRDefault="00000000" w:rsidRPr="00000000" w14:paraId="0000062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2,5</w:t>
            </w:r>
            <w:r w:rsidDel="00000000" w:rsidR="00000000" w:rsidRPr="00000000">
              <w:rPr>
                <w:rtl w:val="0"/>
              </w:rPr>
            </w:r>
          </w:p>
        </w:tc>
        <w:tc>
          <w:tcPr/>
          <w:p w:rsidR="00000000" w:rsidDel="00000000" w:rsidP="00000000" w:rsidRDefault="00000000" w:rsidRPr="00000000" w14:paraId="0000062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Meses</w:t>
            </w:r>
            <w:r w:rsidDel="00000000" w:rsidR="00000000" w:rsidRPr="00000000">
              <w:rPr>
                <w:rtl w:val="0"/>
              </w:rPr>
            </w:r>
          </w:p>
        </w:tc>
        <w:tc>
          <w:tcPr/>
          <w:p w:rsidR="00000000" w:rsidDel="00000000" w:rsidP="00000000" w:rsidRDefault="00000000" w:rsidRPr="00000000" w14:paraId="0000062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13.188 / mes </w:t>
            </w:r>
            <w:r w:rsidDel="00000000" w:rsidR="00000000" w:rsidRPr="00000000">
              <w:rPr>
                <w:rFonts w:ascii="Times New Roman" w:cs="Times New Roman" w:eastAsia="Times New Roman" w:hAnsi="Times New Roman"/>
                <w:b w:val="0"/>
                <w:bCs w:val="0"/>
                <w:i w:val="1"/>
                <w:iCs w:val="1"/>
                <w:color w:val="0f172a"/>
                <w:sz w:val="15"/>
                <w:szCs w:val="15"/>
                <w:rtl w:val="0"/>
              </w:rPr>
              <w:t xml:space="preserve">(50%)</w:t>
            </w:r>
            <w:r w:rsidDel="00000000" w:rsidR="00000000" w:rsidRPr="00000000">
              <w:rPr>
                <w:rtl w:val="0"/>
              </w:rPr>
            </w:r>
          </w:p>
        </w:tc>
        <w:tc>
          <w:tcPr/>
          <w:p w:rsidR="00000000" w:rsidDel="00000000" w:rsidP="00000000" w:rsidRDefault="00000000" w:rsidRPr="00000000" w14:paraId="0000062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32.969</w:t>
            </w:r>
            <w:r w:rsidDel="00000000" w:rsidR="00000000" w:rsidRPr="00000000">
              <w:rPr>
                <w:rtl w:val="0"/>
              </w:rPr>
            </w:r>
          </w:p>
        </w:tc>
        <w:tc>
          <w:tcPr/>
          <w:p w:rsidR="00000000" w:rsidDel="00000000" w:rsidP="00000000" w:rsidRDefault="00000000" w:rsidRPr="00000000" w14:paraId="0000062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Factura EMSA N.° B.0005.35556770 (Vto. 05/10/2026). Imputación al 50% del consumo del inmueble para alimentación del equipamiento del proyecto.</w:t>
            </w:r>
            <w:r w:rsidDel="00000000" w:rsidR="00000000" w:rsidRPr="00000000">
              <w:rPr>
                <w:rtl w:val="0"/>
              </w:rPr>
            </w:r>
          </w:p>
        </w:tc>
      </w:tr>
      <w:tr>
        <w:trPr>
          <w:cantSplit w:val="1"/>
          <w:tblHeader w:val="0"/>
        </w:trPr>
        <w:tc>
          <w:tcPr/>
          <w:p w:rsidR="00000000" w:rsidDel="00000000" w:rsidP="00000000" w:rsidRDefault="00000000" w:rsidRPr="00000000" w14:paraId="0000062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Físico / Servicios</w:t>
            </w:r>
            <w:r w:rsidDel="00000000" w:rsidR="00000000" w:rsidRPr="00000000">
              <w:rPr>
                <w:rtl w:val="0"/>
              </w:rPr>
            </w:r>
          </w:p>
        </w:tc>
        <w:tc>
          <w:tcPr/>
          <w:p w:rsidR="00000000" w:rsidDel="00000000" w:rsidP="00000000" w:rsidRDefault="00000000" w:rsidRPr="00000000" w14:paraId="0000062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Mantenimiento Edilicio y Agua (Consorcio Celestino XV)</w:t>
            </w:r>
            <w:r w:rsidDel="00000000" w:rsidR="00000000" w:rsidRPr="00000000">
              <w:rPr>
                <w:rtl w:val="0"/>
              </w:rPr>
            </w:r>
          </w:p>
        </w:tc>
        <w:tc>
          <w:tcPr/>
          <w:p w:rsidR="00000000" w:rsidDel="00000000" w:rsidP="00000000" w:rsidRDefault="00000000" w:rsidRPr="00000000" w14:paraId="0000062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2,5</w:t>
            </w:r>
            <w:r w:rsidDel="00000000" w:rsidR="00000000" w:rsidRPr="00000000">
              <w:rPr>
                <w:rtl w:val="0"/>
              </w:rPr>
            </w:r>
          </w:p>
        </w:tc>
        <w:tc>
          <w:tcPr/>
          <w:p w:rsidR="00000000" w:rsidDel="00000000" w:rsidP="00000000" w:rsidRDefault="00000000" w:rsidRPr="00000000" w14:paraId="0000062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Meses</w:t>
            </w:r>
            <w:r w:rsidDel="00000000" w:rsidR="00000000" w:rsidRPr="00000000">
              <w:rPr>
                <w:rtl w:val="0"/>
              </w:rPr>
            </w:r>
          </w:p>
        </w:tc>
        <w:tc>
          <w:tcPr/>
          <w:p w:rsidR="00000000" w:rsidDel="00000000" w:rsidP="00000000" w:rsidRDefault="00000000" w:rsidRPr="00000000" w14:paraId="0000062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28.376 / mes </w:t>
            </w:r>
            <w:r w:rsidDel="00000000" w:rsidR="00000000" w:rsidRPr="00000000">
              <w:rPr>
                <w:rFonts w:ascii="Times New Roman" w:cs="Times New Roman" w:eastAsia="Times New Roman" w:hAnsi="Times New Roman"/>
                <w:b w:val="0"/>
                <w:bCs w:val="0"/>
                <w:i w:val="1"/>
                <w:iCs w:val="1"/>
                <w:color w:val="0f172a"/>
                <w:sz w:val="15"/>
                <w:szCs w:val="15"/>
                <w:rtl w:val="0"/>
              </w:rPr>
              <w:t xml:space="preserve">(50%)</w:t>
            </w:r>
            <w:r w:rsidDel="00000000" w:rsidR="00000000" w:rsidRPr="00000000">
              <w:rPr>
                <w:rtl w:val="0"/>
              </w:rPr>
            </w:r>
          </w:p>
        </w:tc>
        <w:tc>
          <w:tcPr/>
          <w:p w:rsidR="00000000" w:rsidDel="00000000" w:rsidP="00000000" w:rsidRDefault="00000000" w:rsidRPr="00000000" w14:paraId="0000062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70.941</w:t>
            </w:r>
            <w:r w:rsidDel="00000000" w:rsidR="00000000" w:rsidRPr="00000000">
              <w:rPr>
                <w:rtl w:val="0"/>
              </w:rPr>
            </w:r>
          </w:p>
        </w:tc>
        <w:tc>
          <w:tcPr/>
          <w:p w:rsidR="00000000" w:rsidDel="00000000" w:rsidP="00000000" w:rsidRDefault="00000000" w:rsidRPr="00000000" w14:paraId="0000062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Cupón Adm. Val &amp; Wall N.° 000286 (Vto. 10/09/2026). Imputación al 50% del espacio de ingeniería con alquiler 0.</w:t>
            </w:r>
            <w:r w:rsidDel="00000000" w:rsidR="00000000" w:rsidRPr="00000000">
              <w:rPr>
                <w:rtl w:val="0"/>
              </w:rPr>
            </w:r>
          </w:p>
        </w:tc>
      </w:tr>
      <w:tr>
        <w:trPr>
          <w:cantSplit w:val="1"/>
          <w:tblHeader w:val="0"/>
        </w:trPr>
        <w:tc>
          <w:tcPr/>
          <w:p w:rsidR="00000000" w:rsidDel="00000000" w:rsidP="00000000" w:rsidRDefault="00000000" w:rsidRPr="00000000" w14:paraId="0000062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Total Recursos Físicos</w:t>
            </w:r>
            <w:r w:rsidDel="00000000" w:rsidR="00000000" w:rsidRPr="00000000">
              <w:rPr>
                <w:rtl w:val="0"/>
              </w:rPr>
            </w:r>
          </w:p>
        </w:tc>
        <w:tc>
          <w:tcPr/>
          <w:p w:rsidR="00000000" w:rsidDel="00000000" w:rsidP="00000000" w:rsidRDefault="00000000" w:rsidRPr="00000000" w14:paraId="0000062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Equipamiento duradero amortizado y servicios reales del proyecto</w:t>
            </w:r>
            <w:r w:rsidDel="00000000" w:rsidR="00000000" w:rsidRPr="00000000">
              <w:rPr>
                <w:rtl w:val="0"/>
              </w:rPr>
            </w:r>
          </w:p>
        </w:tc>
        <w:tc>
          <w:tcPr/>
          <w:p w:rsidR="00000000" w:rsidDel="00000000" w:rsidP="00000000" w:rsidRDefault="00000000" w:rsidRPr="00000000" w14:paraId="0000062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w:t>
            </w:r>
            <w:r w:rsidDel="00000000" w:rsidR="00000000" w:rsidRPr="00000000">
              <w:rPr>
                <w:rtl w:val="0"/>
              </w:rPr>
            </w:r>
          </w:p>
        </w:tc>
        <w:tc>
          <w:tcPr/>
          <w:p w:rsidR="00000000" w:rsidDel="00000000" w:rsidP="00000000" w:rsidRDefault="00000000" w:rsidRPr="00000000" w14:paraId="0000062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w:t>
            </w:r>
            <w:r w:rsidDel="00000000" w:rsidR="00000000" w:rsidRPr="00000000">
              <w:rPr>
                <w:rtl w:val="0"/>
              </w:rPr>
            </w:r>
          </w:p>
        </w:tc>
        <w:tc>
          <w:tcPr/>
          <w:p w:rsidR="00000000" w:rsidDel="00000000" w:rsidP="00000000" w:rsidRDefault="00000000" w:rsidRPr="00000000" w14:paraId="0000063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w:t>
            </w:r>
            <w:r w:rsidDel="00000000" w:rsidR="00000000" w:rsidRPr="00000000">
              <w:rPr>
                <w:rtl w:val="0"/>
              </w:rPr>
            </w:r>
          </w:p>
        </w:tc>
        <w:tc>
          <w:tcPr/>
          <w:p w:rsidR="00000000" w:rsidDel="00000000" w:rsidP="00000000" w:rsidRDefault="00000000" w:rsidRPr="00000000" w14:paraId="0000063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227.707</w:t>
            </w:r>
            <w:r w:rsidDel="00000000" w:rsidR="00000000" w:rsidRPr="00000000">
              <w:rPr>
                <w:rtl w:val="0"/>
              </w:rPr>
            </w:r>
          </w:p>
        </w:tc>
        <w:tc>
          <w:tcPr/>
          <w:p w:rsidR="00000000" w:rsidDel="00000000" w:rsidP="00000000" w:rsidRDefault="00000000" w:rsidRPr="00000000" w14:paraId="0000063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Valor total de activos físicos puestos a disposición: 1.001.500 ARS. Costo directo efectivo imputado:227.707 ARS.</w:t>
            </w:r>
            <w:r w:rsidDel="00000000" w:rsidR="00000000" w:rsidRPr="00000000">
              <w:rPr>
                <w:rtl w:val="0"/>
              </w:rPr>
            </w:r>
          </w:p>
        </w:tc>
      </w:tr>
    </w:tbl>
    <w:p w:rsidR="00000000" w:rsidDel="00000000" w:rsidP="00000000" w:rsidRDefault="00000000" w:rsidRPr="00000000" w14:paraId="00000633">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Nota. Tabla formulada en estricta concordancia con la estructura canónica del libro de trabajo de formulación del proyecto (Hoja «Recursos»).</w:t>
      </w:r>
      <w:r w:rsidDel="00000000" w:rsidR="00000000" w:rsidRPr="00000000">
        <w:rPr>
          <w:rtl w:val="0"/>
        </w:rPr>
      </w:r>
    </w:p>
    <w:p w:rsidR="00000000" w:rsidDel="00000000" w:rsidP="00000000" w:rsidRDefault="00000000" w:rsidRPr="00000000" w14:paraId="00000634">
      <w:pPr>
        <w:pStyle w:val="Heading2"/>
        <w:keepNext w:val="1"/>
        <w:rPr/>
      </w:pPr>
      <w:r w:rsidDel="00000000" w:rsidR="00000000" w:rsidRPr="00000000">
        <w:rPr>
          <w:rFonts w:ascii="Times New Roman" w:cs="Times New Roman" w:eastAsia="Times New Roman" w:hAnsi="Times New Roman"/>
          <w:b w:val="1"/>
          <w:bCs w:val="1"/>
          <w:i w:val="0"/>
          <w:iCs w:val="0"/>
          <w:color w:val="0f172a"/>
          <w:sz w:val="28"/>
          <w:szCs w:val="28"/>
          <w:rtl w:val="0"/>
        </w:rPr>
        <w:t xml:space="preserve">X.3 · Recursos Financieros</w:t>
      </w:r>
      <w:r w:rsidDel="00000000" w:rsidR="00000000" w:rsidRPr="00000000">
        <w:rPr>
          <w:rtl w:val="0"/>
        </w:rPr>
      </w:r>
    </w:p>
    <w:p w:rsidR="00000000" w:rsidDel="00000000" w:rsidP="00000000" w:rsidRDefault="00000000" w:rsidRPr="00000000" w14:paraId="00000635">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dimensionamiento financiero y la evaluación de viabilidad económica del proyecto CODI consolidan los compromisos de recursos humanos (Sec. X.1), el inventario físico y los servicios acreditados por factura (Sec. X.2), articulándolos con las directrices estratégicas del modelo de negocio B2B Enterprise (Capítulo IV, Sec. IV.1). La inversión inicial requerida para la formulación, diseño, verificación y empaquetamiento del Producto Mínimo Viable (MVP) asciende a un total consolidado de </w:t>
      </w:r>
      <w:r w:rsidDel="00000000" w:rsidR="00000000" w:rsidRPr="00000000">
        <w:rPr>
          <w:rFonts w:ascii="Times New Roman" w:cs="Times New Roman" w:eastAsia="Times New Roman" w:hAnsi="Times New Roman"/>
          <w:b w:val="1"/>
          <w:bCs w:val="1"/>
          <w:i w:val="0"/>
          <w:iCs w:val="0"/>
          <w:color w:val="0f172a"/>
          <w:sz w:val="24"/>
          <w:szCs w:val="24"/>
          <w:rtl w:val="0"/>
        </w:rPr>
        <w:t xml:space="preserve">5.247.429 ARS</w:t>
      </w:r>
      <w:r w:rsidDel="00000000" w:rsidR="00000000" w:rsidRPr="00000000">
        <w:rPr>
          <w:rFonts w:ascii="Times New Roman" w:cs="Times New Roman" w:eastAsia="Times New Roman" w:hAnsi="Times New Roman"/>
          <w:b w:val="0"/>
          <w:bCs w:val="0"/>
          <w:i w:val="0"/>
          <w:iCs w:val="0"/>
          <w:color w:val="0f172a"/>
          <w:sz w:val="24"/>
          <w:szCs w:val="24"/>
          <w:rtl w:val="0"/>
        </w:rPr>
        <w:t xml:space="preserve"> (aproximadamente </w:t>
      </w:r>
      <w:r w:rsidDel="00000000" w:rsidR="00000000" w:rsidRPr="00000000">
        <w:rPr>
          <w:rFonts w:ascii="Times New Roman" w:cs="Times New Roman" w:eastAsia="Times New Roman" w:hAnsi="Times New Roman"/>
          <w:b w:val="1"/>
          <w:bCs w:val="1"/>
          <w:i w:val="0"/>
          <w:iCs w:val="0"/>
          <w:color w:val="0f172a"/>
          <w:sz w:val="24"/>
          <w:szCs w:val="24"/>
          <w:rtl w:val="0"/>
        </w:rPr>
        <w:t xml:space="preserve">USD 3.398,68</w:t>
      </w:r>
      <w:r w:rsidDel="00000000" w:rsidR="00000000" w:rsidRPr="00000000">
        <w:rPr>
          <w:rFonts w:ascii="Times New Roman" w:cs="Times New Roman" w:eastAsia="Times New Roman" w:hAnsi="Times New Roman"/>
          <w:b w:val="0"/>
          <w:bCs w:val="0"/>
          <w:i w:val="0"/>
          <w:iCs w:val="0"/>
          <w:color w:val="0f172a"/>
          <w:sz w:val="24"/>
          <w:szCs w:val="24"/>
          <w:rtl w:val="0"/>
        </w:rPr>
        <w:t xml:space="preserve"> al tipo de cambio minorista vendedor de referencia del Banco Central de la República Argentina de </w:t>
      </w:r>
      <w:r w:rsidDel="00000000" w:rsidR="00000000" w:rsidRPr="00000000">
        <w:rPr>
          <w:rFonts w:ascii="Times New Roman" w:cs="Times New Roman" w:eastAsia="Times New Roman" w:hAnsi="Times New Roman"/>
          <w:b w:val="1"/>
          <w:bCs w:val="1"/>
          <w:i w:val="0"/>
          <w:iCs w:val="0"/>
          <w:color w:val="0f172a"/>
          <w:sz w:val="24"/>
          <w:szCs w:val="24"/>
          <w:rtl w:val="0"/>
        </w:rPr>
        <w:t xml:space="preserve">1.543,96 ARS/USD</w:t>
      </w:r>
      <w:r w:rsidDel="00000000" w:rsidR="00000000" w:rsidRPr="00000000">
        <w:rPr>
          <w:rFonts w:ascii="Times New Roman" w:cs="Times New Roman" w:eastAsia="Times New Roman" w:hAnsi="Times New Roman"/>
          <w:b w:val="0"/>
          <w:bCs w:val="0"/>
          <w:i w:val="0"/>
          <w:iCs w:val="0"/>
          <w:color w:val="0f172a"/>
          <w:sz w:val="24"/>
          <w:szCs w:val="24"/>
          <w:rtl w:val="0"/>
        </w:rPr>
        <w:t xml:space="preserve"> vigente al 1 de octubre de 2026, cierre 15:00 hs; cotización BCRA Compra: 1.490,41 / Venta:1.543,96), compuesto por un 85,77% de mano de obra técnica especializada capitalizada, un 4,34% de infraestructura física y servicios reales del período, y un 9,89% de gastos de formalización legal, registro de propiedad intelectual, identidad digital corporativa y plataformas de integración e inteligencia artificial asistida para el desarrollo. Se evalúa y descarta un modelo de explotación comercial sustentado en la absorción centralizada de tokens de inferencia de IA para los usuarios finales por inducir un riesgo financiero variable ilimitado para la startup y colisionar con el secreto industrial aeroespacial, adoptando en su lugar una arquitectura híbrida </w:t>
      </w:r>
      <w:r w:rsidDel="00000000" w:rsidR="00000000" w:rsidRPr="00000000">
        <w:rPr>
          <w:rFonts w:ascii="Times New Roman" w:cs="Times New Roman" w:eastAsia="Times New Roman" w:hAnsi="Times New Roman"/>
          <w:b w:val="0"/>
          <w:bCs w:val="0"/>
          <w:i w:val="1"/>
          <w:iCs w:val="1"/>
          <w:color w:val="0f172a"/>
          <w:sz w:val="24"/>
          <w:szCs w:val="24"/>
          <w:rtl w:val="0"/>
        </w:rPr>
        <w:t xml:space="preserve">Bring Your Own Key</w:t>
      </w:r>
      <w:r w:rsidDel="00000000" w:rsidR="00000000" w:rsidRPr="00000000">
        <w:rPr>
          <w:rFonts w:ascii="Times New Roman" w:cs="Times New Roman" w:eastAsia="Times New Roman" w:hAnsi="Times New Roman"/>
          <w:b w:val="0"/>
          <w:bCs w:val="0"/>
          <w:i w:val="0"/>
          <w:iCs w:val="0"/>
          <w:color w:val="0f172a"/>
          <w:sz w:val="24"/>
          <w:szCs w:val="24"/>
          <w:rtl w:val="0"/>
        </w:rPr>
        <w:t xml:space="preserve"> (BYOK) y modelos locales abiertos que reduce el costo marginal directo de tokens a cero (0 USD) para CODI y viabiliza el punto de equilibrio operativo con la colocación de una única licencia anual. De conformidad con las directrices metodológicas de la formulación del proyecto integrador, los valores de costo horario, equipamiento y servicios se derivan de evidencias empíricas y comprobantes auditados, mientras que las proyecciones de explotación comercial se formulan y declaran rigurosamente como </w:t>
      </w:r>
      <w:r w:rsidDel="00000000" w:rsidR="00000000" w:rsidRPr="00000000">
        <w:rPr>
          <w:rFonts w:ascii="Times New Roman" w:cs="Times New Roman" w:eastAsia="Times New Roman" w:hAnsi="Times New Roman"/>
          <w:b w:val="1"/>
          <w:bCs w:val="1"/>
          <w:i w:val="0"/>
          <w:iCs w:val="0"/>
          <w:color w:val="0f172a"/>
          <w:sz w:val="24"/>
          <w:szCs w:val="24"/>
          <w:rtl w:val="0"/>
        </w:rPr>
        <w:t xml:space="preserve">órdenes de magnitud orientativos</w:t>
      </w:r>
      <w:r w:rsidDel="00000000" w:rsidR="00000000" w:rsidRPr="00000000">
        <w:rPr>
          <w:rFonts w:ascii="Times New Roman" w:cs="Times New Roman" w:eastAsia="Times New Roman" w:hAnsi="Times New Roman"/>
          <w:b w:val="0"/>
          <w:bCs w:val="0"/>
          <w:i w:val="0"/>
          <w:iCs w:val="0"/>
          <w:color w:val="0f172a"/>
          <w:sz w:val="24"/>
          <w:szCs w:val="24"/>
          <w:rtl w:val="0"/>
        </w:rPr>
        <w:t xml:space="preserve"> y no como mediciones absolutas.</w:t>
      </w:r>
      <w:r w:rsidDel="00000000" w:rsidR="00000000" w:rsidRPr="00000000">
        <w:rPr>
          <w:rtl w:val="0"/>
        </w:rPr>
      </w:r>
    </w:p>
    <w:p w:rsidR="00000000" w:rsidDel="00000000" w:rsidP="00000000" w:rsidRDefault="00000000" w:rsidRPr="00000000" w14:paraId="00000636">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Inversión Inicial Consolidada del Proyecto (I_0)</w:t>
      </w:r>
      <w:r w:rsidDel="00000000" w:rsidR="00000000" w:rsidRPr="00000000">
        <w:rPr>
          <w:rtl w:val="0"/>
        </w:rPr>
      </w:r>
    </w:p>
    <w:p w:rsidR="00000000" w:rsidDel="00000000" w:rsidP="00000000" w:rsidRDefault="00000000" w:rsidRPr="00000000" w14:paraId="00000637">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La estructura de capital inicial exigida para culminar el ciclo de desarrollo de diez semanas (Semanas 5 a 14) y disponer de un prototipo ejecutable transferible a clientes institucionales se organiza en tres rubros presupuestarios normalizados, desglosados en sus componentes técnicos, operativos y legales:</w:t>
      </w:r>
      <w:r w:rsidDel="00000000" w:rsidR="00000000" w:rsidRPr="00000000">
        <w:rPr>
          <w:rtl w:val="0"/>
        </w:rPr>
      </w:r>
    </w:p>
    <w:p w:rsidR="00000000" w:rsidDel="00000000" w:rsidP="00000000" w:rsidRDefault="00000000" w:rsidRPr="00000000" w14:paraId="00000638">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1. Mano de Obra Directa de Ingeniería de Software (Recursos Humanos)</w:t>
      </w:r>
      <w:r w:rsidDel="00000000" w:rsidR="00000000" w:rsidRPr="00000000">
        <w:rPr>
          <w:rtl w:val="0"/>
        </w:rPr>
      </w:r>
    </w:p>
    <w:p w:rsidR="00000000" w:rsidDel="00000000" w:rsidP="00000000" w:rsidRDefault="00000000" w:rsidRPr="00000000" w14:paraId="00000639">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Comprende las 190 horas-persona comprometidas bajo autoría individual a la tarifa de referencia de Arquitectura de Software y Especialista en Inteligencia Artificial Senior (23.687,50 / hora \approx 23.688 / hora) establecida a partir de la Encuesta Sysarmy 2026.01 (Sec. X.1). Este rubro absorbe:</w:t>
      </w:r>
      <w:r w:rsidDel="00000000" w:rsidR="00000000" w:rsidRPr="00000000">
        <w:rPr>
          <w:rtl w:val="0"/>
        </w:rPr>
      </w:r>
    </w:p>
    <w:p w:rsidR="00000000" w:rsidDel="00000000" w:rsidP="00000000" w:rsidRDefault="00000000" w:rsidRPr="00000000" w14:paraId="000006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Desarrollo del Prototipo MVP (WBS 1.0 a 4.6)</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184 horas-persona de demanda técnica directa, totalizando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4.358.500 ARS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(USD 2.822,94).</w:t>
      </w:r>
      <w:r w:rsidDel="00000000" w:rsidR="00000000" w:rsidRPr="00000000">
        <w:rPr>
          <w:rtl w:val="0"/>
        </w:rPr>
      </w:r>
    </w:p>
    <w:p w:rsidR="00000000" w:rsidDel="00000000" w:rsidP="00000000" w:rsidRDefault="00000000" w:rsidRPr="00000000" w14:paraId="000006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Reserva de Contingencia Técnica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6 horas-persona asignadas formalmente a la cláusula de contingencia operativa del cronograma (Capítulo V, Sec. V.4), totalizando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142.125 ARS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(USD 92,05).</w:t>
      </w:r>
      <w:r w:rsidDel="00000000" w:rsidR="00000000" w:rsidRPr="00000000">
        <w:rPr>
          <w:rtl w:val="0"/>
        </w:rPr>
      </w:r>
    </w:p>
    <w:p w:rsidR="00000000" w:rsidDel="00000000" w:rsidP="00000000" w:rsidRDefault="00000000" w:rsidRPr="00000000" w14:paraId="000006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Subtotal Mano de Obra Directa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4.500.625 ARS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USD 2.914,99</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85,77% de la inversión inicial). Se descarta imputar este esfuerzo con costo nulo por tratarse de un desarrollo de grado, dado que los principios contables exigen reflejar el costo de reposición del talento especializado para una Empresa de Base Tecnológica (EBT).</w:t>
      </w:r>
      <w:r w:rsidDel="00000000" w:rsidR="00000000" w:rsidRPr="00000000">
        <w:rPr>
          <w:rtl w:val="0"/>
        </w:rPr>
      </w:r>
    </w:p>
    <w:p w:rsidR="00000000" w:rsidDel="00000000" w:rsidP="00000000" w:rsidRDefault="00000000" w:rsidRPr="00000000" w14:paraId="0000063D">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2. Equipamiento Duradero Amortizado e Infraestructura de Servicios (Recursos Físicos y Materiales)</w:t>
      </w:r>
      <w:r w:rsidDel="00000000" w:rsidR="00000000" w:rsidRPr="00000000">
        <w:rPr>
          <w:rtl w:val="0"/>
        </w:rPr>
      </w:r>
    </w:p>
    <w:p w:rsidR="00000000" w:rsidDel="00000000" w:rsidP="00000000" w:rsidRDefault="00000000" w:rsidRPr="00000000" w14:paraId="0000063E">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Integra la valorización contable de los medios físicos indispensables utilizados durante el período de desarrollo de 2,5 meses (Sec. X.2):</w:t>
      </w:r>
      <w:r w:rsidDel="00000000" w:rsidR="00000000" w:rsidRPr="00000000">
        <w:rPr>
          <w:rtl w:val="0"/>
        </w:rPr>
      </w:r>
    </w:p>
    <w:p w:rsidR="00000000" w:rsidDel="00000000" w:rsidP="00000000" w:rsidRDefault="00000000" w:rsidRPr="00000000" w14:paraId="000006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Amortización Contable Lineal de Equipamiento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Desgaste del equipamiento de computación de alto rendimiento (estación portátil HP Pavilion Gaming y periféricos ergonómicos) calculado sobre una vida útil fiscal de 36 meses (29.000 mensuales), totalizando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72.500 ARS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(USD 46,96).</w:t>
      </w:r>
      <w:r w:rsidDel="00000000" w:rsidR="00000000" w:rsidRPr="00000000">
        <w:rPr>
          <w:rtl w:val="0"/>
        </w:rPr>
      </w:r>
    </w:p>
    <w:p w:rsidR="00000000" w:rsidDel="00000000" w:rsidP="00000000" w:rsidRDefault="00000000" w:rsidRPr="00000000" w14:paraId="000006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Servicios Públicos Acreditados por Factura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Imputación estricta de comprobantes reales del período agosto-septiembre de 2026 por conectividad simétrica de fibra óptica Claro 300 Mbps al 100% (51.297 ARS), suministro de energía eléctrica EMSA al 50% (32.969 ARS) y expensas comunes edilicias con provisión de agua al 50% (70.941 ARS), consolidando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155.207 ARS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(USD 100,53).</w:t>
      </w:r>
      <w:r w:rsidDel="00000000" w:rsidR="00000000" w:rsidRPr="00000000">
        <w:rPr>
          <w:rtl w:val="0"/>
        </w:rPr>
      </w:r>
    </w:p>
    <w:p w:rsidR="00000000" w:rsidDel="00000000" w:rsidP="00000000" w:rsidRDefault="00000000" w:rsidRPr="00000000" w14:paraId="000006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Subtotal Recursos Físicos y Materiales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227.707 ARS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USD 147,48</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4,34% de la inversión inicial).</w:t>
      </w:r>
      <w:r w:rsidDel="00000000" w:rsidR="00000000" w:rsidRPr="00000000">
        <w:rPr>
          <w:rtl w:val="0"/>
        </w:rPr>
      </w:r>
    </w:p>
    <w:p w:rsidR="00000000" w:rsidDel="00000000" w:rsidP="00000000" w:rsidRDefault="00000000" w:rsidRPr="00000000" w14:paraId="00000642">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3. Activos Intangibles, Propiedad Intelectual, Formalización Legal, Plataformas y Herramientas IA</w:t>
      </w:r>
      <w:r w:rsidDel="00000000" w:rsidR="00000000" w:rsidRPr="00000000">
        <w:rPr>
          <w:rtl w:val="0"/>
        </w:rPr>
      </w:r>
    </w:p>
    <w:p w:rsidR="00000000" w:rsidDel="00000000" w:rsidP="00000000" w:rsidRDefault="00000000" w:rsidRPr="00000000" w14:paraId="00000643">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Este rubro consolida los costos de protección jurídica, resguardo registral, presencia institucional y el arnés de plataformas digitales y herramientas de inteligencia artificial empleadas por el autor durante la etapa de construcción técnica, discriminado en cuatro componentes operativos:</w:t>
      </w:r>
      <w:r w:rsidDel="00000000" w:rsidR="00000000" w:rsidRPr="00000000">
        <w:rPr>
          <w:rtl w:val="0"/>
        </w:rPr>
      </w:r>
    </w:p>
    <w:p w:rsidR="00000000" w:rsidDel="00000000" w:rsidP="00000000" w:rsidRDefault="00000000" w:rsidRPr="00000000" w14:paraId="00000644">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A. Protección de Propiedad Intelectual (DNDA e INPI)</w:t>
      </w:r>
      <w:r w:rsidDel="00000000" w:rsidR="00000000" w:rsidRPr="00000000">
        <w:rPr>
          <w:rtl w:val="0"/>
        </w:rPr>
      </w:r>
    </w:p>
    <w:p w:rsidR="00000000" w:rsidDel="00000000" w:rsidP="00000000" w:rsidRDefault="00000000" w:rsidRPr="00000000" w14:paraId="000006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Registro de Obra de Software Inédita ante la DNDA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Custodia legal del código fuente, modelos ontológicos de balance de potencia y esquemas de arquitectura ante la Dirección Nacional del Derecho de Autor (Ley N.º 11.723 de Propiedad Intelectual). Otorga fecha cierta de creación y presunción de autoría frente a terceros. Arancel oficial: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25.000 ARS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(USD 16,19).</w:t>
      </w:r>
      <w:r w:rsidDel="00000000" w:rsidR="00000000" w:rsidRPr="00000000">
        <w:rPr>
          <w:rtl w:val="0"/>
        </w:rPr>
      </w:r>
    </w:p>
    <w:p w:rsidR="00000000" w:rsidDel="00000000" w:rsidP="00000000" w:rsidRDefault="00000000" w:rsidRPr="00000000" w14:paraId="000006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Estudio Previo de Viabilidad y Antecedentes Fonéticos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Búsqueda técnica en la base de marcas del Instituto Nacional de la Propiedad Industrial (INPI) para certificar la ausencia de oposiciones de terceros: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18.000 ARS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(USD 11,66).</w:t>
      </w:r>
      <w:r w:rsidDel="00000000" w:rsidR="00000000" w:rsidRPr="00000000">
        <w:rPr>
          <w:rtl w:val="0"/>
        </w:rPr>
      </w:r>
    </w:p>
    <w:p w:rsidR="00000000" w:rsidDel="00000000" w:rsidP="00000000" w:rsidRDefault="00000000" w:rsidRPr="00000000" w14:paraId="000006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Registro de Marca Denominativa y Mixta ante el INPI</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Tramitación formal del signo "CODI" bajo la Ley N.º 22.362 en dos clases del nomenclador internacional de Niza: Clase 9 (software de ingeniería satelital y algoritmos de balance) y Clase 42 (servicios científicos, consultoría técnica y software como servicio espacial). Arancel oficial de78.000 ARS por clase (Resolución INPI 2026), totalizando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156.000 ARS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(USD 101,04).</w:t>
      </w:r>
      <w:r w:rsidDel="00000000" w:rsidR="00000000" w:rsidRPr="00000000">
        <w:rPr>
          <w:rtl w:val="0"/>
        </w:rPr>
      </w:r>
    </w:p>
    <w:p w:rsidR="00000000" w:rsidDel="00000000" w:rsidP="00000000" w:rsidRDefault="00000000" w:rsidRPr="00000000" w14:paraId="000006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Subtotal Propiedad Intelectual</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199.000 ARS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(USD 128,89).</w:t>
      </w:r>
      <w:r w:rsidDel="00000000" w:rsidR="00000000" w:rsidRPr="00000000">
        <w:rPr>
          <w:rtl w:val="0"/>
        </w:rPr>
      </w:r>
    </w:p>
    <w:p w:rsidR="00000000" w:rsidDel="00000000" w:rsidP="00000000" w:rsidRDefault="00000000" w:rsidRPr="00000000" w14:paraId="00000649">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B. Formalización Legal, Seguridad Jurídica y Firma Digital (B2B)</w:t>
      </w:r>
      <w:r w:rsidDel="00000000" w:rsidR="00000000" w:rsidRPr="00000000">
        <w:rPr>
          <w:rtl w:val="0"/>
        </w:rPr>
      </w:r>
    </w:p>
    <w:p w:rsidR="00000000" w:rsidDel="00000000" w:rsidP="00000000" w:rsidRDefault="00000000" w:rsidRPr="00000000" w14:paraId="000006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Firma Digital Tokenizada Homologada (Ley N.º 25.506)</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Adquisición de dispositivo criptográfico USB homologado FIPS 140-2 nivel 2 y emisión de certificado digital por Autoridad Certificante licenciada (ONTI). Permite la firma remota vinculante de actas de recepción de software, dictámenes y convenios con validez jurídica plena: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34.000 ARS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(USD 22,02).</w:t>
      </w:r>
      <w:r w:rsidDel="00000000" w:rsidR="00000000" w:rsidRPr="00000000">
        <w:rPr>
          <w:rtl w:val="0"/>
        </w:rPr>
      </w:r>
    </w:p>
    <w:p w:rsidR="00000000" w:rsidDel="00000000" w:rsidP="00000000" w:rsidRDefault="00000000" w:rsidRPr="00000000" w14:paraId="000006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Instrumentos Contractuales B2B Enterprise</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Asesoramiento legal especializado en TICs para la formulación de: (a) Contrato de Licencia de Usuario Final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EULA Enterprise</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sin transferencia de código fuente propietario, (b) Acuerdo de Nivel de Servicio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SLA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para soporte correctivo institucional, y (c) Acuerdo de Confidencialidad y No Divulgación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NDA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para resguardo del secreto industrial en datos satelitales: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65.000 ARS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(USD 42,10).</w:t>
      </w:r>
      <w:r w:rsidDel="00000000" w:rsidR="00000000" w:rsidRPr="00000000">
        <w:rPr>
          <w:rtl w:val="0"/>
        </w:rPr>
      </w:r>
    </w:p>
    <w:p w:rsidR="00000000" w:rsidDel="00000000" w:rsidP="00000000" w:rsidRDefault="00000000" w:rsidRPr="00000000" w14:paraId="000006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Subtotal Formalización y Seguridad Jurídica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99.000 ARS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(USD 64,12).</w:t>
      </w:r>
      <w:r w:rsidDel="00000000" w:rsidR="00000000" w:rsidRPr="00000000">
        <w:rPr>
          <w:rtl w:val="0"/>
        </w:rPr>
      </w:r>
    </w:p>
    <w:p w:rsidR="00000000" w:rsidDel="00000000" w:rsidP="00000000" w:rsidRDefault="00000000" w:rsidRPr="00000000" w14:paraId="0000064D">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C. Identidad Digital Corporativa y Criptografía Web (DonWeb)</w:t>
      </w:r>
      <w:r w:rsidDel="00000000" w:rsidR="00000000" w:rsidRPr="00000000">
        <w:rPr>
          <w:rtl w:val="0"/>
        </w:rPr>
      </w:r>
    </w:p>
    <w:p w:rsidR="00000000" w:rsidDel="00000000" w:rsidP="00000000" w:rsidRDefault="00000000" w:rsidRPr="00000000" w14:paraId="000006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Registro Bienal de Dominio y Certificados SSL/TLS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Adquisición centralizada del dominio comercial institucional </w:t>
      </w: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codi-space.com</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por un período de dos (2) años ante el proveedor regional DonWeb, incluyendo gestión integrada de zonas DNS con soporte DNSSEC y provisión de certificado de seguridad criptográfica SSL/TLS Wildcard preconfigurado para comunicaciones seguras con clientes: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34.000 ARS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por el bienio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USD 22,02</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en la inversión inicial; imputación equivalente a 17.000 ARS/año).</w:t>
      </w:r>
      <w:r w:rsidDel="00000000" w:rsidR="00000000" w:rsidRPr="00000000">
        <w:rPr>
          <w:rtl w:val="0"/>
        </w:rPr>
      </w:r>
    </w:p>
    <w:p w:rsidR="00000000" w:rsidDel="00000000" w:rsidP="00000000" w:rsidRDefault="00000000" w:rsidRPr="00000000" w14:paraId="000006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Subtotal Identidad Digital</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34.000 ARS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(USD 22,02).</w:t>
      </w:r>
      <w:r w:rsidDel="00000000" w:rsidR="00000000" w:rsidRPr="00000000">
        <w:rPr>
          <w:rtl w:val="0"/>
        </w:rPr>
      </w:r>
    </w:p>
    <w:p w:rsidR="00000000" w:rsidDel="00000000" w:rsidP="00000000" w:rsidRDefault="00000000" w:rsidRPr="00000000" w14:paraId="00000650">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D. Plataformas de Integración y Herramientas IA para Ingeniería de Software</w:t>
      </w:r>
      <w:r w:rsidDel="00000000" w:rsidR="00000000" w:rsidRPr="00000000">
        <w:rPr>
          <w:rtl w:val="0"/>
        </w:rPr>
      </w:r>
    </w:p>
    <w:p w:rsidR="00000000" w:rsidDel="00000000" w:rsidP="00000000" w:rsidRDefault="00000000" w:rsidRPr="00000000" w14:paraId="000006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Infraestructura de Repositorio y CI/CD Privado (GitHub Team)</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Suscripción de 2,5 meses para control de versiones privado, escaneo automatizado de dependencias y código (CodeQL/Dependabot) y runners de integración continua: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33.000 ARS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(USD 21,37).</w:t>
      </w:r>
      <w:r w:rsidDel="00000000" w:rsidR="00000000" w:rsidRPr="00000000">
        <w:rPr>
          <w:rtl w:val="0"/>
        </w:rPr>
      </w:r>
    </w:p>
    <w:p w:rsidR="00000000" w:rsidDel="00000000" w:rsidP="00000000" w:rsidRDefault="00000000" w:rsidRPr="00000000" w14:paraId="000006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Registro Privado de Contenedores (Docker Hub / GHCR)</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Almacenamiento seguro, escaneo inmutable y distribución de imágenes contenerizadas del MVP: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19.000 ARS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(USD 12,31).</w:t>
      </w:r>
      <w:r w:rsidDel="00000000" w:rsidR="00000000" w:rsidRPr="00000000">
        <w:rPr>
          <w:rtl w:val="0"/>
        </w:rPr>
      </w:r>
    </w:p>
    <w:p w:rsidR="00000000" w:rsidDel="00000000" w:rsidP="00000000" w:rsidRDefault="00000000" w:rsidRPr="00000000" w14:paraId="000006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Suscripciones a Entornos de IA para el Ingeniero de Software</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Conjunto de herramientas de asistencia cognitiva, copilotos de código y modelos de razonamiento avanzado utilizados por el autor durante las diez semanas de desarrollo (2,5 meses):</w:t>
      </w:r>
      <w:r w:rsidDel="00000000" w:rsidR="00000000" w:rsidRPr="00000000">
        <w:rPr>
          <w:rtl w:val="0"/>
        </w:rPr>
      </w:r>
    </w:p>
    <w:p w:rsidR="00000000" w:rsidDel="00000000" w:rsidP="00000000" w:rsidRDefault="00000000" w:rsidRPr="00000000" w14:paraId="000006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OpenCode Go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Plan mensual de USD 10,00 (USD 25,00 por el período, equivalentes a 38.599 ARS).</w:t>
      </w:r>
      <w:r w:rsidDel="00000000" w:rsidR="00000000" w:rsidRPr="00000000">
        <w:rPr>
          <w:rtl w:val="0"/>
        </w:rPr>
      </w:r>
    </w:p>
    <w:p w:rsidR="00000000" w:rsidDel="00000000" w:rsidP="00000000" w:rsidRDefault="00000000" w:rsidRPr="00000000" w14:paraId="000006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Gemini Pro (Google AI)</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Plan mensual de USD 5,00 (USD 12,50 por el período, equivalentes a19.300 ARS).</w:t>
      </w:r>
      <w:r w:rsidDel="00000000" w:rsidR="00000000" w:rsidRPr="00000000">
        <w:rPr>
          <w:rtl w:val="0"/>
        </w:rPr>
      </w:r>
    </w:p>
    <w:p w:rsidR="00000000" w:rsidDel="00000000" w:rsidP="00000000" w:rsidRDefault="00000000" w:rsidRPr="00000000" w14:paraId="000006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Asistente Avanzado de Código (Cursor Pro / ChatGPT Plus)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Plan profesional de USD 20,00 mensuales (USD 50,00 por el período, equivalentes a 77.198 ARS).</w:t>
      </w:r>
      <w:r w:rsidDel="00000000" w:rsidR="00000000" w:rsidRPr="00000000">
        <w:rPr>
          <w:rtl w:val="0"/>
        </w:rPr>
      </w:r>
    </w:p>
    <w:p w:rsidR="00000000" w:rsidDel="00000000" w:rsidP="00000000" w:rsidRDefault="00000000" w:rsidRPr="00000000" w14:paraId="000006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Gasto Total en IAs de Desarrollo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USD 35,00 / mes × 2,5 meses =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USD 87,50</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135.097 ARS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Subtotal Plataformas y Herramientas de Desarrollo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187.097 ARS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(USD 121,18).</w:t>
      </w:r>
      <w:r w:rsidDel="00000000" w:rsidR="00000000" w:rsidRPr="00000000">
        <w:rPr>
          <w:rtl w:val="0"/>
        </w:rPr>
      </w:r>
    </w:p>
    <w:p w:rsidR="00000000" w:rsidDel="00000000" w:rsidP="00000000" w:rsidRDefault="00000000" w:rsidRPr="00000000" w14:paraId="000006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Subtotal Consolidado Activos Intangibles, Formalización y Plataformas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519.097 ARS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USD 336,21</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9,89% de la inversión inicial).</w:t>
      </w:r>
      <w:r w:rsidDel="00000000" w:rsidR="00000000" w:rsidRPr="00000000">
        <w:rPr>
          <w:rtl w:val="0"/>
        </w:rPr>
      </w:r>
    </w:p>
    <w:p w:rsidR="00000000" w:rsidDel="00000000" w:rsidP="00000000" w:rsidRDefault="00000000" w:rsidRPr="00000000" w14:paraId="0000065A">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Tabla X.6</w:t>
      </w:r>
      <w:r w:rsidDel="00000000" w:rsidR="00000000" w:rsidRPr="00000000">
        <w:rPr>
          <w:rtl w:val="0"/>
        </w:rPr>
      </w:r>
    </w:p>
    <w:p w:rsidR="00000000" w:rsidDel="00000000" w:rsidP="00000000" w:rsidRDefault="00000000" w:rsidRPr="00000000" w14:paraId="0000065B">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Estructura Consolidada de la Inversión Inicial del Proyecto CODI</w:t>
      </w:r>
      <w:r w:rsidDel="00000000" w:rsidR="00000000" w:rsidRPr="00000000">
        <w:rPr>
          <w:rtl w:val="0"/>
        </w:rPr>
      </w:r>
    </w:p>
    <w:tbl>
      <w:tblPr>
        <w:tblStyle w:val="Table63"/>
        <w:tblW w:w="8503.999999999998"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1063"/>
        <w:gridCol w:w="1063"/>
        <w:gridCol w:w="1063"/>
        <w:gridCol w:w="1063"/>
        <w:gridCol w:w="1063"/>
        <w:gridCol w:w="1063"/>
        <w:gridCol w:w="1063"/>
        <w:gridCol w:w="1063"/>
        <w:tblGridChange w:id="0">
          <w:tblGrid>
            <w:gridCol w:w="1063"/>
            <w:gridCol w:w="1063"/>
            <w:gridCol w:w="1063"/>
            <w:gridCol w:w="1063"/>
            <w:gridCol w:w="1063"/>
            <w:gridCol w:w="1063"/>
            <w:gridCol w:w="1063"/>
            <w:gridCol w:w="1063"/>
          </w:tblGrid>
        </w:tblGridChange>
      </w:tblGrid>
      <w:tr>
        <w:trPr>
          <w:cantSplit w:val="1"/>
          <w:tblHeader w:val="1"/>
        </w:trPr>
        <w:tc>
          <w:tcPr>
            <w:shd w:fill="f1f5f9" w:val="clear"/>
          </w:tcPr>
          <w:p w:rsidR="00000000" w:rsidDel="00000000" w:rsidP="00000000" w:rsidRDefault="00000000" w:rsidRPr="00000000" w14:paraId="0000065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Rubro Presupuestario</w:t>
            </w:r>
            <w:r w:rsidDel="00000000" w:rsidR="00000000" w:rsidRPr="00000000">
              <w:rPr>
                <w:rtl w:val="0"/>
              </w:rPr>
            </w:r>
          </w:p>
        </w:tc>
        <w:tc>
          <w:tcPr>
            <w:shd w:fill="f1f5f9" w:val="clear"/>
          </w:tcPr>
          <w:p w:rsidR="00000000" w:rsidDel="00000000" w:rsidP="00000000" w:rsidRDefault="00000000" w:rsidRPr="00000000" w14:paraId="0000065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Concepto Específico</w:t>
            </w:r>
            <w:r w:rsidDel="00000000" w:rsidR="00000000" w:rsidRPr="00000000">
              <w:rPr>
                <w:rtl w:val="0"/>
              </w:rPr>
            </w:r>
          </w:p>
        </w:tc>
        <w:tc>
          <w:tcPr>
            <w:shd w:fill="f1f5f9" w:val="clear"/>
          </w:tcPr>
          <w:p w:rsidR="00000000" w:rsidDel="00000000" w:rsidP="00000000" w:rsidRDefault="00000000" w:rsidRPr="00000000" w14:paraId="0000065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Cantidad y Unidad</w:t>
            </w:r>
            <w:r w:rsidDel="00000000" w:rsidR="00000000" w:rsidRPr="00000000">
              <w:rPr>
                <w:rtl w:val="0"/>
              </w:rPr>
            </w:r>
          </w:p>
        </w:tc>
        <w:tc>
          <w:tcPr>
            <w:shd w:fill="f1f5f9" w:val="clear"/>
          </w:tcPr>
          <w:p w:rsidR="00000000" w:rsidDel="00000000" w:rsidP="00000000" w:rsidRDefault="00000000" w:rsidRPr="00000000" w14:paraId="0000065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Costo Unitario</w:t>
            </w:r>
            <w:r w:rsidDel="00000000" w:rsidR="00000000" w:rsidRPr="00000000">
              <w:rPr>
                <w:rtl w:val="0"/>
              </w:rPr>
            </w:r>
          </w:p>
        </w:tc>
        <w:tc>
          <w:tcPr>
            <w:shd w:fill="f1f5f9" w:val="clear"/>
          </w:tcPr>
          <w:p w:rsidR="00000000" w:rsidDel="00000000" w:rsidP="00000000" w:rsidRDefault="00000000" w:rsidRPr="00000000" w14:paraId="0000066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Subtotal Imputado (ARS)</w:t>
            </w:r>
            <w:r w:rsidDel="00000000" w:rsidR="00000000" w:rsidRPr="00000000">
              <w:rPr>
                <w:rtl w:val="0"/>
              </w:rPr>
            </w:r>
          </w:p>
        </w:tc>
        <w:tc>
          <w:tcPr>
            <w:shd w:fill="f1f5f9" w:val="clear"/>
          </w:tcPr>
          <w:p w:rsidR="00000000" w:rsidDel="00000000" w:rsidP="00000000" w:rsidRDefault="00000000" w:rsidRPr="00000000" w14:paraId="0000066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Equivalente (USD)</w:t>
            </w:r>
            <w:r w:rsidDel="00000000" w:rsidR="00000000" w:rsidRPr="00000000">
              <w:rPr>
                <w:rtl w:val="0"/>
              </w:rPr>
            </w:r>
          </w:p>
        </w:tc>
        <w:tc>
          <w:tcPr>
            <w:shd w:fill="f1f5f9" w:val="clear"/>
          </w:tcPr>
          <w:p w:rsidR="00000000" w:rsidDel="00000000" w:rsidP="00000000" w:rsidRDefault="00000000" w:rsidRPr="00000000" w14:paraId="0000066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Participación Relativa</w:t>
            </w:r>
            <w:r w:rsidDel="00000000" w:rsidR="00000000" w:rsidRPr="00000000">
              <w:rPr>
                <w:rtl w:val="0"/>
              </w:rPr>
            </w:r>
          </w:p>
        </w:tc>
        <w:tc>
          <w:tcPr>
            <w:shd w:fill="f1f5f9" w:val="clear"/>
          </w:tcPr>
          <w:p w:rsidR="00000000" w:rsidDel="00000000" w:rsidP="00000000" w:rsidRDefault="00000000" w:rsidRPr="00000000" w14:paraId="0000066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Fuente de Respaldo y Justificación</w:t>
            </w:r>
            <w:r w:rsidDel="00000000" w:rsidR="00000000" w:rsidRPr="00000000">
              <w:rPr>
                <w:rtl w:val="0"/>
              </w:rPr>
            </w:r>
          </w:p>
        </w:tc>
      </w:tr>
      <w:tr>
        <w:trPr>
          <w:cantSplit w:val="1"/>
          <w:tblHeader w:val="0"/>
        </w:trPr>
        <w:tc>
          <w:tcPr/>
          <w:p w:rsidR="00000000" w:rsidDel="00000000" w:rsidP="00000000" w:rsidRDefault="00000000" w:rsidRPr="00000000" w14:paraId="0000066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Mano de Obra Directa</w:t>
            </w:r>
            <w:r w:rsidDel="00000000" w:rsidR="00000000" w:rsidRPr="00000000">
              <w:rPr>
                <w:rtl w:val="0"/>
              </w:rPr>
            </w:r>
          </w:p>
        </w:tc>
        <w:tc>
          <w:tcPr/>
          <w:p w:rsidR="00000000" w:rsidDel="00000000" w:rsidP="00000000" w:rsidRDefault="00000000" w:rsidRPr="00000000" w14:paraId="0000066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Desarrollo del MVP de CODI (WBS 1.0 a 4.6)</w:t>
            </w:r>
            <w:r w:rsidDel="00000000" w:rsidR="00000000" w:rsidRPr="00000000">
              <w:rPr>
                <w:rtl w:val="0"/>
              </w:rPr>
            </w:r>
          </w:p>
        </w:tc>
        <w:tc>
          <w:tcPr/>
          <w:p w:rsidR="00000000" w:rsidDel="00000000" w:rsidP="00000000" w:rsidRDefault="00000000" w:rsidRPr="00000000" w14:paraId="0000066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184 h-p</w:t>
            </w:r>
            <w:r w:rsidDel="00000000" w:rsidR="00000000" w:rsidRPr="00000000">
              <w:rPr>
                <w:rtl w:val="0"/>
              </w:rPr>
            </w:r>
          </w:p>
        </w:tc>
        <w:tc>
          <w:tcPr/>
          <w:p w:rsidR="00000000" w:rsidDel="00000000" w:rsidP="00000000" w:rsidRDefault="00000000" w:rsidRPr="00000000" w14:paraId="0000066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23.688 / h</w:t>
            </w:r>
            <w:r w:rsidDel="00000000" w:rsidR="00000000" w:rsidRPr="00000000">
              <w:rPr>
                <w:rtl w:val="0"/>
              </w:rPr>
            </w:r>
          </w:p>
        </w:tc>
        <w:tc>
          <w:tcPr/>
          <w:p w:rsidR="00000000" w:rsidDel="00000000" w:rsidP="00000000" w:rsidRDefault="00000000" w:rsidRPr="00000000" w14:paraId="0000066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4.358.500</w:t>
            </w:r>
            <w:r w:rsidDel="00000000" w:rsidR="00000000" w:rsidRPr="00000000">
              <w:rPr>
                <w:rtl w:val="0"/>
              </w:rPr>
            </w:r>
          </w:p>
        </w:tc>
        <w:tc>
          <w:tcPr/>
          <w:p w:rsidR="00000000" w:rsidDel="00000000" w:rsidP="00000000" w:rsidRDefault="00000000" w:rsidRPr="00000000" w14:paraId="0000066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USD 2.822,94</w:t>
            </w:r>
            <w:r w:rsidDel="00000000" w:rsidR="00000000" w:rsidRPr="00000000">
              <w:rPr>
                <w:rtl w:val="0"/>
              </w:rPr>
            </w:r>
          </w:p>
        </w:tc>
        <w:tc>
          <w:tcPr/>
          <w:p w:rsidR="00000000" w:rsidDel="00000000" w:rsidP="00000000" w:rsidRDefault="00000000" w:rsidRPr="00000000" w14:paraId="0000066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83,06%</w:t>
            </w:r>
            <w:r w:rsidDel="00000000" w:rsidR="00000000" w:rsidRPr="00000000">
              <w:rPr>
                <w:rtl w:val="0"/>
              </w:rPr>
            </w:r>
          </w:p>
        </w:tc>
        <w:tc>
          <w:tcPr/>
          <w:p w:rsidR="00000000" w:rsidDel="00000000" w:rsidP="00000000" w:rsidRDefault="00000000" w:rsidRPr="00000000" w14:paraId="0000066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Capítulo X, Sec. X.1; Encuesta Sysarmy 2026.01 (Perfil SR).</w:t>
            </w:r>
            <w:r w:rsidDel="00000000" w:rsidR="00000000" w:rsidRPr="00000000">
              <w:rPr>
                <w:rtl w:val="0"/>
              </w:rPr>
            </w:r>
          </w:p>
        </w:tc>
      </w:tr>
      <w:tr>
        <w:trPr>
          <w:cantSplit w:val="1"/>
          <w:tblHeader w:val="0"/>
        </w:trPr>
        <w:tc>
          <w:tcPr/>
          <w:p w:rsidR="00000000" w:rsidDel="00000000" w:rsidP="00000000" w:rsidRDefault="00000000" w:rsidRPr="00000000" w14:paraId="0000066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Mano de Obra Directa</w:t>
            </w:r>
            <w:r w:rsidDel="00000000" w:rsidR="00000000" w:rsidRPr="00000000">
              <w:rPr>
                <w:rtl w:val="0"/>
              </w:rPr>
            </w:r>
          </w:p>
        </w:tc>
        <w:tc>
          <w:tcPr/>
          <w:p w:rsidR="00000000" w:rsidDel="00000000" w:rsidP="00000000" w:rsidRDefault="00000000" w:rsidRPr="00000000" w14:paraId="0000066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Reserva de Contingencia Técnica</w:t>
            </w:r>
            <w:r w:rsidDel="00000000" w:rsidR="00000000" w:rsidRPr="00000000">
              <w:rPr>
                <w:rtl w:val="0"/>
              </w:rPr>
            </w:r>
          </w:p>
        </w:tc>
        <w:tc>
          <w:tcPr/>
          <w:p w:rsidR="00000000" w:rsidDel="00000000" w:rsidP="00000000" w:rsidRDefault="00000000" w:rsidRPr="00000000" w14:paraId="0000066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6 h-p</w:t>
            </w:r>
            <w:r w:rsidDel="00000000" w:rsidR="00000000" w:rsidRPr="00000000">
              <w:rPr>
                <w:rtl w:val="0"/>
              </w:rPr>
            </w:r>
          </w:p>
        </w:tc>
        <w:tc>
          <w:tcPr/>
          <w:p w:rsidR="00000000" w:rsidDel="00000000" w:rsidP="00000000" w:rsidRDefault="00000000" w:rsidRPr="00000000" w14:paraId="0000066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23.688 / h</w:t>
            </w:r>
            <w:r w:rsidDel="00000000" w:rsidR="00000000" w:rsidRPr="00000000">
              <w:rPr>
                <w:rtl w:val="0"/>
              </w:rPr>
            </w:r>
          </w:p>
        </w:tc>
        <w:tc>
          <w:tcPr/>
          <w:p w:rsidR="00000000" w:rsidDel="00000000" w:rsidP="00000000" w:rsidRDefault="00000000" w:rsidRPr="00000000" w14:paraId="0000067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142.125</w:t>
            </w:r>
            <w:r w:rsidDel="00000000" w:rsidR="00000000" w:rsidRPr="00000000">
              <w:rPr>
                <w:rtl w:val="0"/>
              </w:rPr>
            </w:r>
          </w:p>
        </w:tc>
        <w:tc>
          <w:tcPr/>
          <w:p w:rsidR="00000000" w:rsidDel="00000000" w:rsidP="00000000" w:rsidRDefault="00000000" w:rsidRPr="00000000" w14:paraId="0000067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USD 92,05</w:t>
            </w:r>
            <w:r w:rsidDel="00000000" w:rsidR="00000000" w:rsidRPr="00000000">
              <w:rPr>
                <w:rtl w:val="0"/>
              </w:rPr>
            </w:r>
          </w:p>
        </w:tc>
        <w:tc>
          <w:tcPr/>
          <w:p w:rsidR="00000000" w:rsidDel="00000000" w:rsidP="00000000" w:rsidRDefault="00000000" w:rsidRPr="00000000" w14:paraId="0000067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2,71%</w:t>
            </w:r>
            <w:r w:rsidDel="00000000" w:rsidR="00000000" w:rsidRPr="00000000">
              <w:rPr>
                <w:rtl w:val="0"/>
              </w:rPr>
            </w:r>
          </w:p>
        </w:tc>
        <w:tc>
          <w:tcPr/>
          <w:p w:rsidR="00000000" w:rsidDel="00000000" w:rsidP="00000000" w:rsidRDefault="00000000" w:rsidRPr="00000000" w14:paraId="0000067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Capítulo V, Sec. V.4; cláusula de contingencia operativa.</w:t>
            </w:r>
            <w:r w:rsidDel="00000000" w:rsidR="00000000" w:rsidRPr="00000000">
              <w:rPr>
                <w:rtl w:val="0"/>
              </w:rPr>
            </w:r>
          </w:p>
        </w:tc>
      </w:tr>
      <w:tr>
        <w:trPr>
          <w:cantSplit w:val="1"/>
          <w:tblHeader w:val="0"/>
        </w:trPr>
        <w:tc>
          <w:tcPr/>
          <w:p w:rsidR="00000000" w:rsidDel="00000000" w:rsidP="00000000" w:rsidRDefault="00000000" w:rsidRPr="00000000" w14:paraId="0000067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Físico / Equipamiento</w:t>
            </w:r>
            <w:r w:rsidDel="00000000" w:rsidR="00000000" w:rsidRPr="00000000">
              <w:rPr>
                <w:rtl w:val="0"/>
              </w:rPr>
            </w:r>
          </w:p>
        </w:tc>
        <w:tc>
          <w:tcPr/>
          <w:p w:rsidR="00000000" w:rsidDel="00000000" w:rsidP="00000000" w:rsidRDefault="00000000" w:rsidRPr="00000000" w14:paraId="0000067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Amortización lineal laptop HP Pavilion y mouse</w:t>
            </w:r>
            <w:r w:rsidDel="00000000" w:rsidR="00000000" w:rsidRPr="00000000">
              <w:rPr>
                <w:rtl w:val="0"/>
              </w:rPr>
            </w:r>
          </w:p>
        </w:tc>
        <w:tc>
          <w:tcPr/>
          <w:p w:rsidR="00000000" w:rsidDel="00000000" w:rsidP="00000000" w:rsidRDefault="00000000" w:rsidRPr="00000000" w14:paraId="0000067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2,5 meses</w:t>
            </w:r>
            <w:r w:rsidDel="00000000" w:rsidR="00000000" w:rsidRPr="00000000">
              <w:rPr>
                <w:rtl w:val="0"/>
              </w:rPr>
            </w:r>
          </w:p>
        </w:tc>
        <w:tc>
          <w:tcPr/>
          <w:p w:rsidR="00000000" w:rsidDel="00000000" w:rsidP="00000000" w:rsidRDefault="00000000" w:rsidRPr="00000000" w14:paraId="0000067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29.000 / mes</w:t>
            </w:r>
            <w:r w:rsidDel="00000000" w:rsidR="00000000" w:rsidRPr="00000000">
              <w:rPr>
                <w:rtl w:val="0"/>
              </w:rPr>
            </w:r>
          </w:p>
        </w:tc>
        <w:tc>
          <w:tcPr/>
          <w:p w:rsidR="00000000" w:rsidDel="00000000" w:rsidP="00000000" w:rsidRDefault="00000000" w:rsidRPr="00000000" w14:paraId="0000067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72.500</w:t>
            </w:r>
            <w:r w:rsidDel="00000000" w:rsidR="00000000" w:rsidRPr="00000000">
              <w:rPr>
                <w:rtl w:val="0"/>
              </w:rPr>
            </w:r>
          </w:p>
        </w:tc>
        <w:tc>
          <w:tcPr/>
          <w:p w:rsidR="00000000" w:rsidDel="00000000" w:rsidP="00000000" w:rsidRDefault="00000000" w:rsidRPr="00000000" w14:paraId="0000067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USD 46,96</w:t>
            </w:r>
            <w:r w:rsidDel="00000000" w:rsidR="00000000" w:rsidRPr="00000000">
              <w:rPr>
                <w:rtl w:val="0"/>
              </w:rPr>
            </w:r>
          </w:p>
        </w:tc>
        <w:tc>
          <w:tcPr/>
          <w:p w:rsidR="00000000" w:rsidDel="00000000" w:rsidP="00000000" w:rsidRDefault="00000000" w:rsidRPr="00000000" w14:paraId="0000067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1,38%</w:t>
            </w:r>
            <w:r w:rsidDel="00000000" w:rsidR="00000000" w:rsidRPr="00000000">
              <w:rPr>
                <w:rtl w:val="0"/>
              </w:rPr>
            </w:r>
          </w:p>
        </w:tc>
        <w:tc>
          <w:tcPr/>
          <w:p w:rsidR="00000000" w:rsidDel="00000000" w:rsidP="00000000" w:rsidRDefault="00000000" w:rsidRPr="00000000" w14:paraId="0000067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Capítulo X, Sec. X.2, Tabla X.3; inventario auditado.</w:t>
            </w:r>
            <w:r w:rsidDel="00000000" w:rsidR="00000000" w:rsidRPr="00000000">
              <w:rPr>
                <w:rtl w:val="0"/>
              </w:rPr>
            </w:r>
          </w:p>
        </w:tc>
      </w:tr>
      <w:tr>
        <w:trPr>
          <w:cantSplit w:val="1"/>
          <w:tblHeader w:val="0"/>
        </w:trPr>
        <w:tc>
          <w:tcPr/>
          <w:p w:rsidR="00000000" w:rsidDel="00000000" w:rsidP="00000000" w:rsidRDefault="00000000" w:rsidRPr="00000000" w14:paraId="0000067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Físico / Servicios</w:t>
            </w:r>
            <w:r w:rsidDel="00000000" w:rsidR="00000000" w:rsidRPr="00000000">
              <w:rPr>
                <w:rtl w:val="0"/>
              </w:rPr>
            </w:r>
          </w:p>
        </w:tc>
        <w:tc>
          <w:tcPr/>
          <w:p w:rsidR="00000000" w:rsidDel="00000000" w:rsidP="00000000" w:rsidRDefault="00000000" w:rsidRPr="00000000" w14:paraId="0000067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Servicios públicos acreditados (Claro, EMSA, Consorcio)</w:t>
            </w:r>
            <w:r w:rsidDel="00000000" w:rsidR="00000000" w:rsidRPr="00000000">
              <w:rPr>
                <w:rtl w:val="0"/>
              </w:rPr>
            </w:r>
          </w:p>
        </w:tc>
        <w:tc>
          <w:tcPr/>
          <w:p w:rsidR="00000000" w:rsidDel="00000000" w:rsidP="00000000" w:rsidRDefault="00000000" w:rsidRPr="00000000" w14:paraId="0000067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2,5 meses</w:t>
            </w:r>
            <w:r w:rsidDel="00000000" w:rsidR="00000000" w:rsidRPr="00000000">
              <w:rPr>
                <w:rtl w:val="0"/>
              </w:rPr>
            </w:r>
          </w:p>
        </w:tc>
        <w:tc>
          <w:tcPr/>
          <w:p w:rsidR="00000000" w:rsidDel="00000000" w:rsidP="00000000" w:rsidRDefault="00000000" w:rsidRPr="00000000" w14:paraId="0000067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62.083 / mes</w:t>
            </w:r>
            <w:r w:rsidDel="00000000" w:rsidR="00000000" w:rsidRPr="00000000">
              <w:rPr>
                <w:rtl w:val="0"/>
              </w:rPr>
            </w:r>
          </w:p>
        </w:tc>
        <w:tc>
          <w:tcPr/>
          <w:p w:rsidR="00000000" w:rsidDel="00000000" w:rsidP="00000000" w:rsidRDefault="00000000" w:rsidRPr="00000000" w14:paraId="0000068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155.207</w:t>
            </w:r>
            <w:r w:rsidDel="00000000" w:rsidR="00000000" w:rsidRPr="00000000">
              <w:rPr>
                <w:rtl w:val="0"/>
              </w:rPr>
            </w:r>
          </w:p>
        </w:tc>
        <w:tc>
          <w:tcPr/>
          <w:p w:rsidR="00000000" w:rsidDel="00000000" w:rsidP="00000000" w:rsidRDefault="00000000" w:rsidRPr="00000000" w14:paraId="0000068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USD 100,53</w:t>
            </w:r>
            <w:r w:rsidDel="00000000" w:rsidR="00000000" w:rsidRPr="00000000">
              <w:rPr>
                <w:rtl w:val="0"/>
              </w:rPr>
            </w:r>
          </w:p>
        </w:tc>
        <w:tc>
          <w:tcPr/>
          <w:p w:rsidR="00000000" w:rsidDel="00000000" w:rsidP="00000000" w:rsidRDefault="00000000" w:rsidRPr="00000000" w14:paraId="0000068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2,96%</w:t>
            </w:r>
            <w:r w:rsidDel="00000000" w:rsidR="00000000" w:rsidRPr="00000000">
              <w:rPr>
                <w:rtl w:val="0"/>
              </w:rPr>
            </w:r>
          </w:p>
        </w:tc>
        <w:tc>
          <w:tcPr/>
          <w:p w:rsidR="00000000" w:rsidDel="00000000" w:rsidP="00000000" w:rsidRDefault="00000000" w:rsidRPr="00000000" w14:paraId="0000068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Capítulo X, Sec. X.2, Tabla X.4; facturas del período.</w:t>
            </w:r>
            <w:r w:rsidDel="00000000" w:rsidR="00000000" w:rsidRPr="00000000">
              <w:rPr>
                <w:rtl w:val="0"/>
              </w:rPr>
            </w:r>
          </w:p>
        </w:tc>
      </w:tr>
      <w:tr>
        <w:trPr>
          <w:cantSplit w:val="1"/>
          <w:tblHeader w:val="0"/>
        </w:trPr>
        <w:tc>
          <w:tcPr/>
          <w:p w:rsidR="00000000" w:rsidDel="00000000" w:rsidP="00000000" w:rsidRDefault="00000000" w:rsidRPr="00000000" w14:paraId="0000068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PI / Software</w:t>
            </w:r>
            <w:r w:rsidDel="00000000" w:rsidR="00000000" w:rsidRPr="00000000">
              <w:rPr>
                <w:rtl w:val="0"/>
              </w:rPr>
            </w:r>
          </w:p>
        </w:tc>
        <w:tc>
          <w:tcPr/>
          <w:p w:rsidR="00000000" w:rsidDel="00000000" w:rsidP="00000000" w:rsidRDefault="00000000" w:rsidRPr="00000000" w14:paraId="0000068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Registro de Obra Inédita (código fuente y ontología)</w:t>
            </w:r>
            <w:r w:rsidDel="00000000" w:rsidR="00000000" w:rsidRPr="00000000">
              <w:rPr>
                <w:rtl w:val="0"/>
              </w:rPr>
            </w:r>
          </w:p>
        </w:tc>
        <w:tc>
          <w:tcPr/>
          <w:p w:rsidR="00000000" w:rsidDel="00000000" w:rsidP="00000000" w:rsidRDefault="00000000" w:rsidRPr="00000000" w14:paraId="0000068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1 trámite</w:t>
            </w:r>
            <w:r w:rsidDel="00000000" w:rsidR="00000000" w:rsidRPr="00000000">
              <w:rPr>
                <w:rtl w:val="0"/>
              </w:rPr>
            </w:r>
          </w:p>
        </w:tc>
        <w:tc>
          <w:tcPr/>
          <w:p w:rsidR="00000000" w:rsidDel="00000000" w:rsidP="00000000" w:rsidRDefault="00000000" w:rsidRPr="00000000" w14:paraId="0000068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Tarifa oficial</w:t>
            </w:r>
            <w:r w:rsidDel="00000000" w:rsidR="00000000" w:rsidRPr="00000000">
              <w:rPr>
                <w:rtl w:val="0"/>
              </w:rPr>
            </w:r>
          </w:p>
        </w:tc>
        <w:tc>
          <w:tcPr/>
          <w:p w:rsidR="00000000" w:rsidDel="00000000" w:rsidP="00000000" w:rsidRDefault="00000000" w:rsidRPr="00000000" w14:paraId="0000068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25.000</w:t>
            </w:r>
            <w:r w:rsidDel="00000000" w:rsidR="00000000" w:rsidRPr="00000000">
              <w:rPr>
                <w:rtl w:val="0"/>
              </w:rPr>
            </w:r>
          </w:p>
        </w:tc>
        <w:tc>
          <w:tcPr/>
          <w:p w:rsidR="00000000" w:rsidDel="00000000" w:rsidP="00000000" w:rsidRDefault="00000000" w:rsidRPr="00000000" w14:paraId="0000068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USD 16,19</w:t>
            </w:r>
            <w:r w:rsidDel="00000000" w:rsidR="00000000" w:rsidRPr="00000000">
              <w:rPr>
                <w:rtl w:val="0"/>
              </w:rPr>
            </w:r>
          </w:p>
        </w:tc>
        <w:tc>
          <w:tcPr/>
          <w:p w:rsidR="00000000" w:rsidDel="00000000" w:rsidP="00000000" w:rsidRDefault="00000000" w:rsidRPr="00000000" w14:paraId="0000068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0,48%</w:t>
            </w:r>
            <w:r w:rsidDel="00000000" w:rsidR="00000000" w:rsidRPr="00000000">
              <w:rPr>
                <w:rtl w:val="0"/>
              </w:rPr>
            </w:r>
          </w:p>
        </w:tc>
        <w:tc>
          <w:tcPr/>
          <w:p w:rsidR="00000000" w:rsidDel="00000000" w:rsidP="00000000" w:rsidRDefault="00000000" w:rsidRPr="00000000" w14:paraId="0000068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DNDA (Ley 11.723); custodia registral de software.</w:t>
            </w:r>
            <w:r w:rsidDel="00000000" w:rsidR="00000000" w:rsidRPr="00000000">
              <w:rPr>
                <w:rtl w:val="0"/>
              </w:rPr>
            </w:r>
          </w:p>
        </w:tc>
      </w:tr>
      <w:tr>
        <w:trPr>
          <w:cantSplit w:val="1"/>
          <w:tblHeader w:val="0"/>
        </w:trPr>
        <w:tc>
          <w:tcPr/>
          <w:p w:rsidR="00000000" w:rsidDel="00000000" w:rsidP="00000000" w:rsidRDefault="00000000" w:rsidRPr="00000000" w14:paraId="0000068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PI / Marca</w:t>
            </w:r>
            <w:r w:rsidDel="00000000" w:rsidR="00000000" w:rsidRPr="00000000">
              <w:rPr>
                <w:rtl w:val="0"/>
              </w:rPr>
            </w:r>
          </w:p>
        </w:tc>
        <w:tc>
          <w:tcPr/>
          <w:p w:rsidR="00000000" w:rsidDel="00000000" w:rsidP="00000000" w:rsidRDefault="00000000" w:rsidRPr="00000000" w14:paraId="0000068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Búsqueda previa de antecedentes y viabilidad marcaria</w:t>
            </w:r>
            <w:r w:rsidDel="00000000" w:rsidR="00000000" w:rsidRPr="00000000">
              <w:rPr>
                <w:rtl w:val="0"/>
              </w:rPr>
            </w:r>
          </w:p>
        </w:tc>
        <w:tc>
          <w:tcPr/>
          <w:p w:rsidR="00000000" w:rsidDel="00000000" w:rsidP="00000000" w:rsidRDefault="00000000" w:rsidRPr="00000000" w14:paraId="0000068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1 informe</w:t>
            </w:r>
            <w:r w:rsidDel="00000000" w:rsidR="00000000" w:rsidRPr="00000000">
              <w:rPr>
                <w:rtl w:val="0"/>
              </w:rPr>
            </w:r>
          </w:p>
        </w:tc>
        <w:tc>
          <w:tcPr/>
          <w:p w:rsidR="00000000" w:rsidDel="00000000" w:rsidP="00000000" w:rsidRDefault="00000000" w:rsidRPr="00000000" w14:paraId="0000068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Tarifa técnica</w:t>
            </w:r>
            <w:r w:rsidDel="00000000" w:rsidR="00000000" w:rsidRPr="00000000">
              <w:rPr>
                <w:rtl w:val="0"/>
              </w:rPr>
            </w:r>
          </w:p>
        </w:tc>
        <w:tc>
          <w:tcPr/>
          <w:p w:rsidR="00000000" w:rsidDel="00000000" w:rsidP="00000000" w:rsidRDefault="00000000" w:rsidRPr="00000000" w14:paraId="0000069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18.000</w:t>
            </w:r>
            <w:r w:rsidDel="00000000" w:rsidR="00000000" w:rsidRPr="00000000">
              <w:rPr>
                <w:rtl w:val="0"/>
              </w:rPr>
            </w:r>
          </w:p>
        </w:tc>
        <w:tc>
          <w:tcPr/>
          <w:p w:rsidR="00000000" w:rsidDel="00000000" w:rsidP="00000000" w:rsidRDefault="00000000" w:rsidRPr="00000000" w14:paraId="0000069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USD 11,66</w:t>
            </w:r>
            <w:r w:rsidDel="00000000" w:rsidR="00000000" w:rsidRPr="00000000">
              <w:rPr>
                <w:rtl w:val="0"/>
              </w:rPr>
            </w:r>
          </w:p>
        </w:tc>
        <w:tc>
          <w:tcPr/>
          <w:p w:rsidR="00000000" w:rsidDel="00000000" w:rsidP="00000000" w:rsidRDefault="00000000" w:rsidRPr="00000000" w14:paraId="0000069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0,34%</w:t>
            </w:r>
            <w:r w:rsidDel="00000000" w:rsidR="00000000" w:rsidRPr="00000000">
              <w:rPr>
                <w:rtl w:val="0"/>
              </w:rPr>
            </w:r>
          </w:p>
        </w:tc>
        <w:tc>
          <w:tcPr/>
          <w:p w:rsidR="00000000" w:rsidDel="00000000" w:rsidP="00000000" w:rsidRDefault="00000000" w:rsidRPr="00000000" w14:paraId="0000069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Estudio de antecedentes en base de datos del INPI.</w:t>
            </w:r>
            <w:r w:rsidDel="00000000" w:rsidR="00000000" w:rsidRPr="00000000">
              <w:rPr>
                <w:rtl w:val="0"/>
              </w:rPr>
            </w:r>
          </w:p>
        </w:tc>
      </w:tr>
      <w:tr>
        <w:trPr>
          <w:cantSplit w:val="1"/>
          <w:tblHeader w:val="0"/>
        </w:trPr>
        <w:tc>
          <w:tcPr/>
          <w:p w:rsidR="00000000" w:rsidDel="00000000" w:rsidP="00000000" w:rsidRDefault="00000000" w:rsidRPr="00000000" w14:paraId="0000069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PI / Marca</w:t>
            </w:r>
            <w:r w:rsidDel="00000000" w:rsidR="00000000" w:rsidRPr="00000000">
              <w:rPr>
                <w:rtl w:val="0"/>
              </w:rPr>
            </w:r>
          </w:p>
        </w:tc>
        <w:tc>
          <w:tcPr/>
          <w:p w:rsidR="00000000" w:rsidDel="00000000" w:rsidP="00000000" w:rsidRDefault="00000000" w:rsidRPr="00000000" w14:paraId="0000069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Registro de marca mixta INPI (Clases Niza 9 y 42)</w:t>
            </w:r>
            <w:r w:rsidDel="00000000" w:rsidR="00000000" w:rsidRPr="00000000">
              <w:rPr>
                <w:rtl w:val="0"/>
              </w:rPr>
            </w:r>
          </w:p>
        </w:tc>
        <w:tc>
          <w:tcPr/>
          <w:p w:rsidR="00000000" w:rsidDel="00000000" w:rsidP="00000000" w:rsidRDefault="00000000" w:rsidRPr="00000000" w14:paraId="0000069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2 clases</w:t>
            </w:r>
            <w:r w:rsidDel="00000000" w:rsidR="00000000" w:rsidRPr="00000000">
              <w:rPr>
                <w:rtl w:val="0"/>
              </w:rPr>
            </w:r>
          </w:p>
        </w:tc>
        <w:tc>
          <w:tcPr/>
          <w:p w:rsidR="00000000" w:rsidDel="00000000" w:rsidP="00000000" w:rsidRDefault="00000000" w:rsidRPr="00000000" w14:paraId="0000069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78.000 / clase</w:t>
            </w:r>
            <w:r w:rsidDel="00000000" w:rsidR="00000000" w:rsidRPr="00000000">
              <w:rPr>
                <w:rtl w:val="0"/>
              </w:rPr>
            </w:r>
          </w:p>
        </w:tc>
        <w:tc>
          <w:tcPr/>
          <w:p w:rsidR="00000000" w:rsidDel="00000000" w:rsidP="00000000" w:rsidRDefault="00000000" w:rsidRPr="00000000" w14:paraId="0000069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156.000</w:t>
            </w:r>
            <w:r w:rsidDel="00000000" w:rsidR="00000000" w:rsidRPr="00000000">
              <w:rPr>
                <w:rtl w:val="0"/>
              </w:rPr>
            </w:r>
          </w:p>
        </w:tc>
        <w:tc>
          <w:tcPr/>
          <w:p w:rsidR="00000000" w:rsidDel="00000000" w:rsidP="00000000" w:rsidRDefault="00000000" w:rsidRPr="00000000" w14:paraId="0000069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USD 101,04</w:t>
            </w:r>
            <w:r w:rsidDel="00000000" w:rsidR="00000000" w:rsidRPr="00000000">
              <w:rPr>
                <w:rtl w:val="0"/>
              </w:rPr>
            </w:r>
          </w:p>
        </w:tc>
        <w:tc>
          <w:tcPr/>
          <w:p w:rsidR="00000000" w:rsidDel="00000000" w:rsidP="00000000" w:rsidRDefault="00000000" w:rsidRPr="00000000" w14:paraId="0000069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2,97%</w:t>
            </w:r>
            <w:r w:rsidDel="00000000" w:rsidR="00000000" w:rsidRPr="00000000">
              <w:rPr>
                <w:rtl w:val="0"/>
              </w:rPr>
            </w:r>
          </w:p>
        </w:tc>
        <w:tc>
          <w:tcPr/>
          <w:p w:rsidR="00000000" w:rsidDel="00000000" w:rsidP="00000000" w:rsidRDefault="00000000" w:rsidRPr="00000000" w14:paraId="0000069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Aranceles oficiales INPI Argentina (Resolución 2026).</w:t>
            </w:r>
            <w:r w:rsidDel="00000000" w:rsidR="00000000" w:rsidRPr="00000000">
              <w:rPr>
                <w:rtl w:val="0"/>
              </w:rPr>
            </w:r>
          </w:p>
        </w:tc>
      </w:tr>
      <w:tr>
        <w:trPr>
          <w:cantSplit w:val="1"/>
          <w:tblHeader w:val="0"/>
        </w:trPr>
        <w:tc>
          <w:tcPr/>
          <w:p w:rsidR="00000000" w:rsidDel="00000000" w:rsidP="00000000" w:rsidRDefault="00000000" w:rsidRPr="00000000" w14:paraId="0000069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Legal / Firma Digital</w:t>
            </w:r>
            <w:r w:rsidDel="00000000" w:rsidR="00000000" w:rsidRPr="00000000">
              <w:rPr>
                <w:rtl w:val="0"/>
              </w:rPr>
            </w:r>
          </w:p>
        </w:tc>
        <w:tc>
          <w:tcPr/>
          <w:p w:rsidR="00000000" w:rsidDel="00000000" w:rsidP="00000000" w:rsidRDefault="00000000" w:rsidRPr="00000000" w14:paraId="0000069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Token criptográfico FIPS 140-2 y Firma Digital</w:t>
            </w:r>
            <w:r w:rsidDel="00000000" w:rsidR="00000000" w:rsidRPr="00000000">
              <w:rPr>
                <w:rtl w:val="0"/>
              </w:rPr>
            </w:r>
          </w:p>
        </w:tc>
        <w:tc>
          <w:tcPr/>
          <w:p w:rsidR="00000000" w:rsidDel="00000000" w:rsidP="00000000" w:rsidRDefault="00000000" w:rsidRPr="00000000" w14:paraId="0000069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1 dispositivo</w:t>
            </w:r>
            <w:r w:rsidDel="00000000" w:rsidR="00000000" w:rsidRPr="00000000">
              <w:rPr>
                <w:rtl w:val="0"/>
              </w:rPr>
            </w:r>
          </w:p>
        </w:tc>
        <w:tc>
          <w:tcPr/>
          <w:p w:rsidR="00000000" w:rsidDel="00000000" w:rsidP="00000000" w:rsidRDefault="00000000" w:rsidRPr="00000000" w14:paraId="0000069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Tarifa oficial</w:t>
            </w:r>
            <w:r w:rsidDel="00000000" w:rsidR="00000000" w:rsidRPr="00000000">
              <w:rPr>
                <w:rtl w:val="0"/>
              </w:rPr>
            </w:r>
          </w:p>
        </w:tc>
        <w:tc>
          <w:tcPr/>
          <w:p w:rsidR="00000000" w:rsidDel="00000000" w:rsidP="00000000" w:rsidRDefault="00000000" w:rsidRPr="00000000" w14:paraId="000006A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34.000</w:t>
            </w:r>
            <w:r w:rsidDel="00000000" w:rsidR="00000000" w:rsidRPr="00000000">
              <w:rPr>
                <w:rtl w:val="0"/>
              </w:rPr>
            </w:r>
          </w:p>
        </w:tc>
        <w:tc>
          <w:tcPr/>
          <w:p w:rsidR="00000000" w:rsidDel="00000000" w:rsidP="00000000" w:rsidRDefault="00000000" w:rsidRPr="00000000" w14:paraId="000006A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USD 22,02</w:t>
            </w:r>
            <w:r w:rsidDel="00000000" w:rsidR="00000000" w:rsidRPr="00000000">
              <w:rPr>
                <w:rtl w:val="0"/>
              </w:rPr>
            </w:r>
          </w:p>
        </w:tc>
        <w:tc>
          <w:tcPr/>
          <w:p w:rsidR="00000000" w:rsidDel="00000000" w:rsidP="00000000" w:rsidRDefault="00000000" w:rsidRPr="00000000" w14:paraId="000006A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0,65%</w:t>
            </w:r>
            <w:r w:rsidDel="00000000" w:rsidR="00000000" w:rsidRPr="00000000">
              <w:rPr>
                <w:rtl w:val="0"/>
              </w:rPr>
            </w:r>
          </w:p>
        </w:tc>
        <w:tc>
          <w:tcPr/>
          <w:p w:rsidR="00000000" w:rsidDel="00000000" w:rsidP="00000000" w:rsidRDefault="00000000" w:rsidRPr="00000000" w14:paraId="000006A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Ley 25.506 / ONTI; firma digital válida de contratos.</w:t>
            </w:r>
            <w:r w:rsidDel="00000000" w:rsidR="00000000" w:rsidRPr="00000000">
              <w:rPr>
                <w:rtl w:val="0"/>
              </w:rPr>
            </w:r>
          </w:p>
        </w:tc>
      </w:tr>
      <w:tr>
        <w:trPr>
          <w:cantSplit w:val="1"/>
          <w:tblHeader w:val="0"/>
        </w:trPr>
        <w:tc>
          <w:tcPr/>
          <w:p w:rsidR="00000000" w:rsidDel="00000000" w:rsidP="00000000" w:rsidRDefault="00000000" w:rsidRPr="00000000" w14:paraId="000006A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Legal / Contratos B2B</w:t>
            </w:r>
            <w:r w:rsidDel="00000000" w:rsidR="00000000" w:rsidRPr="00000000">
              <w:rPr>
                <w:rtl w:val="0"/>
              </w:rPr>
            </w:r>
          </w:p>
        </w:tc>
        <w:tc>
          <w:tcPr/>
          <w:p w:rsidR="00000000" w:rsidDel="00000000" w:rsidP="00000000" w:rsidRDefault="00000000" w:rsidRPr="00000000" w14:paraId="000006A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Formulación de EULA Enterprise, SLA y NDA</w:t>
            </w:r>
            <w:r w:rsidDel="00000000" w:rsidR="00000000" w:rsidRPr="00000000">
              <w:rPr>
                <w:rtl w:val="0"/>
              </w:rPr>
            </w:r>
          </w:p>
        </w:tc>
        <w:tc>
          <w:tcPr/>
          <w:p w:rsidR="00000000" w:rsidDel="00000000" w:rsidP="00000000" w:rsidRDefault="00000000" w:rsidRPr="00000000" w14:paraId="000006A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1 paquete</w:t>
            </w:r>
            <w:r w:rsidDel="00000000" w:rsidR="00000000" w:rsidRPr="00000000">
              <w:rPr>
                <w:rtl w:val="0"/>
              </w:rPr>
            </w:r>
          </w:p>
        </w:tc>
        <w:tc>
          <w:tcPr/>
          <w:p w:rsidR="00000000" w:rsidDel="00000000" w:rsidP="00000000" w:rsidRDefault="00000000" w:rsidRPr="00000000" w14:paraId="000006A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Honorario legal</w:t>
            </w:r>
            <w:r w:rsidDel="00000000" w:rsidR="00000000" w:rsidRPr="00000000">
              <w:rPr>
                <w:rtl w:val="0"/>
              </w:rPr>
            </w:r>
          </w:p>
        </w:tc>
        <w:tc>
          <w:tcPr/>
          <w:p w:rsidR="00000000" w:rsidDel="00000000" w:rsidP="00000000" w:rsidRDefault="00000000" w:rsidRPr="00000000" w14:paraId="000006A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65.000</w:t>
            </w:r>
            <w:r w:rsidDel="00000000" w:rsidR="00000000" w:rsidRPr="00000000">
              <w:rPr>
                <w:rtl w:val="0"/>
              </w:rPr>
            </w:r>
          </w:p>
        </w:tc>
        <w:tc>
          <w:tcPr/>
          <w:p w:rsidR="00000000" w:rsidDel="00000000" w:rsidP="00000000" w:rsidRDefault="00000000" w:rsidRPr="00000000" w14:paraId="000006A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USD 42,10</w:t>
            </w:r>
            <w:r w:rsidDel="00000000" w:rsidR="00000000" w:rsidRPr="00000000">
              <w:rPr>
                <w:rtl w:val="0"/>
              </w:rPr>
            </w:r>
          </w:p>
        </w:tc>
        <w:tc>
          <w:tcPr/>
          <w:p w:rsidR="00000000" w:rsidDel="00000000" w:rsidP="00000000" w:rsidRDefault="00000000" w:rsidRPr="00000000" w14:paraId="000006A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1,24%</w:t>
            </w:r>
            <w:r w:rsidDel="00000000" w:rsidR="00000000" w:rsidRPr="00000000">
              <w:rPr>
                <w:rtl w:val="0"/>
              </w:rPr>
            </w:r>
          </w:p>
        </w:tc>
        <w:tc>
          <w:tcPr/>
          <w:p w:rsidR="00000000" w:rsidDel="00000000" w:rsidP="00000000" w:rsidRDefault="00000000" w:rsidRPr="00000000" w14:paraId="000006A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Asesoramiento legal TICs; marco contractual B2B.</w:t>
            </w:r>
            <w:r w:rsidDel="00000000" w:rsidR="00000000" w:rsidRPr="00000000">
              <w:rPr>
                <w:rtl w:val="0"/>
              </w:rPr>
            </w:r>
          </w:p>
        </w:tc>
      </w:tr>
      <w:tr>
        <w:trPr>
          <w:cantSplit w:val="1"/>
          <w:tblHeader w:val="0"/>
        </w:trPr>
        <w:tc>
          <w:tcPr/>
          <w:p w:rsidR="00000000" w:rsidDel="00000000" w:rsidP="00000000" w:rsidRDefault="00000000" w:rsidRPr="00000000" w14:paraId="000006A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Identidad / Dominio</w:t>
            </w:r>
            <w:r w:rsidDel="00000000" w:rsidR="00000000" w:rsidRPr="00000000">
              <w:rPr>
                <w:rtl w:val="0"/>
              </w:rPr>
            </w:r>
          </w:p>
        </w:tc>
        <w:tc>
          <w:tcPr/>
          <w:p w:rsidR="00000000" w:rsidDel="00000000" w:rsidP="00000000" w:rsidRDefault="00000000" w:rsidRPr="00000000" w14:paraId="000006A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Dominio </w:t>
            </w:r>
            <w:r w:rsidDel="00000000" w:rsidR="00000000" w:rsidRPr="00000000">
              <w:rPr>
                <w:rFonts w:ascii="Consolas" w:cs="Consolas" w:eastAsia="Consolas" w:hAnsi="Consolas"/>
                <w:b w:val="0"/>
                <w:bCs w:val="0"/>
                <w:i w:val="0"/>
                <w:iCs w:val="0"/>
                <w:color w:val="334155"/>
                <w:sz w:val="12"/>
                <w:szCs w:val="12"/>
                <w:rtl w:val="0"/>
              </w:rPr>
              <w:t xml:space="preserve">codi-space.com</w:t>
            </w:r>
            <w:r w:rsidDel="00000000" w:rsidR="00000000" w:rsidRPr="00000000">
              <w:rPr>
                <w:rFonts w:ascii="Times New Roman" w:cs="Times New Roman" w:eastAsia="Times New Roman" w:hAnsi="Times New Roman"/>
                <w:b w:val="0"/>
                <w:bCs w:val="0"/>
                <w:i w:val="0"/>
                <w:iCs w:val="0"/>
                <w:color w:val="0f172a"/>
                <w:sz w:val="15"/>
                <w:szCs w:val="15"/>
                <w:rtl w:val="0"/>
              </w:rPr>
              <w:t xml:space="preserve"> + SSL/TLS por 2 años</w:t>
            </w:r>
            <w:r w:rsidDel="00000000" w:rsidR="00000000" w:rsidRPr="00000000">
              <w:rPr>
                <w:rtl w:val="0"/>
              </w:rPr>
            </w:r>
          </w:p>
        </w:tc>
        <w:tc>
          <w:tcPr/>
          <w:p w:rsidR="00000000" w:rsidDel="00000000" w:rsidP="00000000" w:rsidRDefault="00000000" w:rsidRPr="00000000" w14:paraId="000006A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1 paquete (2 años)</w:t>
            </w:r>
            <w:r w:rsidDel="00000000" w:rsidR="00000000" w:rsidRPr="00000000">
              <w:rPr>
                <w:rtl w:val="0"/>
              </w:rPr>
            </w:r>
          </w:p>
        </w:tc>
        <w:tc>
          <w:tcPr/>
          <w:p w:rsidR="00000000" w:rsidDel="00000000" w:rsidP="00000000" w:rsidRDefault="00000000" w:rsidRPr="00000000" w14:paraId="000006A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DonWeb comercial</w:t>
            </w:r>
            <w:r w:rsidDel="00000000" w:rsidR="00000000" w:rsidRPr="00000000">
              <w:rPr>
                <w:rtl w:val="0"/>
              </w:rPr>
            </w:r>
          </w:p>
        </w:tc>
        <w:tc>
          <w:tcPr/>
          <w:p w:rsidR="00000000" w:rsidDel="00000000" w:rsidP="00000000" w:rsidRDefault="00000000" w:rsidRPr="00000000" w14:paraId="000006B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34.000</w:t>
            </w:r>
            <w:r w:rsidDel="00000000" w:rsidR="00000000" w:rsidRPr="00000000">
              <w:rPr>
                <w:rtl w:val="0"/>
              </w:rPr>
            </w:r>
          </w:p>
        </w:tc>
        <w:tc>
          <w:tcPr/>
          <w:p w:rsidR="00000000" w:rsidDel="00000000" w:rsidP="00000000" w:rsidRDefault="00000000" w:rsidRPr="00000000" w14:paraId="000006B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USD 22,02</w:t>
            </w:r>
            <w:r w:rsidDel="00000000" w:rsidR="00000000" w:rsidRPr="00000000">
              <w:rPr>
                <w:rtl w:val="0"/>
              </w:rPr>
            </w:r>
          </w:p>
        </w:tc>
        <w:tc>
          <w:tcPr/>
          <w:p w:rsidR="00000000" w:rsidDel="00000000" w:rsidP="00000000" w:rsidRDefault="00000000" w:rsidRPr="00000000" w14:paraId="000006B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0,65%</w:t>
            </w:r>
            <w:r w:rsidDel="00000000" w:rsidR="00000000" w:rsidRPr="00000000">
              <w:rPr>
                <w:rtl w:val="0"/>
              </w:rPr>
            </w:r>
          </w:p>
        </w:tc>
        <w:tc>
          <w:tcPr/>
          <w:p w:rsidR="00000000" w:rsidDel="00000000" w:rsidP="00000000" w:rsidRDefault="00000000" w:rsidRPr="00000000" w14:paraId="000006B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Factura / tarifa DonWeb bienal con SSL incluido.</w:t>
            </w:r>
            <w:r w:rsidDel="00000000" w:rsidR="00000000" w:rsidRPr="00000000">
              <w:rPr>
                <w:rtl w:val="0"/>
              </w:rPr>
            </w:r>
          </w:p>
        </w:tc>
      </w:tr>
      <w:tr>
        <w:trPr>
          <w:cantSplit w:val="1"/>
          <w:tblHeader w:val="0"/>
        </w:trPr>
        <w:tc>
          <w:tcPr/>
          <w:p w:rsidR="00000000" w:rsidDel="00000000" w:rsidP="00000000" w:rsidRDefault="00000000" w:rsidRPr="00000000" w14:paraId="000006B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Cloud / CI-CD</w:t>
            </w:r>
            <w:r w:rsidDel="00000000" w:rsidR="00000000" w:rsidRPr="00000000">
              <w:rPr>
                <w:rtl w:val="0"/>
              </w:rPr>
            </w:r>
          </w:p>
        </w:tc>
        <w:tc>
          <w:tcPr/>
          <w:p w:rsidR="00000000" w:rsidDel="00000000" w:rsidP="00000000" w:rsidRDefault="00000000" w:rsidRPr="00000000" w14:paraId="000006B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GitHub Team y runners de validación continua</w:t>
            </w:r>
            <w:r w:rsidDel="00000000" w:rsidR="00000000" w:rsidRPr="00000000">
              <w:rPr>
                <w:rtl w:val="0"/>
              </w:rPr>
            </w:r>
          </w:p>
        </w:tc>
        <w:tc>
          <w:tcPr/>
          <w:p w:rsidR="00000000" w:rsidDel="00000000" w:rsidP="00000000" w:rsidRDefault="00000000" w:rsidRPr="00000000" w14:paraId="000006B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2,5 meses</w:t>
            </w:r>
            <w:r w:rsidDel="00000000" w:rsidR="00000000" w:rsidRPr="00000000">
              <w:rPr>
                <w:rtl w:val="0"/>
              </w:rPr>
            </w:r>
          </w:p>
        </w:tc>
        <w:tc>
          <w:tcPr/>
          <w:p w:rsidR="00000000" w:rsidDel="00000000" w:rsidP="00000000" w:rsidRDefault="00000000" w:rsidRPr="00000000" w14:paraId="000006B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13.200 / mes</w:t>
            </w:r>
            <w:r w:rsidDel="00000000" w:rsidR="00000000" w:rsidRPr="00000000">
              <w:rPr>
                <w:rtl w:val="0"/>
              </w:rPr>
            </w:r>
          </w:p>
        </w:tc>
        <w:tc>
          <w:tcPr/>
          <w:p w:rsidR="00000000" w:rsidDel="00000000" w:rsidP="00000000" w:rsidRDefault="00000000" w:rsidRPr="00000000" w14:paraId="000006B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33.000</w:t>
            </w:r>
            <w:r w:rsidDel="00000000" w:rsidR="00000000" w:rsidRPr="00000000">
              <w:rPr>
                <w:rtl w:val="0"/>
              </w:rPr>
            </w:r>
          </w:p>
        </w:tc>
        <w:tc>
          <w:tcPr/>
          <w:p w:rsidR="00000000" w:rsidDel="00000000" w:rsidP="00000000" w:rsidRDefault="00000000" w:rsidRPr="00000000" w14:paraId="000006B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USD 21,37</w:t>
            </w:r>
            <w:r w:rsidDel="00000000" w:rsidR="00000000" w:rsidRPr="00000000">
              <w:rPr>
                <w:rtl w:val="0"/>
              </w:rPr>
            </w:r>
          </w:p>
        </w:tc>
        <w:tc>
          <w:tcPr/>
          <w:p w:rsidR="00000000" w:rsidDel="00000000" w:rsidP="00000000" w:rsidRDefault="00000000" w:rsidRPr="00000000" w14:paraId="000006B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0,63%</w:t>
            </w:r>
            <w:r w:rsidDel="00000000" w:rsidR="00000000" w:rsidRPr="00000000">
              <w:rPr>
                <w:rtl w:val="0"/>
              </w:rPr>
            </w:r>
          </w:p>
        </w:tc>
        <w:tc>
          <w:tcPr/>
          <w:p w:rsidR="00000000" w:rsidDel="00000000" w:rsidP="00000000" w:rsidRDefault="00000000" w:rsidRPr="00000000" w14:paraId="000006B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Repositorio privado y pruebas automáticas en nube.</w:t>
            </w:r>
            <w:r w:rsidDel="00000000" w:rsidR="00000000" w:rsidRPr="00000000">
              <w:rPr>
                <w:rtl w:val="0"/>
              </w:rPr>
            </w:r>
          </w:p>
        </w:tc>
      </w:tr>
      <w:tr>
        <w:trPr>
          <w:cantSplit w:val="1"/>
          <w:tblHeader w:val="0"/>
        </w:trPr>
        <w:tc>
          <w:tcPr/>
          <w:p w:rsidR="00000000" w:rsidDel="00000000" w:rsidP="00000000" w:rsidRDefault="00000000" w:rsidRPr="00000000" w14:paraId="000006B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Cloud / Docker</w:t>
            </w:r>
            <w:r w:rsidDel="00000000" w:rsidR="00000000" w:rsidRPr="00000000">
              <w:rPr>
                <w:rtl w:val="0"/>
              </w:rPr>
            </w:r>
          </w:p>
        </w:tc>
        <w:tc>
          <w:tcPr/>
          <w:p w:rsidR="00000000" w:rsidDel="00000000" w:rsidP="00000000" w:rsidRDefault="00000000" w:rsidRPr="00000000" w14:paraId="000006B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Registro privado de contenedores y distribución</w:t>
            </w:r>
            <w:r w:rsidDel="00000000" w:rsidR="00000000" w:rsidRPr="00000000">
              <w:rPr>
                <w:rtl w:val="0"/>
              </w:rPr>
            </w:r>
          </w:p>
        </w:tc>
        <w:tc>
          <w:tcPr/>
          <w:p w:rsidR="00000000" w:rsidDel="00000000" w:rsidP="00000000" w:rsidRDefault="00000000" w:rsidRPr="00000000" w14:paraId="000006B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2,5 meses</w:t>
            </w:r>
            <w:r w:rsidDel="00000000" w:rsidR="00000000" w:rsidRPr="00000000">
              <w:rPr>
                <w:rtl w:val="0"/>
              </w:rPr>
            </w:r>
          </w:p>
        </w:tc>
        <w:tc>
          <w:tcPr/>
          <w:p w:rsidR="00000000" w:rsidDel="00000000" w:rsidP="00000000" w:rsidRDefault="00000000" w:rsidRPr="00000000" w14:paraId="000006B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7.600 / mes</w:t>
            </w:r>
            <w:r w:rsidDel="00000000" w:rsidR="00000000" w:rsidRPr="00000000">
              <w:rPr>
                <w:rtl w:val="0"/>
              </w:rPr>
            </w:r>
          </w:p>
        </w:tc>
        <w:tc>
          <w:tcPr/>
          <w:p w:rsidR="00000000" w:rsidDel="00000000" w:rsidP="00000000" w:rsidRDefault="00000000" w:rsidRPr="00000000" w14:paraId="000006C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19.000</w:t>
            </w:r>
            <w:r w:rsidDel="00000000" w:rsidR="00000000" w:rsidRPr="00000000">
              <w:rPr>
                <w:rtl w:val="0"/>
              </w:rPr>
            </w:r>
          </w:p>
        </w:tc>
        <w:tc>
          <w:tcPr/>
          <w:p w:rsidR="00000000" w:rsidDel="00000000" w:rsidP="00000000" w:rsidRDefault="00000000" w:rsidRPr="00000000" w14:paraId="000006C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USD 12,31</w:t>
            </w:r>
            <w:r w:rsidDel="00000000" w:rsidR="00000000" w:rsidRPr="00000000">
              <w:rPr>
                <w:rtl w:val="0"/>
              </w:rPr>
            </w:r>
          </w:p>
        </w:tc>
        <w:tc>
          <w:tcPr/>
          <w:p w:rsidR="00000000" w:rsidDel="00000000" w:rsidP="00000000" w:rsidRDefault="00000000" w:rsidRPr="00000000" w14:paraId="000006C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0,36%</w:t>
            </w:r>
            <w:r w:rsidDel="00000000" w:rsidR="00000000" w:rsidRPr="00000000">
              <w:rPr>
                <w:rtl w:val="0"/>
              </w:rPr>
            </w:r>
          </w:p>
        </w:tc>
        <w:tc>
          <w:tcPr/>
          <w:p w:rsidR="00000000" w:rsidDel="00000000" w:rsidP="00000000" w:rsidRDefault="00000000" w:rsidRPr="00000000" w14:paraId="000006C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Docker Hub / GHCR para distribución de imágenes.</w:t>
            </w:r>
            <w:r w:rsidDel="00000000" w:rsidR="00000000" w:rsidRPr="00000000">
              <w:rPr>
                <w:rtl w:val="0"/>
              </w:rPr>
            </w:r>
          </w:p>
        </w:tc>
      </w:tr>
      <w:tr>
        <w:trPr>
          <w:cantSplit w:val="1"/>
          <w:tblHeader w:val="0"/>
        </w:trPr>
        <w:tc>
          <w:tcPr/>
          <w:p w:rsidR="00000000" w:rsidDel="00000000" w:rsidP="00000000" w:rsidRDefault="00000000" w:rsidRPr="00000000" w14:paraId="000006C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IA / Desarrollo</w:t>
            </w:r>
            <w:r w:rsidDel="00000000" w:rsidR="00000000" w:rsidRPr="00000000">
              <w:rPr>
                <w:rtl w:val="0"/>
              </w:rPr>
            </w:r>
          </w:p>
        </w:tc>
        <w:tc>
          <w:tcPr/>
          <w:p w:rsidR="00000000" w:rsidDel="00000000" w:rsidP="00000000" w:rsidRDefault="00000000" w:rsidRPr="00000000" w14:paraId="000006C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Herramientas IA (OpenCode Go, Gemini, Cursor/Plus)</w:t>
            </w:r>
            <w:r w:rsidDel="00000000" w:rsidR="00000000" w:rsidRPr="00000000">
              <w:rPr>
                <w:rtl w:val="0"/>
              </w:rPr>
            </w:r>
          </w:p>
        </w:tc>
        <w:tc>
          <w:tcPr/>
          <w:p w:rsidR="00000000" w:rsidDel="00000000" w:rsidP="00000000" w:rsidRDefault="00000000" w:rsidRPr="00000000" w14:paraId="000006C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2,5 meses</w:t>
            </w:r>
            <w:r w:rsidDel="00000000" w:rsidR="00000000" w:rsidRPr="00000000">
              <w:rPr>
                <w:rtl w:val="0"/>
              </w:rPr>
            </w:r>
          </w:p>
        </w:tc>
        <w:tc>
          <w:tcPr/>
          <w:p w:rsidR="00000000" w:rsidDel="00000000" w:rsidP="00000000" w:rsidRDefault="00000000" w:rsidRPr="00000000" w14:paraId="000006C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USD 35 / mes</w:t>
            </w:r>
            <w:r w:rsidDel="00000000" w:rsidR="00000000" w:rsidRPr="00000000">
              <w:rPr>
                <w:rtl w:val="0"/>
              </w:rPr>
            </w:r>
          </w:p>
        </w:tc>
        <w:tc>
          <w:tcPr/>
          <w:p w:rsidR="00000000" w:rsidDel="00000000" w:rsidP="00000000" w:rsidRDefault="00000000" w:rsidRPr="00000000" w14:paraId="000006C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135.097</w:t>
            </w:r>
            <w:r w:rsidDel="00000000" w:rsidR="00000000" w:rsidRPr="00000000">
              <w:rPr>
                <w:rtl w:val="0"/>
              </w:rPr>
            </w:r>
          </w:p>
        </w:tc>
        <w:tc>
          <w:tcPr/>
          <w:p w:rsidR="00000000" w:rsidDel="00000000" w:rsidP="00000000" w:rsidRDefault="00000000" w:rsidRPr="00000000" w14:paraId="000006C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USD 87,50</w:t>
            </w:r>
            <w:r w:rsidDel="00000000" w:rsidR="00000000" w:rsidRPr="00000000">
              <w:rPr>
                <w:rtl w:val="0"/>
              </w:rPr>
            </w:r>
          </w:p>
        </w:tc>
        <w:tc>
          <w:tcPr/>
          <w:p w:rsidR="00000000" w:rsidDel="00000000" w:rsidP="00000000" w:rsidRDefault="00000000" w:rsidRPr="00000000" w14:paraId="000006C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2,57%</w:t>
            </w:r>
            <w:r w:rsidDel="00000000" w:rsidR="00000000" w:rsidRPr="00000000">
              <w:rPr>
                <w:rtl w:val="0"/>
              </w:rPr>
            </w:r>
          </w:p>
        </w:tc>
        <w:tc>
          <w:tcPr/>
          <w:p w:rsidR="00000000" w:rsidDel="00000000" w:rsidP="00000000" w:rsidRDefault="00000000" w:rsidRPr="00000000" w14:paraId="000006C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Suscripciones de ingeniería asistida por IA para el autor.</w:t>
            </w:r>
            <w:r w:rsidDel="00000000" w:rsidR="00000000" w:rsidRPr="00000000">
              <w:rPr>
                <w:rtl w:val="0"/>
              </w:rPr>
            </w:r>
          </w:p>
        </w:tc>
      </w:tr>
      <w:tr>
        <w:trPr>
          <w:cantSplit w:val="1"/>
          <w:tblHeader w:val="0"/>
        </w:trPr>
        <w:tc>
          <w:tcPr/>
          <w:p w:rsidR="00000000" w:rsidDel="00000000" w:rsidP="00000000" w:rsidRDefault="00000000" w:rsidRPr="00000000" w14:paraId="000006C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Inversión Inicial Total</w:t>
            </w:r>
            <w:r w:rsidDel="00000000" w:rsidR="00000000" w:rsidRPr="00000000">
              <w:rPr>
                <w:rtl w:val="0"/>
              </w:rPr>
            </w:r>
          </w:p>
        </w:tc>
        <w:tc>
          <w:tcPr/>
          <w:p w:rsidR="00000000" w:rsidDel="00000000" w:rsidP="00000000" w:rsidRDefault="00000000" w:rsidRPr="00000000" w14:paraId="000006C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Capital total consolidado para desarrollo y formalización</w:t>
            </w:r>
            <w:r w:rsidDel="00000000" w:rsidR="00000000" w:rsidRPr="00000000">
              <w:rPr>
                <w:rtl w:val="0"/>
              </w:rPr>
            </w:r>
          </w:p>
        </w:tc>
        <w:tc>
          <w:tcPr/>
          <w:p w:rsidR="00000000" w:rsidDel="00000000" w:rsidP="00000000" w:rsidRDefault="00000000" w:rsidRPr="00000000" w14:paraId="000006C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w:t>
            </w:r>
            <w:r w:rsidDel="00000000" w:rsidR="00000000" w:rsidRPr="00000000">
              <w:rPr>
                <w:rtl w:val="0"/>
              </w:rPr>
            </w:r>
          </w:p>
        </w:tc>
        <w:tc>
          <w:tcPr/>
          <w:p w:rsidR="00000000" w:rsidDel="00000000" w:rsidP="00000000" w:rsidRDefault="00000000" w:rsidRPr="00000000" w14:paraId="000006C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w:t>
            </w:r>
            <w:r w:rsidDel="00000000" w:rsidR="00000000" w:rsidRPr="00000000">
              <w:rPr>
                <w:rtl w:val="0"/>
              </w:rPr>
            </w:r>
          </w:p>
        </w:tc>
        <w:tc>
          <w:tcPr/>
          <w:p w:rsidR="00000000" w:rsidDel="00000000" w:rsidP="00000000" w:rsidRDefault="00000000" w:rsidRPr="00000000" w14:paraId="000006D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5.247.429</w:t>
            </w:r>
            <w:r w:rsidDel="00000000" w:rsidR="00000000" w:rsidRPr="00000000">
              <w:rPr>
                <w:rtl w:val="0"/>
              </w:rPr>
            </w:r>
          </w:p>
        </w:tc>
        <w:tc>
          <w:tcPr/>
          <w:p w:rsidR="00000000" w:rsidDel="00000000" w:rsidP="00000000" w:rsidRDefault="00000000" w:rsidRPr="00000000" w14:paraId="000006D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USD 3.398,68</w:t>
            </w:r>
            <w:r w:rsidDel="00000000" w:rsidR="00000000" w:rsidRPr="00000000">
              <w:rPr>
                <w:rtl w:val="0"/>
              </w:rPr>
            </w:r>
          </w:p>
        </w:tc>
        <w:tc>
          <w:tcPr/>
          <w:p w:rsidR="00000000" w:rsidDel="00000000" w:rsidP="00000000" w:rsidRDefault="00000000" w:rsidRPr="00000000" w14:paraId="000006D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100,00%</w:t>
            </w:r>
            <w:r w:rsidDel="00000000" w:rsidR="00000000" w:rsidRPr="00000000">
              <w:rPr>
                <w:rtl w:val="0"/>
              </w:rPr>
            </w:r>
          </w:p>
        </w:tc>
        <w:tc>
          <w:tcPr/>
          <w:p w:rsidR="00000000" w:rsidDel="00000000" w:rsidP="00000000" w:rsidRDefault="00000000" w:rsidRPr="00000000" w14:paraId="000006D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Inversión consolidada de formulación y desarrollo del MVP.</w:t>
            </w:r>
            <w:r w:rsidDel="00000000" w:rsidR="00000000" w:rsidRPr="00000000">
              <w:rPr>
                <w:rtl w:val="0"/>
              </w:rPr>
            </w:r>
          </w:p>
        </w:tc>
      </w:tr>
    </w:tbl>
    <w:p w:rsidR="00000000" w:rsidDel="00000000" w:rsidP="00000000" w:rsidRDefault="00000000" w:rsidRPr="00000000" w14:paraId="000006D4">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Nota. Tipo de cambio minorista de referencia del Banco Central de la República Argentina (BCRA) al 01/10/2026 (cierre 15:00 hs): Compra1.490,41 / Venta 1.543,96 ARS/USD (tipo vendedor aplicado para conversiones). Las 190 horas de mano de obra coinciden exactamente con la planificación de los Capítulos III, V y X.</w:t>
      </w:r>
      <w:r w:rsidDel="00000000" w:rsidR="00000000" w:rsidRPr="00000000">
        <w:rPr>
          <w:rtl w:val="0"/>
        </w:rPr>
      </w:r>
    </w:p>
    <w:p w:rsidR="00000000" w:rsidDel="00000000" w:rsidP="00000000" w:rsidRDefault="00000000" w:rsidRPr="00000000" w14:paraId="000006D5">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Estructura de Costos Recurrentes de Operación y Mantenimiento (OPEX)</w:t>
      </w:r>
      <w:r w:rsidDel="00000000" w:rsidR="00000000" w:rsidRPr="00000000">
        <w:rPr>
          <w:rtl w:val="0"/>
        </w:rPr>
      </w:r>
    </w:p>
    <w:p w:rsidR="00000000" w:rsidDel="00000000" w:rsidP="00000000" w:rsidRDefault="00000000" w:rsidRPr="00000000" w14:paraId="000006D6">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Una vez alcanzada la versión funcional congelada y validado el esqueleto arquitectónico del prototipo (Semanas 13 y 14), la transición del proyecto hacia la fase de explotación comercial bajo la estructura de una Empresa de Base Tecnológica impone una estructura de costos operativos recurrentes. En estricto cumplimiento de la directriz arquitectónica de desacoplamiento de inferencia (Capítulo IV, Sec. IV.1):</w:t>
      </w:r>
      <w:r w:rsidDel="00000000" w:rsidR="00000000" w:rsidRPr="00000000">
        <w:rPr>
          <w:rtl w:val="0"/>
        </w:rPr>
      </w:r>
    </w:p>
    <w:p w:rsidR="00000000" w:rsidDel="00000000" w:rsidP="00000000" w:rsidRDefault="00000000" w:rsidRPr="00000000" w14:paraId="000006D7">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1. Costo Marginal Directo de Inferencia de IA (0 USD para la Startup)</w:t>
      </w:r>
      <w:r w:rsidDel="00000000" w:rsidR="00000000" w:rsidRPr="00000000">
        <w:rPr>
          <w:rtl w:val="0"/>
        </w:rPr>
      </w:r>
    </w:p>
    <w:p w:rsidR="00000000" w:rsidDel="00000000" w:rsidP="00000000" w:rsidRDefault="00000000" w:rsidRPr="00000000" w14:paraId="000006D8">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La adopción obligatoria del esquema </w:t>
      </w:r>
      <w:r w:rsidDel="00000000" w:rsidR="00000000" w:rsidRPr="00000000">
        <w:rPr>
          <w:rFonts w:ascii="Times New Roman" w:cs="Times New Roman" w:eastAsia="Times New Roman" w:hAnsi="Times New Roman"/>
          <w:b w:val="0"/>
          <w:bCs w:val="0"/>
          <w:i w:val="1"/>
          <w:iCs w:val="1"/>
          <w:color w:val="0f172a"/>
          <w:sz w:val="24"/>
          <w:szCs w:val="24"/>
          <w:rtl w:val="0"/>
        </w:rPr>
        <w:t xml:space="preserve">Bring Your Own Key</w:t>
      </w:r>
      <w:r w:rsidDel="00000000" w:rsidR="00000000" w:rsidRPr="00000000">
        <w:rPr>
          <w:rFonts w:ascii="Times New Roman" w:cs="Times New Roman" w:eastAsia="Times New Roman" w:hAnsi="Times New Roman"/>
          <w:b w:val="0"/>
          <w:bCs w:val="0"/>
          <w:i w:val="0"/>
          <w:iCs w:val="0"/>
          <w:color w:val="0f172a"/>
          <w:sz w:val="24"/>
          <w:szCs w:val="24"/>
          <w:rtl w:val="0"/>
        </w:rPr>
        <w:t xml:space="preserve"> (BYOK) para APIs comerciales (Google Gemini, Anthropic Claude) y del soporte nativo para modelos de lenguaje locales ejecutados en servidores del cliente (</w:t>
      </w:r>
      <w:r w:rsidDel="00000000" w:rsidR="00000000" w:rsidRPr="00000000">
        <w:rPr>
          <w:rFonts w:ascii="Times New Roman" w:cs="Times New Roman" w:eastAsia="Times New Roman" w:hAnsi="Times New Roman"/>
          <w:b w:val="0"/>
          <w:bCs w:val="0"/>
          <w:i w:val="1"/>
          <w:iCs w:val="1"/>
          <w:color w:val="0f172a"/>
          <w:sz w:val="24"/>
          <w:szCs w:val="24"/>
          <w:rtl w:val="0"/>
        </w:rPr>
        <w:t xml:space="preserve">on-premise</w:t>
      </w:r>
      <w:r w:rsidDel="00000000" w:rsidR="00000000" w:rsidRPr="00000000">
        <w:rPr>
          <w:rFonts w:ascii="Times New Roman" w:cs="Times New Roman" w:eastAsia="Times New Roman" w:hAnsi="Times New Roman"/>
          <w:b w:val="0"/>
          <w:bCs w:val="0"/>
          <w:i w:val="0"/>
          <w:iCs w:val="0"/>
          <w:color w:val="0f172a"/>
          <w:sz w:val="24"/>
          <w:szCs w:val="24"/>
          <w:rtl w:val="0"/>
        </w:rPr>
        <w:t xml:space="preserve"> mediante Ollama o vLLM; RNF-04) traslada el costo variable de consumo de tokens al usuario final o institución licenciataria. La startup no opera proxies centrales de inferencia ni asume pasivos flotantes por volumen de consultas de terceros, preservando el margen de contribución del software frente a picos imprevistos de procesamiento documental.</w:t>
      </w:r>
      <w:r w:rsidDel="00000000" w:rsidR="00000000" w:rsidRPr="00000000">
        <w:rPr>
          <w:rtl w:val="0"/>
        </w:rPr>
      </w:r>
    </w:p>
    <w:p w:rsidR="00000000" w:rsidDel="00000000" w:rsidP="00000000" w:rsidRDefault="00000000" w:rsidRPr="00000000" w14:paraId="000006D9">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2. Costos Fijos Operativos Anuales</w:t>
      </w:r>
      <w:r w:rsidDel="00000000" w:rsidR="00000000" w:rsidRPr="00000000">
        <w:rPr>
          <w:rtl w:val="0"/>
        </w:rPr>
      </w:r>
    </w:p>
    <w:p w:rsidR="00000000" w:rsidDel="00000000" w:rsidP="00000000" w:rsidRDefault="00000000" w:rsidRPr="00000000" w14:paraId="000006DA">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Se estructuran sobre la infraestructura digital mínima y los servicios de soporte indispensables para mantener el catálogo de versiones y dar cumplimiento a los Acuerdos de Nivel de Servicio (SLA) comerciales:</w:t>
      </w:r>
      <w:r w:rsidDel="00000000" w:rsidR="00000000" w:rsidRPr="00000000">
        <w:rPr>
          <w:rtl w:val="0"/>
        </w:rPr>
      </w:r>
    </w:p>
    <w:p w:rsidR="00000000" w:rsidDel="00000000" w:rsidP="00000000" w:rsidRDefault="00000000" w:rsidRPr="00000000" w14:paraId="000006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Infraestructura Cloud Institucional y Repositorio Privado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Servidor virtual privado (VPS) de alta disponibilidad para la distribución del portal de documentación, landing page institucional y registro privado seguro de imágenes Docker: USD 35 mensuales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USD 420 anuales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equivalentes a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648.463 ARS/año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Canal de CI/CD y Mantenimiento de Código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Licenciamiento GitHub Team para 3 asientos de ingeniería de mantenimiento y automatización de pruebas de integración continua: USD 21 mensuales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USD 252 anuales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equivalentes a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389.078 ARS/año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Renovación de Dominio y Certificados SSL/TLS (DonWeb)</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Prorrateo anual del costo bienal de </w:t>
      </w: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codi-space.com</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con SSL/TLS: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USD 11 anuales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17.000 ARS/año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Soporte Técnico Especializado y Mantenimiento Correctivo (SLA)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Asignación de 12 horas mensuales de ingeniería dedicadas a resolución de incidentes, actualización de corpus de normas espaciales y parches de seguridad, tasadas a la tarifa de convenio de mantenimiento formal (18.500 / hora según reporte OPSSI/CESSI 2025/2026): 222.000 mensuales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2.664.000 ARS anuales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equivalentes a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USD 1.725,43 anuales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Reserva Operativa y Contingencias Administrativas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Fondo de previsión para comisiones bancarias por transferencias B2B y trámites societarios: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450.000 ARS anuales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USD 291,46 anuales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Total Costos Fijos Recurrentes Anuales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4.168.541 ARS anuales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(aproximadamente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USD 2.699,90 anuales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E1">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Tabla X.7</w:t>
      </w:r>
      <w:r w:rsidDel="00000000" w:rsidR="00000000" w:rsidRPr="00000000">
        <w:rPr>
          <w:rtl w:val="0"/>
        </w:rPr>
      </w:r>
    </w:p>
    <w:p w:rsidR="00000000" w:rsidDel="00000000" w:rsidP="00000000" w:rsidRDefault="00000000" w:rsidRPr="00000000" w14:paraId="000006E2">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Estructura de Costos Recurrentes de Operación y Mantenimiento Anual</w:t>
      </w:r>
      <w:r w:rsidDel="00000000" w:rsidR="00000000" w:rsidRPr="00000000">
        <w:rPr>
          <w:rtl w:val="0"/>
        </w:rPr>
      </w:r>
    </w:p>
    <w:tbl>
      <w:tblPr>
        <w:tblStyle w:val="Table64"/>
        <w:tblW w:w="8505.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1215"/>
        <w:gridCol w:w="1215"/>
        <w:gridCol w:w="1215"/>
        <w:gridCol w:w="1215"/>
        <w:gridCol w:w="1215"/>
        <w:gridCol w:w="1215"/>
        <w:gridCol w:w="1215"/>
        <w:tblGridChange w:id="0">
          <w:tblGrid>
            <w:gridCol w:w="1215"/>
            <w:gridCol w:w="1215"/>
            <w:gridCol w:w="1215"/>
            <w:gridCol w:w="1215"/>
            <w:gridCol w:w="1215"/>
            <w:gridCol w:w="1215"/>
            <w:gridCol w:w="1215"/>
          </w:tblGrid>
        </w:tblGridChange>
      </w:tblGrid>
      <w:tr>
        <w:trPr>
          <w:cantSplit w:val="1"/>
          <w:tblHeader w:val="1"/>
        </w:trPr>
        <w:tc>
          <w:tcPr>
            <w:shd w:fill="f1f5f9" w:val="clear"/>
          </w:tcPr>
          <w:p w:rsidR="00000000" w:rsidDel="00000000" w:rsidP="00000000" w:rsidRDefault="00000000" w:rsidRPr="00000000" w14:paraId="000006E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Categoría de Gasto</w:t>
            </w:r>
            <w:r w:rsidDel="00000000" w:rsidR="00000000" w:rsidRPr="00000000">
              <w:rPr>
                <w:rtl w:val="0"/>
              </w:rPr>
            </w:r>
          </w:p>
        </w:tc>
        <w:tc>
          <w:tcPr>
            <w:shd w:fill="f1f5f9" w:val="clear"/>
          </w:tcPr>
          <w:p w:rsidR="00000000" w:rsidDel="00000000" w:rsidP="00000000" w:rsidRDefault="00000000" w:rsidRPr="00000000" w14:paraId="000006E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Concepto Operativo</w:t>
            </w:r>
            <w:r w:rsidDel="00000000" w:rsidR="00000000" w:rsidRPr="00000000">
              <w:rPr>
                <w:rtl w:val="0"/>
              </w:rPr>
            </w:r>
          </w:p>
        </w:tc>
        <w:tc>
          <w:tcPr>
            <w:shd w:fill="f1f5f9" w:val="clear"/>
          </w:tcPr>
          <w:p w:rsidR="00000000" w:rsidDel="00000000" w:rsidP="00000000" w:rsidRDefault="00000000" w:rsidRPr="00000000" w14:paraId="000006E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Frecuencia</w:t>
            </w:r>
            <w:r w:rsidDel="00000000" w:rsidR="00000000" w:rsidRPr="00000000">
              <w:rPr>
                <w:rtl w:val="0"/>
              </w:rPr>
            </w:r>
          </w:p>
        </w:tc>
        <w:tc>
          <w:tcPr>
            <w:shd w:fill="f1f5f9" w:val="clear"/>
          </w:tcPr>
          <w:p w:rsidR="00000000" w:rsidDel="00000000" w:rsidP="00000000" w:rsidRDefault="00000000" w:rsidRPr="00000000" w14:paraId="000006E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Tarifa Mensual (ARS)</w:t>
            </w:r>
            <w:r w:rsidDel="00000000" w:rsidR="00000000" w:rsidRPr="00000000">
              <w:rPr>
                <w:rtl w:val="0"/>
              </w:rPr>
            </w:r>
          </w:p>
        </w:tc>
        <w:tc>
          <w:tcPr>
            <w:shd w:fill="f1f5f9" w:val="clear"/>
          </w:tcPr>
          <w:p w:rsidR="00000000" w:rsidDel="00000000" w:rsidP="00000000" w:rsidRDefault="00000000" w:rsidRPr="00000000" w14:paraId="000006E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Costo Anual (ARS)</w:t>
            </w:r>
            <w:r w:rsidDel="00000000" w:rsidR="00000000" w:rsidRPr="00000000">
              <w:rPr>
                <w:rtl w:val="0"/>
              </w:rPr>
            </w:r>
          </w:p>
        </w:tc>
        <w:tc>
          <w:tcPr>
            <w:shd w:fill="f1f5f9" w:val="clear"/>
          </w:tcPr>
          <w:p w:rsidR="00000000" w:rsidDel="00000000" w:rsidP="00000000" w:rsidRDefault="00000000" w:rsidRPr="00000000" w14:paraId="000006E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Costo Anual (USD)</w:t>
            </w:r>
            <w:r w:rsidDel="00000000" w:rsidR="00000000" w:rsidRPr="00000000">
              <w:rPr>
                <w:rtl w:val="0"/>
              </w:rPr>
            </w:r>
          </w:p>
        </w:tc>
        <w:tc>
          <w:tcPr>
            <w:shd w:fill="f1f5f9" w:val="clear"/>
          </w:tcPr>
          <w:p w:rsidR="00000000" w:rsidDel="00000000" w:rsidP="00000000" w:rsidRDefault="00000000" w:rsidRPr="00000000" w14:paraId="000006E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Naturaleza y Criterio de Imputación</w:t>
            </w:r>
            <w:r w:rsidDel="00000000" w:rsidR="00000000" w:rsidRPr="00000000">
              <w:rPr>
                <w:rtl w:val="0"/>
              </w:rPr>
            </w:r>
          </w:p>
        </w:tc>
      </w:tr>
      <w:tr>
        <w:trPr>
          <w:cantSplit w:val="1"/>
          <w:tblHeader w:val="0"/>
        </w:trPr>
        <w:tc>
          <w:tcPr/>
          <w:p w:rsidR="00000000" w:rsidDel="00000000" w:rsidP="00000000" w:rsidRDefault="00000000" w:rsidRPr="00000000" w14:paraId="000006E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Infraestructura Cloud</w:t>
            </w:r>
            <w:r w:rsidDel="00000000" w:rsidR="00000000" w:rsidRPr="00000000">
              <w:rPr>
                <w:rtl w:val="0"/>
              </w:rPr>
            </w:r>
          </w:p>
        </w:tc>
        <w:tc>
          <w:tcPr/>
          <w:p w:rsidR="00000000" w:rsidDel="00000000" w:rsidP="00000000" w:rsidRDefault="00000000" w:rsidRPr="00000000" w14:paraId="000006E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VPS portal, documentación y registro Docker privado</w:t>
            </w:r>
            <w:r w:rsidDel="00000000" w:rsidR="00000000" w:rsidRPr="00000000">
              <w:rPr>
                <w:rtl w:val="0"/>
              </w:rPr>
            </w:r>
          </w:p>
        </w:tc>
        <w:tc>
          <w:tcPr/>
          <w:p w:rsidR="00000000" w:rsidDel="00000000" w:rsidP="00000000" w:rsidRDefault="00000000" w:rsidRPr="00000000" w14:paraId="000006E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Mensual</w:t>
            </w:r>
            <w:r w:rsidDel="00000000" w:rsidR="00000000" w:rsidRPr="00000000">
              <w:rPr>
                <w:rtl w:val="0"/>
              </w:rPr>
            </w:r>
          </w:p>
        </w:tc>
        <w:tc>
          <w:tcPr/>
          <w:p w:rsidR="00000000" w:rsidDel="00000000" w:rsidP="00000000" w:rsidRDefault="00000000" w:rsidRPr="00000000" w14:paraId="000006E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54.039</w:t>
            </w:r>
            <w:r w:rsidDel="00000000" w:rsidR="00000000" w:rsidRPr="00000000">
              <w:rPr>
                <w:rtl w:val="0"/>
              </w:rPr>
            </w:r>
          </w:p>
        </w:tc>
        <w:tc>
          <w:tcPr/>
          <w:p w:rsidR="00000000" w:rsidDel="00000000" w:rsidP="00000000" w:rsidRDefault="00000000" w:rsidRPr="00000000" w14:paraId="000006E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648.463</w:t>
            </w:r>
            <w:r w:rsidDel="00000000" w:rsidR="00000000" w:rsidRPr="00000000">
              <w:rPr>
                <w:rtl w:val="0"/>
              </w:rPr>
            </w:r>
          </w:p>
        </w:tc>
        <w:tc>
          <w:tcPr/>
          <w:p w:rsidR="00000000" w:rsidDel="00000000" w:rsidP="00000000" w:rsidRDefault="00000000" w:rsidRPr="00000000" w14:paraId="000006E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USD 420,00</w:t>
            </w:r>
            <w:r w:rsidDel="00000000" w:rsidR="00000000" w:rsidRPr="00000000">
              <w:rPr>
                <w:rtl w:val="0"/>
              </w:rPr>
            </w:r>
          </w:p>
        </w:tc>
        <w:tc>
          <w:tcPr/>
          <w:p w:rsidR="00000000" w:rsidDel="00000000" w:rsidP="00000000" w:rsidRDefault="00000000" w:rsidRPr="00000000" w14:paraId="000006F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Costo fijo directo; hosting institucional de la plataforma.</w:t>
            </w:r>
            <w:r w:rsidDel="00000000" w:rsidR="00000000" w:rsidRPr="00000000">
              <w:rPr>
                <w:rtl w:val="0"/>
              </w:rPr>
            </w:r>
          </w:p>
        </w:tc>
      </w:tr>
      <w:tr>
        <w:trPr>
          <w:cantSplit w:val="1"/>
          <w:tblHeader w:val="0"/>
        </w:trPr>
        <w:tc>
          <w:tcPr/>
          <w:p w:rsidR="00000000" w:rsidDel="00000000" w:rsidP="00000000" w:rsidRDefault="00000000" w:rsidRPr="00000000" w14:paraId="000006F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Herramientas de Integración</w:t>
            </w:r>
            <w:r w:rsidDel="00000000" w:rsidR="00000000" w:rsidRPr="00000000">
              <w:rPr>
                <w:rtl w:val="0"/>
              </w:rPr>
            </w:r>
          </w:p>
        </w:tc>
        <w:tc>
          <w:tcPr/>
          <w:p w:rsidR="00000000" w:rsidDel="00000000" w:rsidP="00000000" w:rsidRDefault="00000000" w:rsidRPr="00000000" w14:paraId="000006F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GitHub Team y canales de automatización CI/CD</w:t>
            </w:r>
            <w:r w:rsidDel="00000000" w:rsidR="00000000" w:rsidRPr="00000000">
              <w:rPr>
                <w:rtl w:val="0"/>
              </w:rPr>
            </w:r>
          </w:p>
        </w:tc>
        <w:tc>
          <w:tcPr/>
          <w:p w:rsidR="00000000" w:rsidDel="00000000" w:rsidP="00000000" w:rsidRDefault="00000000" w:rsidRPr="00000000" w14:paraId="000006F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Mensual</w:t>
            </w:r>
            <w:r w:rsidDel="00000000" w:rsidR="00000000" w:rsidRPr="00000000">
              <w:rPr>
                <w:rtl w:val="0"/>
              </w:rPr>
            </w:r>
          </w:p>
        </w:tc>
        <w:tc>
          <w:tcPr/>
          <w:p w:rsidR="00000000" w:rsidDel="00000000" w:rsidP="00000000" w:rsidRDefault="00000000" w:rsidRPr="00000000" w14:paraId="000006F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32.423</w:t>
            </w:r>
            <w:r w:rsidDel="00000000" w:rsidR="00000000" w:rsidRPr="00000000">
              <w:rPr>
                <w:rtl w:val="0"/>
              </w:rPr>
            </w:r>
          </w:p>
        </w:tc>
        <w:tc>
          <w:tcPr/>
          <w:p w:rsidR="00000000" w:rsidDel="00000000" w:rsidP="00000000" w:rsidRDefault="00000000" w:rsidRPr="00000000" w14:paraId="000006F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389.078</w:t>
            </w:r>
            <w:r w:rsidDel="00000000" w:rsidR="00000000" w:rsidRPr="00000000">
              <w:rPr>
                <w:rtl w:val="0"/>
              </w:rPr>
            </w:r>
          </w:p>
        </w:tc>
        <w:tc>
          <w:tcPr/>
          <w:p w:rsidR="00000000" w:rsidDel="00000000" w:rsidP="00000000" w:rsidRDefault="00000000" w:rsidRPr="00000000" w14:paraId="000006F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USD 252,00</w:t>
            </w:r>
            <w:r w:rsidDel="00000000" w:rsidR="00000000" w:rsidRPr="00000000">
              <w:rPr>
                <w:rtl w:val="0"/>
              </w:rPr>
            </w:r>
          </w:p>
        </w:tc>
        <w:tc>
          <w:tcPr/>
          <w:p w:rsidR="00000000" w:rsidDel="00000000" w:rsidP="00000000" w:rsidRDefault="00000000" w:rsidRPr="00000000" w14:paraId="000006F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Costo fijo directo; despliegue de parches y versiones.</w:t>
            </w:r>
            <w:r w:rsidDel="00000000" w:rsidR="00000000" w:rsidRPr="00000000">
              <w:rPr>
                <w:rtl w:val="0"/>
              </w:rPr>
            </w:r>
          </w:p>
        </w:tc>
      </w:tr>
      <w:tr>
        <w:trPr>
          <w:cantSplit w:val="1"/>
          <w:tblHeader w:val="0"/>
        </w:trPr>
        <w:tc>
          <w:tcPr/>
          <w:p w:rsidR="00000000" w:rsidDel="00000000" w:rsidP="00000000" w:rsidRDefault="00000000" w:rsidRPr="00000000" w14:paraId="000006F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Identidad Digital</w:t>
            </w:r>
            <w:r w:rsidDel="00000000" w:rsidR="00000000" w:rsidRPr="00000000">
              <w:rPr>
                <w:rtl w:val="0"/>
              </w:rPr>
            </w:r>
          </w:p>
        </w:tc>
        <w:tc>
          <w:tcPr/>
          <w:p w:rsidR="00000000" w:rsidDel="00000000" w:rsidP="00000000" w:rsidRDefault="00000000" w:rsidRPr="00000000" w14:paraId="000006F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Prorrateo anual dominio </w:t>
            </w:r>
            <w:r w:rsidDel="00000000" w:rsidR="00000000" w:rsidRPr="00000000">
              <w:rPr>
                <w:rFonts w:ascii="Consolas" w:cs="Consolas" w:eastAsia="Consolas" w:hAnsi="Consolas"/>
                <w:b w:val="0"/>
                <w:bCs w:val="0"/>
                <w:i w:val="0"/>
                <w:iCs w:val="0"/>
                <w:color w:val="334155"/>
                <w:sz w:val="12"/>
                <w:szCs w:val="12"/>
                <w:rtl w:val="0"/>
              </w:rPr>
              <w:t xml:space="preserve">codi-space.com</w:t>
            </w:r>
            <w:r w:rsidDel="00000000" w:rsidR="00000000" w:rsidRPr="00000000">
              <w:rPr>
                <w:rFonts w:ascii="Times New Roman" w:cs="Times New Roman" w:eastAsia="Times New Roman" w:hAnsi="Times New Roman"/>
                <w:b w:val="0"/>
                <w:bCs w:val="0"/>
                <w:i w:val="0"/>
                <w:iCs w:val="0"/>
                <w:color w:val="0f172a"/>
                <w:sz w:val="15"/>
                <w:szCs w:val="15"/>
                <w:rtl w:val="0"/>
              </w:rPr>
              <w:t xml:space="preserve"> y SSL (DonWeb)</w:t>
            </w:r>
            <w:r w:rsidDel="00000000" w:rsidR="00000000" w:rsidRPr="00000000">
              <w:rPr>
                <w:rtl w:val="0"/>
              </w:rPr>
            </w:r>
          </w:p>
        </w:tc>
        <w:tc>
          <w:tcPr/>
          <w:p w:rsidR="00000000" w:rsidDel="00000000" w:rsidP="00000000" w:rsidRDefault="00000000" w:rsidRPr="00000000" w14:paraId="000006F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Anual</w:t>
            </w:r>
            <w:r w:rsidDel="00000000" w:rsidR="00000000" w:rsidRPr="00000000">
              <w:rPr>
                <w:rtl w:val="0"/>
              </w:rPr>
            </w:r>
          </w:p>
        </w:tc>
        <w:tc>
          <w:tcPr/>
          <w:p w:rsidR="00000000" w:rsidDel="00000000" w:rsidP="00000000" w:rsidRDefault="00000000" w:rsidRPr="00000000" w14:paraId="000006F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w:t>
            </w:r>
            <w:r w:rsidDel="00000000" w:rsidR="00000000" w:rsidRPr="00000000">
              <w:rPr>
                <w:rtl w:val="0"/>
              </w:rPr>
            </w:r>
          </w:p>
        </w:tc>
        <w:tc>
          <w:tcPr/>
          <w:p w:rsidR="00000000" w:rsidDel="00000000" w:rsidP="00000000" w:rsidRDefault="00000000" w:rsidRPr="00000000" w14:paraId="000006F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17.000</w:t>
            </w:r>
            <w:r w:rsidDel="00000000" w:rsidR="00000000" w:rsidRPr="00000000">
              <w:rPr>
                <w:rtl w:val="0"/>
              </w:rPr>
            </w:r>
          </w:p>
        </w:tc>
        <w:tc>
          <w:tcPr/>
          <w:p w:rsidR="00000000" w:rsidDel="00000000" w:rsidP="00000000" w:rsidRDefault="00000000" w:rsidRPr="00000000" w14:paraId="000006F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USD 11,01</w:t>
            </w:r>
            <w:r w:rsidDel="00000000" w:rsidR="00000000" w:rsidRPr="00000000">
              <w:rPr>
                <w:rtl w:val="0"/>
              </w:rPr>
            </w:r>
          </w:p>
        </w:tc>
        <w:tc>
          <w:tcPr/>
          <w:p w:rsidR="00000000" w:rsidDel="00000000" w:rsidP="00000000" w:rsidRDefault="00000000" w:rsidRPr="00000000" w14:paraId="000006F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Costo fijo administrativo; presencia corporativa web.</w:t>
            </w:r>
            <w:r w:rsidDel="00000000" w:rsidR="00000000" w:rsidRPr="00000000">
              <w:rPr>
                <w:rtl w:val="0"/>
              </w:rPr>
            </w:r>
          </w:p>
        </w:tc>
      </w:tr>
      <w:tr>
        <w:trPr>
          <w:cantSplit w:val="1"/>
          <w:tblHeader w:val="0"/>
        </w:trPr>
        <w:tc>
          <w:tcPr/>
          <w:p w:rsidR="00000000" w:rsidDel="00000000" w:rsidP="00000000" w:rsidRDefault="00000000" w:rsidRPr="00000000" w14:paraId="000006F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Soporte y Mantenimiento</w:t>
            </w:r>
            <w:r w:rsidDel="00000000" w:rsidR="00000000" w:rsidRPr="00000000">
              <w:rPr>
                <w:rtl w:val="0"/>
              </w:rPr>
            </w:r>
          </w:p>
        </w:tc>
        <w:tc>
          <w:tcPr/>
          <w:p w:rsidR="00000000" w:rsidDel="00000000" w:rsidP="00000000" w:rsidRDefault="00000000" w:rsidRPr="00000000" w14:paraId="0000070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Ingeniería correctiva y soporte técnico SLA (12 h/mes)</w:t>
            </w:r>
            <w:r w:rsidDel="00000000" w:rsidR="00000000" w:rsidRPr="00000000">
              <w:rPr>
                <w:rtl w:val="0"/>
              </w:rPr>
            </w:r>
          </w:p>
        </w:tc>
        <w:tc>
          <w:tcPr/>
          <w:p w:rsidR="00000000" w:rsidDel="00000000" w:rsidP="00000000" w:rsidRDefault="00000000" w:rsidRPr="00000000" w14:paraId="0000070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Mensual</w:t>
            </w:r>
            <w:r w:rsidDel="00000000" w:rsidR="00000000" w:rsidRPr="00000000">
              <w:rPr>
                <w:rtl w:val="0"/>
              </w:rPr>
            </w:r>
          </w:p>
        </w:tc>
        <w:tc>
          <w:tcPr/>
          <w:p w:rsidR="00000000" w:rsidDel="00000000" w:rsidP="00000000" w:rsidRDefault="00000000" w:rsidRPr="00000000" w14:paraId="0000070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222.000</w:t>
            </w:r>
            <w:r w:rsidDel="00000000" w:rsidR="00000000" w:rsidRPr="00000000">
              <w:rPr>
                <w:rtl w:val="0"/>
              </w:rPr>
            </w:r>
          </w:p>
        </w:tc>
        <w:tc>
          <w:tcPr/>
          <w:p w:rsidR="00000000" w:rsidDel="00000000" w:rsidP="00000000" w:rsidRDefault="00000000" w:rsidRPr="00000000" w14:paraId="0000070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2.664.000</w:t>
            </w:r>
            <w:r w:rsidDel="00000000" w:rsidR="00000000" w:rsidRPr="00000000">
              <w:rPr>
                <w:rtl w:val="0"/>
              </w:rPr>
            </w:r>
          </w:p>
        </w:tc>
        <w:tc>
          <w:tcPr/>
          <w:p w:rsidR="00000000" w:rsidDel="00000000" w:rsidP="00000000" w:rsidRDefault="00000000" w:rsidRPr="00000000" w14:paraId="0000070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USD 1.725,43</w:t>
            </w:r>
            <w:r w:rsidDel="00000000" w:rsidR="00000000" w:rsidRPr="00000000">
              <w:rPr>
                <w:rtl w:val="0"/>
              </w:rPr>
            </w:r>
          </w:p>
        </w:tc>
        <w:tc>
          <w:tcPr/>
          <w:p w:rsidR="00000000" w:rsidDel="00000000" w:rsidP="00000000" w:rsidRDefault="00000000" w:rsidRPr="00000000" w14:paraId="0000070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Costo fijo operativo; tarifa OPSSI/CESSI (18.500 / h).</w:t>
            </w:r>
            <w:r w:rsidDel="00000000" w:rsidR="00000000" w:rsidRPr="00000000">
              <w:rPr>
                <w:rtl w:val="0"/>
              </w:rPr>
            </w:r>
          </w:p>
        </w:tc>
      </w:tr>
      <w:tr>
        <w:trPr>
          <w:cantSplit w:val="1"/>
          <w:tblHeader w:val="0"/>
        </w:trPr>
        <w:tc>
          <w:tcPr/>
          <w:p w:rsidR="00000000" w:rsidDel="00000000" w:rsidP="00000000" w:rsidRDefault="00000000" w:rsidRPr="00000000" w14:paraId="0000070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Reserva Administrativa</w:t>
            </w:r>
            <w:r w:rsidDel="00000000" w:rsidR="00000000" w:rsidRPr="00000000">
              <w:rPr>
                <w:rtl w:val="0"/>
              </w:rPr>
            </w:r>
          </w:p>
        </w:tc>
        <w:tc>
          <w:tcPr/>
          <w:p w:rsidR="00000000" w:rsidDel="00000000" w:rsidP="00000000" w:rsidRDefault="00000000" w:rsidRPr="00000000" w14:paraId="0000070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Gestoría, comisiones bancarias y contingencias</w:t>
            </w:r>
            <w:r w:rsidDel="00000000" w:rsidR="00000000" w:rsidRPr="00000000">
              <w:rPr>
                <w:rtl w:val="0"/>
              </w:rPr>
            </w:r>
          </w:p>
        </w:tc>
        <w:tc>
          <w:tcPr/>
          <w:p w:rsidR="00000000" w:rsidDel="00000000" w:rsidP="00000000" w:rsidRDefault="00000000" w:rsidRPr="00000000" w14:paraId="0000070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Anual</w:t>
            </w:r>
            <w:r w:rsidDel="00000000" w:rsidR="00000000" w:rsidRPr="00000000">
              <w:rPr>
                <w:rtl w:val="0"/>
              </w:rPr>
            </w:r>
          </w:p>
        </w:tc>
        <w:tc>
          <w:tcPr/>
          <w:p w:rsidR="00000000" w:rsidDel="00000000" w:rsidP="00000000" w:rsidRDefault="00000000" w:rsidRPr="00000000" w14:paraId="0000070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w:t>
            </w:r>
            <w:r w:rsidDel="00000000" w:rsidR="00000000" w:rsidRPr="00000000">
              <w:rPr>
                <w:rtl w:val="0"/>
              </w:rPr>
            </w:r>
          </w:p>
        </w:tc>
        <w:tc>
          <w:tcPr/>
          <w:p w:rsidR="00000000" w:rsidDel="00000000" w:rsidP="00000000" w:rsidRDefault="00000000" w:rsidRPr="00000000" w14:paraId="0000070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450.000</w:t>
            </w:r>
            <w:r w:rsidDel="00000000" w:rsidR="00000000" w:rsidRPr="00000000">
              <w:rPr>
                <w:rtl w:val="0"/>
              </w:rPr>
            </w:r>
          </w:p>
        </w:tc>
        <w:tc>
          <w:tcPr/>
          <w:p w:rsidR="00000000" w:rsidDel="00000000" w:rsidP="00000000" w:rsidRDefault="00000000" w:rsidRPr="00000000" w14:paraId="0000070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USD 291,46</w:t>
            </w:r>
            <w:r w:rsidDel="00000000" w:rsidR="00000000" w:rsidRPr="00000000">
              <w:rPr>
                <w:rtl w:val="0"/>
              </w:rPr>
            </w:r>
          </w:p>
        </w:tc>
        <w:tc>
          <w:tcPr/>
          <w:p w:rsidR="00000000" w:rsidDel="00000000" w:rsidP="00000000" w:rsidRDefault="00000000" w:rsidRPr="00000000" w14:paraId="0000070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Reserva operativa del 10,8% de la estructura fija.</w:t>
            </w:r>
            <w:r w:rsidDel="00000000" w:rsidR="00000000" w:rsidRPr="00000000">
              <w:rPr>
                <w:rtl w:val="0"/>
              </w:rPr>
            </w:r>
          </w:p>
        </w:tc>
      </w:tr>
      <w:tr>
        <w:trPr>
          <w:cantSplit w:val="1"/>
          <w:tblHeader w:val="0"/>
        </w:trPr>
        <w:tc>
          <w:tcPr/>
          <w:p w:rsidR="00000000" w:rsidDel="00000000" w:rsidP="00000000" w:rsidRDefault="00000000" w:rsidRPr="00000000" w14:paraId="0000070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Consumo de Inferencia IA</w:t>
            </w:r>
            <w:r w:rsidDel="00000000" w:rsidR="00000000" w:rsidRPr="00000000">
              <w:rPr>
                <w:rtl w:val="0"/>
              </w:rPr>
            </w:r>
          </w:p>
        </w:tc>
        <w:tc>
          <w:tcPr/>
          <w:p w:rsidR="00000000" w:rsidDel="00000000" w:rsidP="00000000" w:rsidRDefault="00000000" w:rsidRPr="00000000" w14:paraId="0000070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Tokens LLM de procesamiento semántico clientes (BYOK)</w:t>
            </w:r>
            <w:r w:rsidDel="00000000" w:rsidR="00000000" w:rsidRPr="00000000">
              <w:rPr>
                <w:rtl w:val="0"/>
              </w:rPr>
            </w:r>
          </w:p>
        </w:tc>
        <w:tc>
          <w:tcPr/>
          <w:p w:rsidR="00000000" w:rsidDel="00000000" w:rsidP="00000000" w:rsidRDefault="00000000" w:rsidRPr="00000000" w14:paraId="0000070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Por evento</w:t>
            </w:r>
            <w:r w:rsidDel="00000000" w:rsidR="00000000" w:rsidRPr="00000000">
              <w:rPr>
                <w:rtl w:val="0"/>
              </w:rPr>
            </w:r>
          </w:p>
        </w:tc>
        <w:tc>
          <w:tcPr/>
          <w:p w:rsidR="00000000" w:rsidDel="00000000" w:rsidP="00000000" w:rsidRDefault="00000000" w:rsidRPr="00000000" w14:paraId="0000071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0,00</w:t>
            </w:r>
            <w:r w:rsidDel="00000000" w:rsidR="00000000" w:rsidRPr="00000000">
              <w:rPr>
                <w:rtl w:val="0"/>
              </w:rPr>
            </w:r>
          </w:p>
        </w:tc>
        <w:tc>
          <w:tcPr/>
          <w:p w:rsidR="00000000" w:rsidDel="00000000" w:rsidP="00000000" w:rsidRDefault="00000000" w:rsidRPr="00000000" w14:paraId="0000071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0,00</w:t>
            </w:r>
            <w:r w:rsidDel="00000000" w:rsidR="00000000" w:rsidRPr="00000000">
              <w:rPr>
                <w:rtl w:val="0"/>
              </w:rPr>
            </w:r>
          </w:p>
        </w:tc>
        <w:tc>
          <w:tcPr/>
          <w:p w:rsidR="00000000" w:rsidDel="00000000" w:rsidP="00000000" w:rsidRDefault="00000000" w:rsidRPr="00000000" w14:paraId="0000071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USD 0,00</w:t>
            </w:r>
            <w:r w:rsidDel="00000000" w:rsidR="00000000" w:rsidRPr="00000000">
              <w:rPr>
                <w:rtl w:val="0"/>
              </w:rPr>
            </w:r>
          </w:p>
        </w:tc>
        <w:tc>
          <w:tcPr/>
          <w:p w:rsidR="00000000" w:rsidDel="00000000" w:rsidP="00000000" w:rsidRDefault="00000000" w:rsidRPr="00000000" w14:paraId="0000071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Costo transferido al cliente</w:t>
            </w:r>
            <w:r w:rsidDel="00000000" w:rsidR="00000000" w:rsidRPr="00000000">
              <w:rPr>
                <w:rFonts w:ascii="Times New Roman" w:cs="Times New Roman" w:eastAsia="Times New Roman" w:hAnsi="Times New Roman"/>
                <w:b w:val="0"/>
                <w:bCs w:val="0"/>
                <w:i w:val="0"/>
                <w:iCs w:val="0"/>
                <w:color w:val="0f172a"/>
                <w:sz w:val="15"/>
                <w:szCs w:val="15"/>
                <w:rtl w:val="0"/>
              </w:rPr>
              <w:t xml:space="preserve">; costo marginal nulo para CODI.</w:t>
            </w:r>
            <w:r w:rsidDel="00000000" w:rsidR="00000000" w:rsidRPr="00000000">
              <w:rPr>
                <w:rtl w:val="0"/>
              </w:rPr>
            </w:r>
          </w:p>
        </w:tc>
      </w:tr>
      <w:tr>
        <w:trPr>
          <w:cantSplit w:val="1"/>
          <w:tblHeader w:val="0"/>
        </w:trPr>
        <w:tc>
          <w:tcPr/>
          <w:p w:rsidR="00000000" w:rsidDel="00000000" w:rsidP="00000000" w:rsidRDefault="00000000" w:rsidRPr="00000000" w14:paraId="0000071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Total Costos Recurrentes</w:t>
            </w:r>
            <w:r w:rsidDel="00000000" w:rsidR="00000000" w:rsidRPr="00000000">
              <w:rPr>
                <w:rtl w:val="0"/>
              </w:rPr>
            </w:r>
          </w:p>
        </w:tc>
        <w:tc>
          <w:tcPr/>
          <w:p w:rsidR="00000000" w:rsidDel="00000000" w:rsidP="00000000" w:rsidRDefault="00000000" w:rsidRPr="00000000" w14:paraId="0000071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Gasto operativo y mantenimiento anual del sistema</w:t>
            </w:r>
            <w:r w:rsidDel="00000000" w:rsidR="00000000" w:rsidRPr="00000000">
              <w:rPr>
                <w:rtl w:val="0"/>
              </w:rPr>
            </w:r>
          </w:p>
        </w:tc>
        <w:tc>
          <w:tcPr/>
          <w:p w:rsidR="00000000" w:rsidDel="00000000" w:rsidP="00000000" w:rsidRDefault="00000000" w:rsidRPr="00000000" w14:paraId="0000071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w:t>
            </w:r>
            <w:r w:rsidDel="00000000" w:rsidR="00000000" w:rsidRPr="00000000">
              <w:rPr>
                <w:rtl w:val="0"/>
              </w:rPr>
            </w:r>
          </w:p>
        </w:tc>
        <w:tc>
          <w:tcPr/>
          <w:p w:rsidR="00000000" w:rsidDel="00000000" w:rsidP="00000000" w:rsidRDefault="00000000" w:rsidRPr="00000000" w14:paraId="0000071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5"/>
                <w:szCs w:val="15"/>
                <w:rtl w:val="0"/>
              </w:rPr>
              <w:t xml:space="preserve">—</w:t>
            </w:r>
            <w:r w:rsidDel="00000000" w:rsidR="00000000" w:rsidRPr="00000000">
              <w:rPr>
                <w:rtl w:val="0"/>
              </w:rPr>
            </w:r>
          </w:p>
        </w:tc>
        <w:tc>
          <w:tcPr/>
          <w:p w:rsidR="00000000" w:rsidDel="00000000" w:rsidP="00000000" w:rsidRDefault="00000000" w:rsidRPr="00000000" w14:paraId="0000071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4.168.541</w:t>
            </w:r>
            <w:r w:rsidDel="00000000" w:rsidR="00000000" w:rsidRPr="00000000">
              <w:rPr>
                <w:rtl w:val="0"/>
              </w:rPr>
            </w:r>
          </w:p>
        </w:tc>
        <w:tc>
          <w:tcPr/>
          <w:p w:rsidR="00000000" w:rsidDel="00000000" w:rsidP="00000000" w:rsidRDefault="00000000" w:rsidRPr="00000000" w14:paraId="0000071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USD 2.699,90</w:t>
            </w:r>
            <w:r w:rsidDel="00000000" w:rsidR="00000000" w:rsidRPr="00000000">
              <w:rPr>
                <w:rtl w:val="0"/>
              </w:rPr>
            </w:r>
          </w:p>
        </w:tc>
        <w:tc>
          <w:tcPr/>
          <w:p w:rsidR="00000000" w:rsidDel="00000000" w:rsidP="00000000" w:rsidRDefault="00000000" w:rsidRPr="00000000" w14:paraId="0000071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5"/>
                <w:szCs w:val="15"/>
                <w:rtl w:val="0"/>
              </w:rPr>
              <w:t xml:space="preserve">Estructura fija anual para sostener la explotación comercial.</w:t>
            </w:r>
            <w:r w:rsidDel="00000000" w:rsidR="00000000" w:rsidRPr="00000000">
              <w:rPr>
                <w:rtl w:val="0"/>
              </w:rPr>
            </w:r>
          </w:p>
        </w:tc>
      </w:tr>
    </w:tbl>
    <w:p w:rsidR="00000000" w:rsidDel="00000000" w:rsidP="00000000" w:rsidRDefault="00000000" w:rsidRPr="00000000" w14:paraId="0000071B">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Nota. Valores expresados en pesos argentinos y dólares estadounidenses al tipo de cambio minorista vendedor de referencia de 1.543,96 ARS/USD (BCRA al 01/10/2026, cierre 15:00 hs).</w:t>
      </w:r>
      <w:r w:rsidDel="00000000" w:rsidR="00000000" w:rsidRPr="00000000">
        <w:rPr>
          <w:rtl w:val="0"/>
        </w:rPr>
      </w:r>
    </w:p>
    <w:p w:rsidR="00000000" w:rsidDel="00000000" w:rsidP="00000000" w:rsidRDefault="00000000" w:rsidRPr="00000000" w14:paraId="0000071C">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Análisis de Punto de Equilibrio y Viabilidad del Modelo de Explotación</w:t>
      </w:r>
      <w:r w:rsidDel="00000000" w:rsidR="00000000" w:rsidRPr="00000000">
        <w:rPr>
          <w:rtl w:val="0"/>
        </w:rPr>
      </w:r>
    </w:p>
    <w:p w:rsidR="00000000" w:rsidDel="00000000" w:rsidP="00000000" w:rsidRDefault="00000000" w:rsidRPr="00000000" w14:paraId="0000071D">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análisis de punto de equilibrio (</w:t>
      </w:r>
      <w:r w:rsidDel="00000000" w:rsidR="00000000" w:rsidRPr="00000000">
        <w:rPr>
          <w:rFonts w:ascii="Times New Roman" w:cs="Times New Roman" w:eastAsia="Times New Roman" w:hAnsi="Times New Roman"/>
          <w:b w:val="0"/>
          <w:bCs w:val="0"/>
          <w:i w:val="1"/>
          <w:iCs w:val="1"/>
          <w:color w:val="0f172a"/>
          <w:sz w:val="24"/>
          <w:szCs w:val="24"/>
          <w:rtl w:val="0"/>
        </w:rPr>
        <w:t xml:space="preserve">Break-Even Point</w:t>
      </w:r>
      <w:r w:rsidDel="00000000" w:rsidR="00000000" w:rsidRPr="00000000">
        <w:rPr>
          <w:rFonts w:ascii="Times New Roman" w:cs="Times New Roman" w:eastAsia="Times New Roman" w:hAnsi="Times New Roman"/>
          <w:b w:val="0"/>
          <w:bCs w:val="0"/>
          <w:i w:val="0"/>
          <w:iCs w:val="0"/>
          <w:color w:val="0f172a"/>
          <w:sz w:val="24"/>
          <w:szCs w:val="24"/>
          <w:rtl w:val="0"/>
        </w:rPr>
        <w:t xml:space="preserve">) examina la factibilidad económica de la startup para alcanzar el umbral de rentabilidad bajo el modelo de comercialización B2B Enterprise formulado en el Capítulo IV (Sec. IV.1), considerando una estructura de venta de licencias anuales por equipo de desarrollo o nodo de ingeniería satelital.</w:t>
      </w:r>
      <w:r w:rsidDel="00000000" w:rsidR="00000000" w:rsidRPr="00000000">
        <w:rPr>
          <w:rtl w:val="0"/>
        </w:rPr>
      </w:r>
    </w:p>
    <w:p w:rsidR="00000000" w:rsidDel="00000000" w:rsidP="00000000" w:rsidRDefault="00000000" w:rsidRPr="00000000" w14:paraId="0000071E">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1. Supuestos Declarados del Modelo de Explotación</w:t>
      </w:r>
      <w:r w:rsidDel="00000000" w:rsidR="00000000" w:rsidRPr="00000000">
        <w:rPr>
          <w:rtl w:val="0"/>
        </w:rPr>
      </w:r>
    </w:p>
    <w:p w:rsidR="00000000" w:rsidDel="00000000" w:rsidP="00000000" w:rsidRDefault="00000000" w:rsidRPr="00000000" w14:paraId="000007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Precio de Venta Unitario de la Licencia Anual (P)</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establece un valor de referencia de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USD 3.500 anuales por equipo o nodo de ingeniería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(5.403.860 ARS a 1.543,96 ARS/USD), ubicándose en el centro del rango competitivo declarado en el modelo de negocios (USD 2.500 a USD 5.000 anuales). Este esquema representa una reducción de costo de más del 50% frente a la adquisición de asientos individuales en plataformas internacionales de parámetros (Valispace a USD 1.500/año por usuario, que para un equipo típico de 5 ingenieros totaliza USD 7.500/año) y de más del 75% frente a suites corporativas CAD/MBSE (USD 15.000/año).</w:t>
      </w:r>
      <w:r w:rsidDel="00000000" w:rsidR="00000000" w:rsidRPr="00000000">
        <w:rPr>
          <w:rtl w:val="0"/>
        </w:rPr>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Costo Variable Unitario por Licencia (CV)</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Comprende el soporte directo de instalación contenerizada, parametrización de entorno y capacitación de arranque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onboarding</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técnico de 6 horas-persona por nuevo cliente):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USD 150 por licencia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(231.594 ARS).</w:t>
      </w:r>
      <w:r w:rsidDel="00000000" w:rsidR="00000000" w:rsidRPr="00000000">
        <w:rPr>
          <w:rtl w:val="0"/>
        </w:rPr>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Margen de Contribución Unitario (MC)</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22">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$MC = P - CV = USD  3.500 - USD  150 = USD  3.350\text{ por licencia} \quad (\5.172.266 ARS)$El margen de contribución porcentual asciende al </w:t>
      </w:r>
      <w:r w:rsidDel="00000000" w:rsidR="00000000" w:rsidRPr="00000000">
        <w:rPr>
          <w:rFonts w:ascii="Times New Roman" w:cs="Times New Roman" w:eastAsia="Times New Roman" w:hAnsi="Times New Roman"/>
          <w:b w:val="1"/>
          <w:bCs w:val="1"/>
          <w:i w:val="0"/>
          <w:iCs w:val="0"/>
          <w:color w:val="0f172a"/>
          <w:sz w:val="24"/>
          <w:szCs w:val="24"/>
          <w:rtl w:val="0"/>
        </w:rPr>
        <w:t xml:space="preserve">95,7%</w:t>
      </w:r>
      <w:r w:rsidDel="00000000" w:rsidR="00000000" w:rsidRPr="00000000">
        <w:rPr>
          <w:rFonts w:ascii="Times New Roman" w:cs="Times New Roman" w:eastAsia="Times New Roman" w:hAnsi="Times New Roman"/>
          <w:b w:val="0"/>
          <w:bCs w:val="0"/>
          <w:i w:val="0"/>
          <w:iCs w:val="0"/>
          <w:color w:val="0f172a"/>
          <w:sz w:val="24"/>
          <w:szCs w:val="24"/>
          <w:rtl w:val="0"/>
        </w:rPr>
        <w:t xml:space="preserve">, reflejando la alta escalabilidad intrínseca del software distribuido bajo arquitectura desacoplada.</w:t>
      </w:r>
      <w:r w:rsidDel="00000000" w:rsidR="00000000" w:rsidRPr="00000000">
        <w:rPr>
          <w:rtl w:val="0"/>
        </w:rPr>
      </w:r>
    </w:p>
    <w:p w:rsidR="00000000" w:rsidDel="00000000" w:rsidP="00000000" w:rsidRDefault="00000000" w:rsidRPr="00000000" w14:paraId="00000723">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2. Determinación Matemática del Punto de Equilibrio</w:t>
      </w:r>
      <w:r w:rsidDel="00000000" w:rsidR="00000000" w:rsidRPr="00000000">
        <w:rPr>
          <w:rtl w:val="0"/>
        </w:rPr>
      </w:r>
    </w:p>
    <w:p w:rsidR="00000000" w:rsidDel="00000000" w:rsidP="00000000" w:rsidRDefault="00000000" w:rsidRPr="00000000" w14:paraId="00000724">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Se evalúan dos condiciones de equilibrio financiero:</w:t>
      </w:r>
      <w:r w:rsidDel="00000000" w:rsidR="00000000" w:rsidRPr="00000000">
        <w:rPr>
          <w:rtl w:val="0"/>
        </w:rPr>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Punto de Equilibrio Operativo Anual (Q_op)</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Determina la cantidad mínima de licencias anuales necesarias para absorber de forma exclusiva los costos fijos recurrentes de operación y soporte del sistema (CF_anual = USD  2.699,90):Q_op = \frac{CF_anual}{MC} = (USD  2.699,90 / USD  3.350,00) = 0,81 licencias/año \approx 1 licencia anual</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Con la venta de tan solo una (1) licencia B2B Enterprise anual, la empresa cubre holgadamente el 100% de sus costos fijos anuales de operación, infraestructura cloud y soporte técnico.</w:t>
      </w:r>
      <w:r w:rsidDel="00000000" w:rsidR="00000000" w:rsidRPr="00000000">
        <w:rPr>
          <w:rtl w:val="0"/>
        </w:rPr>
      </w:r>
    </w:p>
    <w:p w:rsidR="00000000" w:rsidDel="00000000" w:rsidP="00000000" w:rsidRDefault="00000000" w:rsidRPr="00000000" w14:paraId="000007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Punto de Equilibrio Integral con Recupero de Inversión Inicial en el Año 1 (Q_total)</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Determina la cantidad de licencias requeridas para cubrir la totalidad de los costos operativos anuales y amortizar el 100% de la inversión inicial de desarrollo y formalización (I_0 = USD  3.398,68) en los primeros doce meses de comercialización:Q_total = \frac{I_0 + CF_anual}{MC} = (USD  3.398,68 + USD  2.699,90 / USD  3.350,00) = (USD  6.098,58 / USD  3.350,00) = 1,82 licencias \approx 2 licencias anuales</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Con la colocación de exactamente dos (2) licencias comerciales en el primer año de operaciones, el proyecto no solo financia su estructura operativa completa sino que repaga el 100% del capital inicial de formulación, construcción y formalización legal y técnica del software.</w:t>
      </w:r>
      <w:r w:rsidDel="00000000" w:rsidR="00000000" w:rsidRPr="00000000">
        <w:rPr>
          <w:rtl w:val="0"/>
        </w:rPr>
      </w:r>
    </w:p>
    <w:p w:rsidR="00000000" w:rsidDel="00000000" w:rsidP="00000000" w:rsidRDefault="00000000" w:rsidRPr="00000000" w14:paraId="00000727">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Tabla X.8</w:t>
      </w:r>
      <w:r w:rsidDel="00000000" w:rsidR="00000000" w:rsidRPr="00000000">
        <w:rPr>
          <w:rtl w:val="0"/>
        </w:rPr>
      </w:r>
    </w:p>
    <w:p w:rsidR="00000000" w:rsidDel="00000000" w:rsidP="00000000" w:rsidRDefault="00000000" w:rsidRPr="00000000" w14:paraId="00000728">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Análisis de Punto de Equilibrio y Sensibilidad Financiera en el Año 1 de Operación</w:t>
      </w:r>
      <w:r w:rsidDel="00000000" w:rsidR="00000000" w:rsidRPr="00000000">
        <w:rPr>
          <w:rtl w:val="0"/>
        </w:rPr>
      </w:r>
    </w:p>
    <w:tbl>
      <w:tblPr>
        <w:tblStyle w:val="Table65"/>
        <w:tblW w:w="8505.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1701"/>
        <w:gridCol w:w="1701"/>
        <w:gridCol w:w="1701"/>
        <w:gridCol w:w="1701"/>
        <w:gridCol w:w="1701"/>
        <w:tblGridChange w:id="0">
          <w:tblGrid>
            <w:gridCol w:w="1701"/>
            <w:gridCol w:w="1701"/>
            <w:gridCol w:w="1701"/>
            <w:gridCol w:w="1701"/>
            <w:gridCol w:w="1701"/>
          </w:tblGrid>
        </w:tblGridChange>
      </w:tblGrid>
      <w:tr>
        <w:trPr>
          <w:cantSplit w:val="1"/>
          <w:tblHeader w:val="1"/>
        </w:trPr>
        <w:tc>
          <w:tcPr>
            <w:shd w:fill="f1f5f9" w:val="clear"/>
          </w:tcPr>
          <w:p w:rsidR="00000000" w:rsidDel="00000000" w:rsidP="00000000" w:rsidRDefault="00000000" w:rsidRPr="00000000" w14:paraId="0000072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Parámetro / Métrica Financiera</w:t>
            </w:r>
            <w:r w:rsidDel="00000000" w:rsidR="00000000" w:rsidRPr="00000000">
              <w:rPr>
                <w:rtl w:val="0"/>
              </w:rPr>
            </w:r>
          </w:p>
        </w:tc>
        <w:tc>
          <w:tcPr>
            <w:shd w:fill="f1f5f9" w:val="clear"/>
          </w:tcPr>
          <w:p w:rsidR="00000000" w:rsidDel="00000000" w:rsidP="00000000" w:rsidRDefault="00000000" w:rsidRPr="00000000" w14:paraId="0000072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Escenario Pesimista</w:t>
            </w:r>
            <w:r w:rsidDel="00000000" w:rsidR="00000000" w:rsidRPr="00000000">
              <w:rPr>
                <w:rtl w:val="0"/>
              </w:rPr>
              <w:br w:type="textWrapping"/>
            </w:r>
            <w:r w:rsidDel="00000000" w:rsidR="00000000" w:rsidRPr="00000000">
              <w:rPr>
                <w:rFonts w:ascii="Times New Roman" w:cs="Times New Roman" w:eastAsia="Times New Roman" w:hAnsi="Times New Roman"/>
                <w:b w:val="1"/>
                <w:bCs w:val="1"/>
                <w:i w:val="0"/>
                <w:iCs w:val="0"/>
                <w:color w:val="0f172a"/>
                <w:sz w:val="17"/>
                <w:szCs w:val="17"/>
                <w:rtl w:val="0"/>
              </w:rPr>
              <w:t xml:space="preserve">(Adopción Mínima)</w:t>
            </w:r>
            <w:r w:rsidDel="00000000" w:rsidR="00000000" w:rsidRPr="00000000">
              <w:rPr>
                <w:rtl w:val="0"/>
              </w:rPr>
            </w:r>
          </w:p>
        </w:tc>
        <w:tc>
          <w:tcPr>
            <w:shd w:fill="f1f5f9" w:val="clear"/>
          </w:tcPr>
          <w:p w:rsidR="00000000" w:rsidDel="00000000" w:rsidP="00000000" w:rsidRDefault="00000000" w:rsidRPr="00000000" w14:paraId="0000072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Escenario Base</w:t>
            </w:r>
            <w:r w:rsidDel="00000000" w:rsidR="00000000" w:rsidRPr="00000000">
              <w:rPr>
                <w:rtl w:val="0"/>
              </w:rPr>
              <w:br w:type="textWrapping"/>
            </w:r>
            <w:r w:rsidDel="00000000" w:rsidR="00000000" w:rsidRPr="00000000">
              <w:rPr>
                <w:rFonts w:ascii="Times New Roman" w:cs="Times New Roman" w:eastAsia="Times New Roman" w:hAnsi="Times New Roman"/>
                <w:b w:val="1"/>
                <w:bCs w:val="1"/>
                <w:i w:val="0"/>
                <w:iCs w:val="0"/>
                <w:color w:val="0f172a"/>
                <w:sz w:val="17"/>
                <w:szCs w:val="17"/>
                <w:rtl w:val="0"/>
              </w:rPr>
              <w:t xml:space="preserve">(Proyección Factible)</w:t>
            </w:r>
            <w:r w:rsidDel="00000000" w:rsidR="00000000" w:rsidRPr="00000000">
              <w:rPr>
                <w:rtl w:val="0"/>
              </w:rPr>
            </w:r>
          </w:p>
        </w:tc>
        <w:tc>
          <w:tcPr>
            <w:shd w:fill="f1f5f9" w:val="clear"/>
          </w:tcPr>
          <w:p w:rsidR="00000000" w:rsidDel="00000000" w:rsidP="00000000" w:rsidRDefault="00000000" w:rsidRPr="00000000" w14:paraId="0000072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Escenario Optimista</w:t>
            </w:r>
            <w:r w:rsidDel="00000000" w:rsidR="00000000" w:rsidRPr="00000000">
              <w:rPr>
                <w:rtl w:val="0"/>
              </w:rPr>
              <w:br w:type="textWrapping"/>
            </w:r>
            <w:r w:rsidDel="00000000" w:rsidR="00000000" w:rsidRPr="00000000">
              <w:rPr>
                <w:rFonts w:ascii="Times New Roman" w:cs="Times New Roman" w:eastAsia="Times New Roman" w:hAnsi="Times New Roman"/>
                <w:b w:val="1"/>
                <w:bCs w:val="1"/>
                <w:i w:val="0"/>
                <w:iCs w:val="0"/>
                <w:color w:val="0f172a"/>
                <w:sz w:val="17"/>
                <w:szCs w:val="17"/>
                <w:rtl w:val="0"/>
              </w:rPr>
              <w:t xml:space="preserve">(Expansión Regional)</w:t>
            </w:r>
            <w:r w:rsidDel="00000000" w:rsidR="00000000" w:rsidRPr="00000000">
              <w:rPr>
                <w:rtl w:val="0"/>
              </w:rPr>
            </w:r>
          </w:p>
        </w:tc>
        <w:tc>
          <w:tcPr>
            <w:shd w:fill="f1f5f9" w:val="clear"/>
          </w:tcPr>
          <w:p w:rsidR="00000000" w:rsidDel="00000000" w:rsidP="00000000" w:rsidRDefault="00000000" w:rsidRPr="00000000" w14:paraId="0000072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Fundamento del Supuesto</w:t>
            </w:r>
            <w:r w:rsidDel="00000000" w:rsidR="00000000" w:rsidRPr="00000000">
              <w:rPr>
                <w:rtl w:val="0"/>
              </w:rPr>
            </w:r>
          </w:p>
        </w:tc>
      </w:tr>
      <w:tr>
        <w:trPr>
          <w:cantSplit w:val="1"/>
          <w:tblHeader w:val="0"/>
        </w:trPr>
        <w:tc>
          <w:tcPr/>
          <w:p w:rsidR="00000000" w:rsidDel="00000000" w:rsidP="00000000" w:rsidRDefault="00000000" w:rsidRPr="00000000" w14:paraId="0000072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Licencias B2B Enterprise Colocadas (Q)</w:t>
            </w:r>
            <w:r w:rsidDel="00000000" w:rsidR="00000000" w:rsidRPr="00000000">
              <w:rPr>
                <w:rtl w:val="0"/>
              </w:rPr>
            </w:r>
          </w:p>
        </w:tc>
        <w:tc>
          <w:tcPr/>
          <w:p w:rsidR="00000000" w:rsidDel="00000000" w:rsidP="00000000" w:rsidRDefault="00000000" w:rsidRPr="00000000" w14:paraId="0000072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1 licencia</w:t>
            </w:r>
            <w:r w:rsidDel="00000000" w:rsidR="00000000" w:rsidRPr="00000000">
              <w:rPr>
                <w:rtl w:val="0"/>
              </w:rPr>
            </w:r>
          </w:p>
        </w:tc>
        <w:tc>
          <w:tcPr/>
          <w:p w:rsidR="00000000" w:rsidDel="00000000" w:rsidP="00000000" w:rsidRDefault="00000000" w:rsidRPr="00000000" w14:paraId="0000073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3 licencias</w:t>
            </w:r>
            <w:r w:rsidDel="00000000" w:rsidR="00000000" w:rsidRPr="00000000">
              <w:rPr>
                <w:rtl w:val="0"/>
              </w:rPr>
            </w:r>
          </w:p>
        </w:tc>
        <w:tc>
          <w:tcPr/>
          <w:p w:rsidR="00000000" w:rsidDel="00000000" w:rsidP="00000000" w:rsidRDefault="00000000" w:rsidRPr="00000000" w14:paraId="0000073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5 licencias</w:t>
            </w:r>
            <w:r w:rsidDel="00000000" w:rsidR="00000000" w:rsidRPr="00000000">
              <w:rPr>
                <w:rtl w:val="0"/>
              </w:rPr>
            </w:r>
          </w:p>
        </w:tc>
        <w:tc>
          <w:tcPr/>
          <w:p w:rsidR="00000000" w:rsidDel="00000000" w:rsidP="00000000" w:rsidRDefault="00000000" w:rsidRPr="00000000" w14:paraId="0000073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Mercado potencial de 12 a 18 proyectos satelitales en Argentina y LatAm.</w:t>
            </w:r>
            <w:r w:rsidDel="00000000" w:rsidR="00000000" w:rsidRPr="00000000">
              <w:rPr>
                <w:rtl w:val="0"/>
              </w:rPr>
            </w:r>
          </w:p>
        </w:tc>
      </w:tr>
      <w:tr>
        <w:trPr>
          <w:cantSplit w:val="1"/>
          <w:tblHeader w:val="0"/>
        </w:trPr>
        <w:tc>
          <w:tcPr/>
          <w:p w:rsidR="00000000" w:rsidDel="00000000" w:rsidP="00000000" w:rsidRDefault="00000000" w:rsidRPr="00000000" w14:paraId="0000073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Precio de Venta Promedio por Licencia</w:t>
            </w:r>
            <w:r w:rsidDel="00000000" w:rsidR="00000000" w:rsidRPr="00000000">
              <w:rPr>
                <w:rtl w:val="0"/>
              </w:rPr>
            </w:r>
          </w:p>
        </w:tc>
        <w:tc>
          <w:tcPr/>
          <w:p w:rsidR="00000000" w:rsidDel="00000000" w:rsidP="00000000" w:rsidRDefault="00000000" w:rsidRPr="00000000" w14:paraId="0000073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USD 2.500</w:t>
            </w:r>
            <w:r w:rsidDel="00000000" w:rsidR="00000000" w:rsidRPr="00000000">
              <w:rPr>
                <w:rtl w:val="0"/>
              </w:rPr>
            </w:r>
          </w:p>
        </w:tc>
        <w:tc>
          <w:tcPr/>
          <w:p w:rsidR="00000000" w:rsidDel="00000000" w:rsidP="00000000" w:rsidRDefault="00000000" w:rsidRPr="00000000" w14:paraId="0000073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USD 3.500</w:t>
            </w:r>
            <w:r w:rsidDel="00000000" w:rsidR="00000000" w:rsidRPr="00000000">
              <w:rPr>
                <w:rtl w:val="0"/>
              </w:rPr>
            </w:r>
          </w:p>
        </w:tc>
        <w:tc>
          <w:tcPr/>
          <w:p w:rsidR="00000000" w:rsidDel="00000000" w:rsidP="00000000" w:rsidRDefault="00000000" w:rsidRPr="00000000" w14:paraId="0000073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USD 3.500</w:t>
            </w:r>
            <w:r w:rsidDel="00000000" w:rsidR="00000000" w:rsidRPr="00000000">
              <w:rPr>
                <w:rtl w:val="0"/>
              </w:rPr>
            </w:r>
          </w:p>
        </w:tc>
        <w:tc>
          <w:tcPr/>
          <w:p w:rsidR="00000000" w:rsidDel="00000000" w:rsidP="00000000" w:rsidRDefault="00000000" w:rsidRPr="00000000" w14:paraId="0000073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Rango competitivo definido en el Capítulo IV (Sec. IV.1).</w:t>
            </w:r>
            <w:r w:rsidDel="00000000" w:rsidR="00000000" w:rsidRPr="00000000">
              <w:rPr>
                <w:rtl w:val="0"/>
              </w:rPr>
            </w:r>
          </w:p>
        </w:tc>
      </w:tr>
      <w:tr>
        <w:trPr>
          <w:cantSplit w:val="1"/>
          <w:tblHeader w:val="0"/>
        </w:trPr>
        <w:tc>
          <w:tcPr/>
          <w:p w:rsidR="00000000" w:rsidDel="00000000" w:rsidP="00000000" w:rsidRDefault="00000000" w:rsidRPr="00000000" w14:paraId="0000073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Ingresos Brutos Anuales por Ventas</w:t>
            </w:r>
            <w:r w:rsidDel="00000000" w:rsidR="00000000" w:rsidRPr="00000000">
              <w:rPr>
                <w:rtl w:val="0"/>
              </w:rPr>
            </w:r>
          </w:p>
        </w:tc>
        <w:tc>
          <w:tcPr/>
          <w:p w:rsidR="00000000" w:rsidDel="00000000" w:rsidP="00000000" w:rsidRDefault="00000000" w:rsidRPr="00000000" w14:paraId="0000073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USD 2.500</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(3.859.900 ARS)</w:t>
            </w:r>
            <w:r w:rsidDel="00000000" w:rsidR="00000000" w:rsidRPr="00000000">
              <w:rPr>
                <w:rtl w:val="0"/>
              </w:rPr>
            </w:r>
          </w:p>
        </w:tc>
        <w:tc>
          <w:tcPr/>
          <w:p w:rsidR="00000000" w:rsidDel="00000000" w:rsidP="00000000" w:rsidRDefault="00000000" w:rsidRPr="00000000" w14:paraId="0000073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USD 10.500</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(16.211.580 ARS)</w:t>
            </w:r>
            <w:r w:rsidDel="00000000" w:rsidR="00000000" w:rsidRPr="00000000">
              <w:rPr>
                <w:rtl w:val="0"/>
              </w:rPr>
            </w:r>
          </w:p>
        </w:tc>
        <w:tc>
          <w:tcPr/>
          <w:p w:rsidR="00000000" w:rsidDel="00000000" w:rsidP="00000000" w:rsidRDefault="00000000" w:rsidRPr="00000000" w14:paraId="0000073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USD 17.500</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(27.019.300 ARS)</w:t>
            </w:r>
            <w:r w:rsidDel="00000000" w:rsidR="00000000" w:rsidRPr="00000000">
              <w:rPr>
                <w:rtl w:val="0"/>
              </w:rPr>
            </w:r>
          </w:p>
        </w:tc>
        <w:tc>
          <w:tcPr/>
          <w:p w:rsidR="00000000" w:rsidDel="00000000" w:rsidP="00000000" w:rsidRDefault="00000000" w:rsidRPr="00000000" w14:paraId="0000073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Facturación recurrente por suscripciones anuales.</w:t>
            </w:r>
            <w:r w:rsidDel="00000000" w:rsidR="00000000" w:rsidRPr="00000000">
              <w:rPr>
                <w:rtl w:val="0"/>
              </w:rPr>
            </w:r>
          </w:p>
        </w:tc>
      </w:tr>
      <w:tr>
        <w:trPr>
          <w:cantSplit w:val="1"/>
          <w:tblHeader w:val="0"/>
        </w:trPr>
        <w:tc>
          <w:tcPr/>
          <w:p w:rsidR="00000000" w:rsidDel="00000000" w:rsidP="00000000" w:rsidRDefault="00000000" w:rsidRPr="00000000" w14:paraId="0000073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Costos Variables Directos (CV × Q)</w:t>
            </w:r>
            <w:r w:rsidDel="00000000" w:rsidR="00000000" w:rsidRPr="00000000">
              <w:rPr>
                <w:rtl w:val="0"/>
              </w:rPr>
            </w:r>
          </w:p>
        </w:tc>
        <w:tc>
          <w:tcPr/>
          <w:p w:rsidR="00000000" w:rsidDel="00000000" w:rsidP="00000000" w:rsidRDefault="00000000" w:rsidRPr="00000000" w14:paraId="0000073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USD 150</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(231.594 ARS)</w:t>
            </w:r>
            <w:r w:rsidDel="00000000" w:rsidR="00000000" w:rsidRPr="00000000">
              <w:rPr>
                <w:rtl w:val="0"/>
              </w:rPr>
            </w:r>
          </w:p>
        </w:tc>
        <w:tc>
          <w:tcPr/>
          <w:p w:rsidR="00000000" w:rsidDel="00000000" w:rsidP="00000000" w:rsidRDefault="00000000" w:rsidRPr="00000000" w14:paraId="0000073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USD 450</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(694.782 ARS)</w:t>
            </w:r>
            <w:r w:rsidDel="00000000" w:rsidR="00000000" w:rsidRPr="00000000">
              <w:rPr>
                <w:rtl w:val="0"/>
              </w:rPr>
            </w:r>
          </w:p>
        </w:tc>
        <w:tc>
          <w:tcPr/>
          <w:p w:rsidR="00000000" w:rsidDel="00000000" w:rsidP="00000000" w:rsidRDefault="00000000" w:rsidRPr="00000000" w14:paraId="0000074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USD 750</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(1.157.970 ARS)</w:t>
            </w:r>
            <w:r w:rsidDel="00000000" w:rsidR="00000000" w:rsidRPr="00000000">
              <w:rPr>
                <w:rtl w:val="0"/>
              </w:rPr>
            </w:r>
          </w:p>
        </w:tc>
        <w:tc>
          <w:tcPr/>
          <w:p w:rsidR="00000000" w:rsidDel="00000000" w:rsidP="00000000" w:rsidRDefault="00000000" w:rsidRPr="00000000" w14:paraId="0000074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Horas de onboarding y parametrización inicial de entorno.</w:t>
            </w:r>
            <w:r w:rsidDel="00000000" w:rsidR="00000000" w:rsidRPr="00000000">
              <w:rPr>
                <w:rtl w:val="0"/>
              </w:rPr>
            </w:r>
          </w:p>
        </w:tc>
      </w:tr>
      <w:tr>
        <w:trPr>
          <w:cantSplit w:val="1"/>
          <w:tblHeader w:val="0"/>
        </w:trPr>
        <w:tc>
          <w:tcPr/>
          <w:p w:rsidR="00000000" w:rsidDel="00000000" w:rsidP="00000000" w:rsidRDefault="00000000" w:rsidRPr="00000000" w14:paraId="0000074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Margen de Contribución Total</w:t>
            </w:r>
            <w:r w:rsidDel="00000000" w:rsidR="00000000" w:rsidRPr="00000000">
              <w:rPr>
                <w:rtl w:val="0"/>
              </w:rPr>
            </w:r>
          </w:p>
        </w:tc>
        <w:tc>
          <w:tcPr/>
          <w:p w:rsidR="00000000" w:rsidDel="00000000" w:rsidP="00000000" w:rsidRDefault="00000000" w:rsidRPr="00000000" w14:paraId="0000074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USD 2.350</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(3.628.306 ARS)</w:t>
            </w:r>
            <w:r w:rsidDel="00000000" w:rsidR="00000000" w:rsidRPr="00000000">
              <w:rPr>
                <w:rtl w:val="0"/>
              </w:rPr>
            </w:r>
          </w:p>
        </w:tc>
        <w:tc>
          <w:tcPr/>
          <w:p w:rsidR="00000000" w:rsidDel="00000000" w:rsidP="00000000" w:rsidRDefault="00000000" w:rsidRPr="00000000" w14:paraId="0000074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USD 10.050</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(15.516.798 ARS)</w:t>
            </w:r>
            <w:r w:rsidDel="00000000" w:rsidR="00000000" w:rsidRPr="00000000">
              <w:rPr>
                <w:rtl w:val="0"/>
              </w:rPr>
            </w:r>
          </w:p>
        </w:tc>
        <w:tc>
          <w:tcPr/>
          <w:p w:rsidR="00000000" w:rsidDel="00000000" w:rsidP="00000000" w:rsidRDefault="00000000" w:rsidRPr="00000000" w14:paraId="0000074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USD 16.750</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(25.861.330 ARS)</w:t>
            </w:r>
            <w:r w:rsidDel="00000000" w:rsidR="00000000" w:rsidRPr="00000000">
              <w:rPr>
                <w:rtl w:val="0"/>
              </w:rPr>
            </w:r>
          </w:p>
        </w:tc>
        <w:tc>
          <w:tcPr/>
          <w:p w:rsidR="00000000" w:rsidDel="00000000" w:rsidP="00000000" w:rsidRDefault="00000000" w:rsidRPr="00000000" w14:paraId="0000074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Recursos disponibles para absorción de estructura y recupero.</w:t>
            </w:r>
            <w:r w:rsidDel="00000000" w:rsidR="00000000" w:rsidRPr="00000000">
              <w:rPr>
                <w:rtl w:val="0"/>
              </w:rPr>
            </w:r>
          </w:p>
        </w:tc>
      </w:tr>
      <w:tr>
        <w:trPr>
          <w:cantSplit w:val="1"/>
          <w:tblHeader w:val="0"/>
        </w:trPr>
        <w:tc>
          <w:tcPr/>
          <w:p w:rsidR="00000000" w:rsidDel="00000000" w:rsidP="00000000" w:rsidRDefault="00000000" w:rsidRPr="00000000" w14:paraId="0000074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Costos Fijos Operativos Anuales</w:t>
            </w:r>
            <w:r w:rsidDel="00000000" w:rsidR="00000000" w:rsidRPr="00000000">
              <w:rPr>
                <w:rtl w:val="0"/>
              </w:rPr>
            </w:r>
          </w:p>
        </w:tc>
        <w:tc>
          <w:tcPr/>
          <w:p w:rsidR="00000000" w:rsidDel="00000000" w:rsidP="00000000" w:rsidRDefault="00000000" w:rsidRPr="00000000" w14:paraId="0000074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USD 2.700</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(4.168.541 ARS)</w:t>
            </w:r>
            <w:r w:rsidDel="00000000" w:rsidR="00000000" w:rsidRPr="00000000">
              <w:rPr>
                <w:rtl w:val="0"/>
              </w:rPr>
            </w:r>
          </w:p>
        </w:tc>
        <w:tc>
          <w:tcPr/>
          <w:p w:rsidR="00000000" w:rsidDel="00000000" w:rsidP="00000000" w:rsidRDefault="00000000" w:rsidRPr="00000000" w14:paraId="0000074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USD 2.700</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(4.168.541 ARS)</w:t>
            </w:r>
            <w:r w:rsidDel="00000000" w:rsidR="00000000" w:rsidRPr="00000000">
              <w:rPr>
                <w:rtl w:val="0"/>
              </w:rPr>
            </w:r>
          </w:p>
        </w:tc>
        <w:tc>
          <w:tcPr/>
          <w:p w:rsidR="00000000" w:rsidDel="00000000" w:rsidP="00000000" w:rsidRDefault="00000000" w:rsidRPr="00000000" w14:paraId="0000074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USD 2.700</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(4.168.541 ARS)</w:t>
            </w:r>
            <w:r w:rsidDel="00000000" w:rsidR="00000000" w:rsidRPr="00000000">
              <w:rPr>
                <w:rtl w:val="0"/>
              </w:rPr>
            </w:r>
          </w:p>
        </w:tc>
        <w:tc>
          <w:tcPr/>
          <w:p w:rsidR="00000000" w:rsidDel="00000000" w:rsidP="00000000" w:rsidRDefault="00000000" w:rsidRPr="00000000" w14:paraId="0000074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Mantenimiento de infraestructura, hosting, CI/CD y SLA.</w:t>
            </w:r>
            <w:r w:rsidDel="00000000" w:rsidR="00000000" w:rsidRPr="00000000">
              <w:rPr>
                <w:rtl w:val="0"/>
              </w:rPr>
            </w:r>
          </w:p>
        </w:tc>
      </w:tr>
      <w:tr>
        <w:trPr>
          <w:cantSplit w:val="1"/>
          <w:tblHeader w:val="0"/>
        </w:trPr>
        <w:tc>
          <w:tcPr/>
          <w:p w:rsidR="00000000" w:rsidDel="00000000" w:rsidP="00000000" w:rsidRDefault="00000000" w:rsidRPr="00000000" w14:paraId="0000074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Resultado Operativo Anual (EBITDA)</w:t>
            </w:r>
            <w:r w:rsidDel="00000000" w:rsidR="00000000" w:rsidRPr="00000000">
              <w:rPr>
                <w:rtl w:val="0"/>
              </w:rPr>
            </w:r>
          </w:p>
        </w:tc>
        <w:tc>
          <w:tcPr/>
          <w:p w:rsidR="00000000" w:rsidDel="00000000" w:rsidP="00000000" w:rsidRDefault="00000000" w:rsidRPr="00000000" w14:paraId="0000074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-USD 350</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(-540.235 ARS)</w:t>
            </w:r>
            <w:r w:rsidDel="00000000" w:rsidR="00000000" w:rsidRPr="00000000">
              <w:rPr>
                <w:rtl w:val="0"/>
              </w:rPr>
            </w:r>
          </w:p>
        </w:tc>
        <w:tc>
          <w:tcPr/>
          <w:p w:rsidR="00000000" w:rsidDel="00000000" w:rsidP="00000000" w:rsidRDefault="00000000" w:rsidRPr="00000000" w14:paraId="0000074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+USD 7.350</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(+11.348.257 ARS)</w:t>
            </w:r>
            <w:r w:rsidDel="00000000" w:rsidR="00000000" w:rsidRPr="00000000">
              <w:rPr>
                <w:rtl w:val="0"/>
              </w:rPr>
            </w:r>
          </w:p>
        </w:tc>
        <w:tc>
          <w:tcPr/>
          <w:p w:rsidR="00000000" w:rsidDel="00000000" w:rsidP="00000000" w:rsidRDefault="00000000" w:rsidRPr="00000000" w14:paraId="0000074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+USD 14.050</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(+21.692.789 ARS)</w:t>
            </w:r>
            <w:r w:rsidDel="00000000" w:rsidR="00000000" w:rsidRPr="00000000">
              <w:rPr>
                <w:rtl w:val="0"/>
              </w:rPr>
            </w:r>
          </w:p>
        </w:tc>
        <w:tc>
          <w:tcPr/>
          <w:p w:rsidR="00000000" w:rsidDel="00000000" w:rsidP="00000000" w:rsidRDefault="00000000" w:rsidRPr="00000000" w14:paraId="0000075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Beneficio neto antes de amortización de inversión inicial.</w:t>
            </w:r>
            <w:r w:rsidDel="00000000" w:rsidR="00000000" w:rsidRPr="00000000">
              <w:rPr>
                <w:rtl w:val="0"/>
              </w:rPr>
            </w:r>
          </w:p>
        </w:tc>
      </w:tr>
      <w:tr>
        <w:trPr>
          <w:cantSplit w:val="1"/>
          <w:tblHeader w:val="0"/>
        </w:trPr>
        <w:tc>
          <w:tcPr/>
          <w:p w:rsidR="00000000" w:rsidDel="00000000" w:rsidP="00000000" w:rsidRDefault="00000000" w:rsidRPr="00000000" w14:paraId="0000075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Amortización de Inversión Inicial (I_0)</w:t>
            </w:r>
            <w:r w:rsidDel="00000000" w:rsidR="00000000" w:rsidRPr="00000000">
              <w:rPr>
                <w:rtl w:val="0"/>
              </w:rPr>
            </w:r>
          </w:p>
        </w:tc>
        <w:tc>
          <w:tcPr/>
          <w:p w:rsidR="00000000" w:rsidDel="00000000" w:rsidP="00000000" w:rsidRDefault="00000000" w:rsidRPr="00000000" w14:paraId="0000075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69,1% absorbido</w:t>
            </w:r>
            <w:r w:rsidDel="00000000" w:rsidR="00000000" w:rsidRPr="00000000">
              <w:rPr>
                <w:rtl w:val="0"/>
              </w:rPr>
            </w:r>
          </w:p>
        </w:tc>
        <w:tc>
          <w:tcPr/>
          <w:p w:rsidR="00000000" w:rsidDel="00000000" w:rsidP="00000000" w:rsidRDefault="00000000" w:rsidRPr="00000000" w14:paraId="0000075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100% recuperado</w:t>
            </w:r>
            <w:r w:rsidDel="00000000" w:rsidR="00000000" w:rsidRPr="00000000">
              <w:rPr>
                <w:rtl w:val="0"/>
              </w:rPr>
            </w:r>
          </w:p>
        </w:tc>
        <w:tc>
          <w:tcPr/>
          <w:p w:rsidR="00000000" w:rsidDel="00000000" w:rsidP="00000000" w:rsidRDefault="00000000" w:rsidRPr="00000000" w14:paraId="0000075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100% recuperado</w:t>
            </w:r>
            <w:r w:rsidDel="00000000" w:rsidR="00000000" w:rsidRPr="00000000">
              <w:rPr>
                <w:rtl w:val="0"/>
              </w:rPr>
            </w:r>
          </w:p>
        </w:tc>
        <w:tc>
          <w:tcPr/>
          <w:p w:rsidR="00000000" w:rsidDel="00000000" w:rsidP="00000000" w:rsidRDefault="00000000" w:rsidRPr="00000000" w14:paraId="0000075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Inversión inicial total: USD 3.398,68 (5.247.429 ARS).</w:t>
            </w:r>
            <w:r w:rsidDel="00000000" w:rsidR="00000000" w:rsidRPr="00000000">
              <w:rPr>
                <w:rtl w:val="0"/>
              </w:rPr>
            </w:r>
          </w:p>
        </w:tc>
      </w:tr>
      <w:tr>
        <w:trPr>
          <w:cantSplit w:val="1"/>
          <w:tblHeader w:val="0"/>
        </w:trPr>
        <w:tc>
          <w:tcPr/>
          <w:p w:rsidR="00000000" w:rsidDel="00000000" w:rsidP="00000000" w:rsidRDefault="00000000" w:rsidRPr="00000000" w14:paraId="0000075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Plazo de Recupero (*Payback Period*)</w:t>
            </w:r>
            <w:r w:rsidDel="00000000" w:rsidR="00000000" w:rsidRPr="00000000">
              <w:rPr>
                <w:rtl w:val="0"/>
              </w:rPr>
            </w:r>
          </w:p>
        </w:tc>
        <w:tc>
          <w:tcPr/>
          <w:p w:rsidR="00000000" w:rsidDel="00000000" w:rsidP="00000000" w:rsidRDefault="00000000" w:rsidRPr="00000000" w14:paraId="0000075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17,4 meses</w:t>
            </w:r>
            <w:r w:rsidDel="00000000" w:rsidR="00000000" w:rsidRPr="00000000">
              <w:rPr>
                <w:rtl w:val="0"/>
              </w:rPr>
            </w:r>
          </w:p>
        </w:tc>
        <w:tc>
          <w:tcPr/>
          <w:p w:rsidR="00000000" w:rsidDel="00000000" w:rsidP="00000000" w:rsidRDefault="00000000" w:rsidRPr="00000000" w14:paraId="0000075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5,5 meses</w:t>
            </w:r>
            <w:r w:rsidDel="00000000" w:rsidR="00000000" w:rsidRPr="00000000">
              <w:rPr>
                <w:rtl w:val="0"/>
              </w:rPr>
            </w:r>
          </w:p>
        </w:tc>
        <w:tc>
          <w:tcPr/>
          <w:p w:rsidR="00000000" w:rsidDel="00000000" w:rsidP="00000000" w:rsidRDefault="00000000" w:rsidRPr="00000000" w14:paraId="0000075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2,9 meses</w:t>
            </w:r>
            <w:r w:rsidDel="00000000" w:rsidR="00000000" w:rsidRPr="00000000">
              <w:rPr>
                <w:rtl w:val="0"/>
              </w:rPr>
            </w:r>
          </w:p>
        </w:tc>
        <w:tc>
          <w:tcPr/>
          <w:p w:rsidR="00000000" w:rsidDel="00000000" w:rsidP="00000000" w:rsidRDefault="00000000" w:rsidRPr="00000000" w14:paraId="0000075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Tiempo transcurrido hasta igualar el flujo neto acumulado conI_0.</w:t>
            </w:r>
            <w:r w:rsidDel="00000000" w:rsidR="00000000" w:rsidRPr="00000000">
              <w:rPr>
                <w:rtl w:val="0"/>
              </w:rPr>
            </w:r>
          </w:p>
        </w:tc>
      </w:tr>
      <w:tr>
        <w:trPr>
          <w:cantSplit w:val="1"/>
          <w:tblHeader w:val="0"/>
        </w:trPr>
        <w:tc>
          <w:tcPr/>
          <w:p w:rsidR="00000000" w:rsidDel="00000000" w:rsidP="00000000" w:rsidRDefault="00000000" w:rsidRPr="00000000" w14:paraId="0000075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Rentabilidad Operativa sobre Ventas</w:t>
            </w:r>
            <w:r w:rsidDel="00000000" w:rsidR="00000000" w:rsidRPr="00000000">
              <w:rPr>
                <w:rtl w:val="0"/>
              </w:rPr>
            </w:r>
          </w:p>
        </w:tc>
        <w:tc>
          <w:tcPr/>
          <w:p w:rsidR="00000000" w:rsidDel="00000000" w:rsidP="00000000" w:rsidRDefault="00000000" w:rsidRPr="00000000" w14:paraId="0000075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Negativa (-14,0%)</w:t>
            </w:r>
            <w:r w:rsidDel="00000000" w:rsidR="00000000" w:rsidRPr="00000000">
              <w:rPr>
                <w:rtl w:val="0"/>
              </w:rPr>
            </w:r>
          </w:p>
        </w:tc>
        <w:tc>
          <w:tcPr/>
          <w:p w:rsidR="00000000" w:rsidDel="00000000" w:rsidP="00000000" w:rsidRDefault="00000000" w:rsidRPr="00000000" w14:paraId="0000075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+70,0%</w:t>
            </w:r>
            <w:r w:rsidDel="00000000" w:rsidR="00000000" w:rsidRPr="00000000">
              <w:rPr>
                <w:rtl w:val="0"/>
              </w:rPr>
            </w:r>
          </w:p>
        </w:tc>
        <w:tc>
          <w:tcPr/>
          <w:p w:rsidR="00000000" w:rsidDel="00000000" w:rsidP="00000000" w:rsidRDefault="00000000" w:rsidRPr="00000000" w14:paraId="0000075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+80,3%</w:t>
            </w:r>
            <w:r w:rsidDel="00000000" w:rsidR="00000000" w:rsidRPr="00000000">
              <w:rPr>
                <w:rtl w:val="0"/>
              </w:rPr>
            </w:r>
          </w:p>
        </w:tc>
        <w:tc>
          <w:tcPr/>
          <w:p w:rsidR="00000000" w:rsidDel="00000000" w:rsidP="00000000" w:rsidRDefault="00000000" w:rsidRPr="00000000" w14:paraId="0000075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Margen operativo neto sobre la facturación bruta.</w:t>
            </w:r>
            <w:r w:rsidDel="00000000" w:rsidR="00000000" w:rsidRPr="00000000">
              <w:rPr>
                <w:rtl w:val="0"/>
              </w:rPr>
            </w:r>
          </w:p>
        </w:tc>
      </w:tr>
    </w:tbl>
    <w:p w:rsidR="00000000" w:rsidDel="00000000" w:rsidP="00000000" w:rsidRDefault="00000000" w:rsidRPr="00000000" w14:paraId="00000760">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Nota. Elaboración propia sobre modelos financieros de proyectos de base tecnológica. Tipo de cambio minorista de referencia BCRA vendedor:1.543,96 ARS/USD al 01/10/2026 (cierre 15:00 hs). Las magnitudes económicas se declaran como órdenes de magnitud orientativos, en concordancia estricta con la consigna del marco reglamentario del proyecto integrador.</w:t>
      </w:r>
      <w:r w:rsidDel="00000000" w:rsidR="00000000" w:rsidRPr="00000000">
        <w:rPr>
          <w:rtl w:val="0"/>
        </w:rPr>
      </w:r>
    </w:p>
    <w:p w:rsidR="00000000" w:rsidDel="00000000" w:rsidP="00000000" w:rsidRDefault="00000000" w:rsidRPr="00000000" w14:paraId="00000761">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3. Conclusiones de Viabilidad Financiera</w:t>
      </w:r>
      <w:r w:rsidDel="00000000" w:rsidR="00000000" w:rsidRPr="00000000">
        <w:rPr>
          <w:rtl w:val="0"/>
        </w:rPr>
      </w:r>
    </w:p>
    <w:p w:rsidR="00000000" w:rsidDel="00000000" w:rsidP="00000000" w:rsidRDefault="00000000" w:rsidRPr="00000000" w14:paraId="00000762">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análisis financiero confirma la solidez del modelo de negocio concebido para CODI:</w:t>
      </w:r>
      <w:r w:rsidDel="00000000" w:rsidR="00000000" w:rsidRPr="00000000">
        <w:rPr>
          <w:rtl w:val="0"/>
        </w:rPr>
      </w:r>
    </w:p>
    <w:p w:rsidR="00000000" w:rsidDel="00000000" w:rsidP="00000000" w:rsidRDefault="00000000" w:rsidRPr="00000000" w14:paraId="00000763">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 </w:t>
      </w:r>
      <w:r w:rsidDel="00000000" w:rsidR="00000000" w:rsidRPr="00000000">
        <w:rPr>
          <w:rFonts w:ascii="Times New Roman" w:cs="Times New Roman" w:eastAsia="Times New Roman" w:hAnsi="Times New Roman"/>
          <w:b w:val="1"/>
          <w:bCs w:val="1"/>
          <w:i w:val="0"/>
          <w:iCs w:val="0"/>
          <w:color w:val="0f172a"/>
          <w:sz w:val="23"/>
          <w:szCs w:val="23"/>
          <w:rtl w:val="0"/>
        </w:rPr>
        <w:t xml:space="preserve">Riesgo Operativo Mínimo</w:t>
      </w:r>
      <w:r w:rsidDel="00000000" w:rsidR="00000000" w:rsidRPr="00000000">
        <w:rPr>
          <w:rFonts w:ascii="Times New Roman" w:cs="Times New Roman" w:eastAsia="Times New Roman" w:hAnsi="Times New Roman"/>
          <w:b w:val="0"/>
          <w:bCs w:val="0"/>
          <w:i w:val="0"/>
          <w:iCs w:val="0"/>
          <w:color w:val="0f172a"/>
          <w:sz w:val="23"/>
          <w:szCs w:val="23"/>
          <w:rtl w:val="0"/>
        </w:rPr>
        <w:t xml:space="preserve">: La combinación de un costo marginal cero en tokens mediante BYOK y una estructura de costos fijos sumamente liviana (inferior a los USD 2.700 anuales) blinda a la empresa contra períodos prolongados de baja demanda o demoras en la firma de contratos.</w:t>
      </w:r>
      <w:r w:rsidDel="00000000" w:rsidR="00000000" w:rsidRPr="00000000">
        <w:rPr>
          <w:rtl w:val="0"/>
        </w:rPr>
      </w:r>
    </w:p>
    <w:p w:rsidR="00000000" w:rsidDel="00000000" w:rsidP="00000000" w:rsidRDefault="00000000" w:rsidRPr="00000000" w14:paraId="00000764">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2. </w:t>
      </w:r>
      <w:r w:rsidDel="00000000" w:rsidR="00000000" w:rsidRPr="00000000">
        <w:rPr>
          <w:rFonts w:ascii="Times New Roman" w:cs="Times New Roman" w:eastAsia="Times New Roman" w:hAnsi="Times New Roman"/>
          <w:b w:val="1"/>
          <w:bCs w:val="1"/>
          <w:i w:val="0"/>
          <w:iCs w:val="0"/>
          <w:color w:val="0f172a"/>
          <w:sz w:val="23"/>
          <w:szCs w:val="23"/>
          <w:rtl w:val="0"/>
        </w:rPr>
        <w:t xml:space="preserve">Alta Viabilidad en el Mercado Local y Regional</w:t>
      </w:r>
      <w:r w:rsidDel="00000000" w:rsidR="00000000" w:rsidRPr="00000000">
        <w:rPr>
          <w:rFonts w:ascii="Times New Roman" w:cs="Times New Roman" w:eastAsia="Times New Roman" w:hAnsi="Times New Roman"/>
          <w:b w:val="0"/>
          <w:bCs w:val="0"/>
          <w:i w:val="0"/>
          <w:iCs w:val="0"/>
          <w:color w:val="0f172a"/>
          <w:sz w:val="23"/>
          <w:szCs w:val="23"/>
          <w:rtl w:val="0"/>
        </w:rPr>
        <w:t xml:space="preserve">: El Escenario Base requiere capturar únicamente </w:t>
      </w:r>
      <w:r w:rsidDel="00000000" w:rsidR="00000000" w:rsidRPr="00000000">
        <w:rPr>
          <w:rFonts w:ascii="Times New Roman" w:cs="Times New Roman" w:eastAsia="Times New Roman" w:hAnsi="Times New Roman"/>
          <w:b w:val="1"/>
          <w:bCs w:val="1"/>
          <w:i w:val="0"/>
          <w:iCs w:val="0"/>
          <w:color w:val="0f172a"/>
          <w:sz w:val="23"/>
          <w:szCs w:val="23"/>
          <w:rtl w:val="0"/>
        </w:rPr>
        <w:t xml:space="preserve">tres (3) clientes institucionales</w:t>
      </w:r>
      <w:r w:rsidDel="00000000" w:rsidR="00000000" w:rsidRPr="00000000">
        <w:rPr>
          <w:rFonts w:ascii="Times New Roman" w:cs="Times New Roman" w:eastAsia="Times New Roman" w:hAnsi="Times New Roman"/>
          <w:b w:val="0"/>
          <w:bCs w:val="0"/>
          <w:i w:val="0"/>
          <w:iCs w:val="0"/>
          <w:color w:val="0f172a"/>
          <w:sz w:val="23"/>
          <w:szCs w:val="23"/>
          <w:rtl w:val="0"/>
        </w:rPr>
        <w:t xml:space="preserve">: el socio de diseño y cliente ancla (CTA-UNLP) mediante un convenio de soporte institucional, y dos empresas o consorcios privados del emergente ecosistema NewSpace regional (integradores de CubeSats, fabricantes de cargas útiles o proveedores de subsistemas satelitales). Dicho volumen permite repagar la totalidad del capital inicial invertido en </w:t>
      </w:r>
      <w:r w:rsidDel="00000000" w:rsidR="00000000" w:rsidRPr="00000000">
        <w:rPr>
          <w:rFonts w:ascii="Times New Roman" w:cs="Times New Roman" w:eastAsia="Times New Roman" w:hAnsi="Times New Roman"/>
          <w:b w:val="1"/>
          <w:bCs w:val="1"/>
          <w:i w:val="0"/>
          <w:iCs w:val="0"/>
          <w:color w:val="0f172a"/>
          <w:sz w:val="23"/>
          <w:szCs w:val="23"/>
          <w:rtl w:val="0"/>
        </w:rPr>
        <w:t xml:space="preserve">5,5 meses</w:t>
      </w:r>
      <w:r w:rsidDel="00000000" w:rsidR="00000000" w:rsidRPr="00000000">
        <w:rPr>
          <w:rFonts w:ascii="Times New Roman" w:cs="Times New Roman" w:eastAsia="Times New Roman" w:hAnsi="Times New Roman"/>
          <w:b w:val="0"/>
          <w:bCs w:val="0"/>
          <w:i w:val="0"/>
          <w:iCs w:val="0"/>
          <w:color w:val="0f172a"/>
          <w:sz w:val="23"/>
          <w:szCs w:val="23"/>
          <w:rtl w:val="0"/>
        </w:rPr>
        <w:t xml:space="preserve"> y consolidar una rentabilidad operativa del </w:t>
      </w:r>
      <w:r w:rsidDel="00000000" w:rsidR="00000000" w:rsidRPr="00000000">
        <w:rPr>
          <w:rFonts w:ascii="Times New Roman" w:cs="Times New Roman" w:eastAsia="Times New Roman" w:hAnsi="Times New Roman"/>
          <w:b w:val="1"/>
          <w:bCs w:val="1"/>
          <w:i w:val="0"/>
          <w:iCs w:val="0"/>
          <w:color w:val="0f172a"/>
          <w:sz w:val="23"/>
          <w:szCs w:val="23"/>
          <w:rtl w:val="0"/>
        </w:rPr>
        <w:t xml:space="preserve">70,0%</w:t>
      </w:r>
      <w:r w:rsidDel="00000000" w:rsidR="00000000" w:rsidRPr="00000000">
        <w:rPr>
          <w:rFonts w:ascii="Times New Roman" w:cs="Times New Roman" w:eastAsia="Times New Roman" w:hAnsi="Times New Roman"/>
          <w:b w:val="0"/>
          <w:bCs w:val="0"/>
          <w:i w:val="0"/>
          <w:iCs w:val="0"/>
          <w:color w:val="0f172a"/>
          <w:sz w:val="23"/>
          <w:szCs w:val="23"/>
          <w:rtl w:val="0"/>
        </w:rPr>
        <w:t xml:space="preserve">, generando un excedente financiero neto de más de </w:t>
      </w:r>
      <w:r w:rsidDel="00000000" w:rsidR="00000000" w:rsidRPr="00000000">
        <w:rPr>
          <w:rFonts w:ascii="Times New Roman" w:cs="Times New Roman" w:eastAsia="Times New Roman" w:hAnsi="Times New Roman"/>
          <w:b w:val="1"/>
          <w:bCs w:val="1"/>
          <w:i w:val="0"/>
          <w:iCs w:val="0"/>
          <w:color w:val="0f172a"/>
          <w:sz w:val="23"/>
          <w:szCs w:val="23"/>
          <w:rtl w:val="0"/>
        </w:rPr>
        <w:t xml:space="preserve">$6.100.000 ARS</w:t>
      </w:r>
      <w:r w:rsidDel="00000000" w:rsidR="00000000" w:rsidRPr="00000000">
        <w:rPr>
          <w:rFonts w:ascii="Times New Roman" w:cs="Times New Roman" w:eastAsia="Times New Roman" w:hAnsi="Times New Roman"/>
          <w:b w:val="0"/>
          <w:bCs w:val="0"/>
          <w:i w:val="0"/>
          <w:iCs w:val="0"/>
          <w:color w:val="0f172a"/>
          <w:sz w:val="23"/>
          <w:szCs w:val="23"/>
          <w:rtl w:val="0"/>
        </w:rPr>
        <w:t xml:space="preserve"> en el primer año para financiar la hoja de ruta de expansión tecnológica (</w:t>
      </w:r>
      <w:r w:rsidDel="00000000" w:rsidR="00000000" w:rsidRPr="00000000">
        <w:rPr>
          <w:rFonts w:ascii="Times New Roman" w:cs="Times New Roman" w:eastAsia="Times New Roman" w:hAnsi="Times New Roman"/>
          <w:b w:val="0"/>
          <w:bCs w:val="0"/>
          <w:i w:val="1"/>
          <w:iCs w:val="1"/>
          <w:color w:val="0f172a"/>
          <w:sz w:val="23"/>
          <w:szCs w:val="23"/>
          <w:rtl w:val="0"/>
        </w:rPr>
        <w:t xml:space="preserve">Roadmap Post-PIF</w:t>
      </w:r>
      <w:r w:rsidDel="00000000" w:rsidR="00000000" w:rsidRPr="00000000">
        <w:rPr>
          <w:rFonts w:ascii="Times New Roman" w:cs="Times New Roman" w:eastAsia="Times New Roman" w:hAnsi="Times New Roman"/>
          <w:b w:val="0"/>
          <w:bCs w:val="0"/>
          <w:i w:val="0"/>
          <w:iCs w:val="0"/>
          <w:color w:val="0f172a"/>
          <w:sz w:val="23"/>
          <w:szCs w:val="23"/>
          <w:rtl w:val="0"/>
        </w:rPr>
        <w:t xml:space="preserve"> hacia módulos de orientación y actitud ADCS y conectores CAD).</w:t>
      </w:r>
      <w:r w:rsidDel="00000000" w:rsidR="00000000" w:rsidRPr="00000000">
        <w:rPr>
          <w:rtl w:val="0"/>
        </w:rPr>
      </w:r>
    </w:p>
    <w:p w:rsidR="00000000" w:rsidDel="00000000" w:rsidP="00000000" w:rsidRDefault="00000000" w:rsidRPr="00000000" w14:paraId="00000765">
      <w:pPr>
        <w:pStyle w:val="Heading2"/>
        <w:keepNext w:val="1"/>
        <w:rPr/>
      </w:pPr>
      <w:r w:rsidDel="00000000" w:rsidR="00000000" w:rsidRPr="00000000">
        <w:rPr>
          <w:rFonts w:ascii="Times New Roman" w:cs="Times New Roman" w:eastAsia="Times New Roman" w:hAnsi="Times New Roman"/>
          <w:b w:val="1"/>
          <w:bCs w:val="1"/>
          <w:i w:val="0"/>
          <w:iCs w:val="0"/>
          <w:color w:val="0f172a"/>
          <w:sz w:val="28"/>
          <w:szCs w:val="28"/>
          <w:rtl w:val="0"/>
        </w:rPr>
        <w:t xml:space="preserve">X.4 · Recursos Tecnológicos</w:t>
      </w:r>
      <w:r w:rsidDel="00000000" w:rsidR="00000000" w:rsidRPr="00000000">
        <w:rPr>
          <w:rtl w:val="0"/>
        </w:rPr>
      </w:r>
    </w:p>
    <w:p w:rsidR="00000000" w:rsidDel="00000000" w:rsidP="00000000" w:rsidRDefault="00000000" w:rsidRPr="00000000" w14:paraId="00000766">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La selección del ecosistema tecnológico, las herramientas de software de base, los motores de cálculo determinístico y los entornos de inferencia cognitiva de CODI se desprende directamente de los requerimientos arquitectónicos de verificación formal sin caja negra (RNF-01), portabilidad e independencia de red para estaciones terrestres (RNF-02), modularidad desacoplada (RNF-03) y resguardo del secreto industrial aeroespacial mediante procesamiento local o llaves propias (RNF-04). El stack tecnológico se diseña bajo un principio rector de soberanía técnica y costo marginal cero en licencias de desarrollo, articulando lenguajes y librerías científicas de código abierto consolidadas en el sector aeroespacial internacional con técnicas avanzadas de ingeniería neuro-simbólica. De conformidad con las exigencias del Artículo 21.º de la Resolución Rectoral N.º 97/23, cada tecnología adoptada se fundamenta en evidencias operativas y funcionales del proyecto, explicitando las alternativas de la industria que fueron formalmente evaluadas y descartadas por motivos técnicos, económicos o de seguridad de la información.</w:t>
      </w:r>
      <w:r w:rsidDel="00000000" w:rsidR="00000000" w:rsidRPr="00000000">
        <w:rPr>
          <w:rtl w:val="0"/>
        </w:rPr>
      </w:r>
    </w:p>
    <w:p w:rsidR="00000000" w:rsidDel="00000000" w:rsidP="00000000" w:rsidRDefault="00000000" w:rsidRPr="00000000" w14:paraId="00000767">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Criterios de Selección y Descarte por Componente de Arquitectura</w:t>
      </w:r>
      <w:r w:rsidDel="00000000" w:rsidR="00000000" w:rsidRPr="00000000">
        <w:rPr>
          <w:rtl w:val="0"/>
        </w:rPr>
      </w:r>
    </w:p>
    <w:p w:rsidR="00000000" w:rsidDel="00000000" w:rsidP="00000000" w:rsidRDefault="00000000" w:rsidRPr="00000000" w14:paraId="00000768">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1. Lenguaje de Programación y Entorno de Ejecución Backend</w:t>
      </w:r>
      <w:r w:rsidDel="00000000" w:rsidR="00000000" w:rsidRPr="00000000">
        <w:rPr>
          <w:rtl w:val="0"/>
        </w:rPr>
      </w:r>
    </w:p>
    <w:p w:rsidR="00000000" w:rsidDel="00000000" w:rsidP="00000000" w:rsidRDefault="00000000" w:rsidRPr="00000000" w14:paraId="00000769">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Se adopta </w:t>
      </w:r>
      <w:r w:rsidDel="00000000" w:rsidR="00000000" w:rsidRPr="00000000">
        <w:rPr>
          <w:rFonts w:ascii="Times New Roman" w:cs="Times New Roman" w:eastAsia="Times New Roman" w:hAnsi="Times New Roman"/>
          <w:b w:val="1"/>
          <w:bCs w:val="1"/>
          <w:i w:val="0"/>
          <w:iCs w:val="0"/>
          <w:color w:val="0f172a"/>
          <w:sz w:val="24"/>
          <w:szCs w:val="24"/>
          <w:rtl w:val="0"/>
        </w:rPr>
        <w:t xml:space="preserve">Python 3.12</w:t>
      </w:r>
      <w:r w:rsidDel="00000000" w:rsidR="00000000" w:rsidRPr="00000000">
        <w:rPr>
          <w:rFonts w:ascii="Times New Roman" w:cs="Times New Roman" w:eastAsia="Times New Roman" w:hAnsi="Times New Roman"/>
          <w:b w:val="0"/>
          <w:bCs w:val="0"/>
          <w:i w:val="0"/>
          <w:iCs w:val="0"/>
          <w:color w:val="0f172a"/>
          <w:sz w:val="24"/>
          <w:szCs w:val="24"/>
          <w:rtl w:val="0"/>
        </w:rPr>
        <w:t xml:space="preserve"> como lenguaje central para la implementación de la lógica epistémica, el arnés de verificación determinística y los conectores cognitivos. Esta decisión se fundamenta en su posición como el estándar de facto para la computación científica satelital, su interoperabilidad nativa con librerías astrodinámicas y la madurez de su ecosistema para tipado estático riguroso mediante </w:t>
      </w:r>
      <w:r w:rsidDel="00000000" w:rsidR="00000000" w:rsidRPr="00000000">
        <w:rPr>
          <w:rFonts w:ascii="Consolas" w:cs="Consolas" w:eastAsia="Consolas" w:hAnsi="Consolas"/>
          <w:b w:val="0"/>
          <w:bCs w:val="0"/>
          <w:i w:val="0"/>
          <w:iCs w:val="0"/>
          <w:color w:val="334155"/>
          <w:sz w:val="21"/>
          <w:szCs w:val="21"/>
          <w:rtl w:val="0"/>
        </w:rPr>
        <w:t xml:space="preserve">typing</w:t>
      </w:r>
      <w:r w:rsidDel="00000000" w:rsidR="00000000" w:rsidRPr="00000000">
        <w:rPr>
          <w:rFonts w:ascii="Times New Roman" w:cs="Times New Roman" w:eastAsia="Times New Roman" w:hAnsi="Times New Roman"/>
          <w:b w:val="0"/>
          <w:bCs w:val="0"/>
          <w:i w:val="0"/>
          <w:iCs w:val="0"/>
          <w:color w:val="0f172a"/>
          <w:sz w:val="24"/>
          <w:szCs w:val="24"/>
          <w:rtl w:val="0"/>
        </w:rPr>
        <w:t xml:space="preserve"> y Pydantic v2, sumado a las mejoras sustanciales de rendimiento en la ejecución de bytecode introducidas en su versión 3.12 (PEP 659).</w:t>
      </w:r>
      <w:r w:rsidDel="00000000" w:rsidR="00000000" w:rsidRPr="00000000">
        <w:rPr>
          <w:rtl w:val="0"/>
        </w:rPr>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Alternativas evaluadas y descartadas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Java / Ecosistema JVM (Spring Boot)</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evalúa por su sólida tipificación y adopción corporativa, pero se descarta debido a la ausencia de librerías astrodinámicas y neuro-simbólicas modernas de código abierto, la elevada penalización de memoria RAM en entornos de estación terrena y la sobrecarga ceremonial de código que incrementaría en más del 40% las horas-persona de desarrollo para un equipo unipersonal.</w:t>
      </w:r>
      <w:r w:rsidDel="00000000" w:rsidR="00000000" w:rsidRPr="00000000">
        <w:rPr>
          <w:rtl w:val="0"/>
        </w:rPr>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Go (Golang)</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evalúa por su eficiencia en concurrencia y compilación a binario estático, pero se descarta por la extrema inmadurez de su ecosistema para álgebra simbólica (resolución analítica de ecuaciones de balance energético) y la falta de frameworks estandarizados para la manipulación y validación de ontologías espaciales.</w:t>
      </w:r>
      <w:r w:rsidDel="00000000" w:rsidR="00000000" w:rsidRPr="00000000">
        <w:rPr>
          <w:rtl w:val="0"/>
        </w:rPr>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C++ Puro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evalúa por su rendimiento computacional crítico en tiempo real, pero se descarta para la capa de orquestación lógica y APIs por su alto costo de desarrollo y mantenimiento en un plazo acotado de diez semanas, reservando C/C++ exclusivamente como backend numérico subyacente y compilado dentro de los paquetes científicos de Python (NumPy/SciPy).</w:t>
      </w:r>
      <w:r w:rsidDel="00000000" w:rsidR="00000000" w:rsidRPr="00000000">
        <w:rPr>
          <w:rtl w:val="0"/>
        </w:rPr>
      </w:r>
    </w:p>
    <w:p w:rsidR="00000000" w:rsidDel="00000000" w:rsidP="00000000" w:rsidRDefault="00000000" w:rsidRPr="00000000" w14:paraId="0000076E">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2. Framework de Servicios Web y Contratos de Interfaz (API)</w:t>
      </w:r>
      <w:r w:rsidDel="00000000" w:rsidR="00000000" w:rsidRPr="00000000">
        <w:rPr>
          <w:rtl w:val="0"/>
        </w:rPr>
      </w:r>
    </w:p>
    <w:p w:rsidR="00000000" w:rsidDel="00000000" w:rsidP="00000000" w:rsidRDefault="00000000" w:rsidRPr="00000000" w14:paraId="0000076F">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Se adopta </w:t>
      </w:r>
      <w:r w:rsidDel="00000000" w:rsidR="00000000" w:rsidRPr="00000000">
        <w:rPr>
          <w:rFonts w:ascii="Times New Roman" w:cs="Times New Roman" w:eastAsia="Times New Roman" w:hAnsi="Times New Roman"/>
          <w:b w:val="1"/>
          <w:bCs w:val="1"/>
          <w:i w:val="0"/>
          <w:iCs w:val="0"/>
          <w:color w:val="0f172a"/>
          <w:sz w:val="24"/>
          <w:szCs w:val="24"/>
          <w:rtl w:val="0"/>
        </w:rPr>
        <w:t xml:space="preserve">FastAPI</w:t>
      </w:r>
      <w:r w:rsidDel="00000000" w:rsidR="00000000" w:rsidRPr="00000000">
        <w:rPr>
          <w:rFonts w:ascii="Times New Roman" w:cs="Times New Roman" w:eastAsia="Times New Roman" w:hAnsi="Times New Roman"/>
          <w:b w:val="0"/>
          <w:bCs w:val="0"/>
          <w:i w:val="0"/>
          <w:iCs w:val="0"/>
          <w:color w:val="0f172a"/>
          <w:sz w:val="24"/>
          <w:szCs w:val="24"/>
          <w:rtl w:val="0"/>
        </w:rPr>
        <w:t xml:space="preserve"> montado sobre el servidor ASGI </w:t>
      </w:r>
      <w:r w:rsidDel="00000000" w:rsidR="00000000" w:rsidRPr="00000000">
        <w:rPr>
          <w:rFonts w:ascii="Times New Roman" w:cs="Times New Roman" w:eastAsia="Times New Roman" w:hAnsi="Times New Roman"/>
          <w:b w:val="1"/>
          <w:bCs w:val="1"/>
          <w:i w:val="0"/>
          <w:iCs w:val="0"/>
          <w:color w:val="0f172a"/>
          <w:sz w:val="24"/>
          <w:szCs w:val="24"/>
          <w:rtl w:val="0"/>
        </w:rPr>
        <w:t xml:space="preserve">Uvicorn</w:t>
      </w:r>
      <w:r w:rsidDel="00000000" w:rsidR="00000000" w:rsidRPr="00000000">
        <w:rPr>
          <w:rFonts w:ascii="Times New Roman" w:cs="Times New Roman" w:eastAsia="Times New Roman" w:hAnsi="Times New Roman"/>
          <w:b w:val="0"/>
          <w:bCs w:val="0"/>
          <w:i w:val="0"/>
          <w:iCs w:val="0"/>
          <w:color w:val="0f172a"/>
          <w:sz w:val="24"/>
          <w:szCs w:val="24"/>
          <w:rtl w:val="0"/>
        </w:rPr>
        <w:t xml:space="preserve"> para la exposición de los servicios del backend. Esta elección responde a la necesidad de gestionar operaciones asíncronas no bloqueantes (</w:t>
      </w:r>
      <w:r w:rsidDel="00000000" w:rsidR="00000000" w:rsidRPr="00000000">
        <w:rPr>
          <w:rFonts w:ascii="Consolas" w:cs="Consolas" w:eastAsia="Consolas" w:hAnsi="Consolas"/>
          <w:b w:val="0"/>
          <w:bCs w:val="0"/>
          <w:i w:val="0"/>
          <w:iCs w:val="0"/>
          <w:color w:val="334155"/>
          <w:sz w:val="21"/>
          <w:szCs w:val="21"/>
          <w:rtl w:val="0"/>
        </w:rPr>
        <w:t xml:space="preserve">async</w:t>
      </w:r>
      <w:r w:rsidDel="00000000" w:rsidR="00000000" w:rsidRPr="00000000">
        <w:rPr>
          <w:rFonts w:ascii="Times New Roman" w:cs="Times New Roman" w:eastAsia="Times New Roman" w:hAnsi="Times New Roman"/>
          <w:b w:val="0"/>
          <w:bCs w:val="0"/>
          <w:i w:val="0"/>
          <w:iCs w:val="0"/>
          <w:color w:val="0f172a"/>
          <w:sz w:val="24"/>
          <w:szCs w:val="24"/>
          <w:rtl w:val="0"/>
        </w:rPr>
        <w:t xml:space="preserve">/</w:t>
      </w:r>
      <w:r w:rsidDel="00000000" w:rsidR="00000000" w:rsidRPr="00000000">
        <w:rPr>
          <w:rFonts w:ascii="Consolas" w:cs="Consolas" w:eastAsia="Consolas" w:hAnsi="Consolas"/>
          <w:b w:val="0"/>
          <w:bCs w:val="0"/>
          <w:i w:val="0"/>
          <w:iCs w:val="0"/>
          <w:color w:val="334155"/>
          <w:sz w:val="21"/>
          <w:szCs w:val="21"/>
          <w:rtl w:val="0"/>
        </w:rPr>
        <w:t xml:space="preserve">await</w:t>
      </w:r>
      <w:r w:rsidDel="00000000" w:rsidR="00000000" w:rsidRPr="00000000">
        <w:rPr>
          <w:rFonts w:ascii="Times New Roman" w:cs="Times New Roman" w:eastAsia="Times New Roman" w:hAnsi="Times New Roman"/>
          <w:b w:val="0"/>
          <w:bCs w:val="0"/>
          <w:i w:val="0"/>
          <w:iCs w:val="0"/>
          <w:color w:val="0f172a"/>
          <w:sz w:val="24"/>
          <w:szCs w:val="24"/>
          <w:rtl w:val="0"/>
        </w:rPr>
        <w:t xml:space="preserve">) durante cálculos de geometría orbital o consultas semánticas, generando automáticamente contratos de interfaz estandarizados bajo especificación OpenAPI / Swagger que facilitan la integración directa con clientes B2B y herramientas de telemetría de terceros.</w:t>
      </w:r>
      <w:r w:rsidDel="00000000" w:rsidR="00000000" w:rsidRPr="00000000">
        <w:rPr>
          <w:rtl w:val="0"/>
        </w:rPr>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Alternativas evaluadas y descartadas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Django / Django REST Framework</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evalúa por su madurez y robustez, pero se descarta por tratarse de un marco monolítico con sobrecarga de componentes no requeridos (ORM acoplado, panel de administración HTML pesado) que vulnera el principio de arquitectura desacoplada y añade latencia innecesaria en la serialización de datos de telemetría.</w:t>
      </w:r>
      <w:r w:rsidDel="00000000" w:rsidR="00000000" w:rsidRPr="00000000">
        <w:rPr>
          <w:rtl w:val="0"/>
        </w:rPr>
      </w:r>
    </w:p>
    <w:p w:rsidR="00000000" w:rsidDel="00000000" w:rsidP="00000000" w:rsidRDefault="00000000" w:rsidRPr="00000000" w14:paraId="000007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Flask</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evalúa por su ligereza y simplicidad minimalista, pero se descarta por carecer de soporte asíncrono nativo de alto rendimiento y obligar a integrar múltiples extensiones de terceros no estandarizadas para lograr validación tipada y documentación OpenAPI automática.</w:t>
      </w:r>
      <w:r w:rsidDel="00000000" w:rsidR="00000000" w:rsidRPr="00000000">
        <w:rPr>
          <w:rtl w:val="0"/>
        </w:rPr>
      </w:r>
    </w:p>
    <w:p w:rsidR="00000000" w:rsidDel="00000000" w:rsidP="00000000" w:rsidRDefault="00000000" w:rsidRPr="00000000" w14:paraId="00000773">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3. Motor Determinístico de Simulación Física y Balance EPS</w:t>
      </w:r>
      <w:r w:rsidDel="00000000" w:rsidR="00000000" w:rsidRPr="00000000">
        <w:rPr>
          <w:rtl w:val="0"/>
        </w:rPr>
      </w:r>
    </w:p>
    <w:p w:rsidR="00000000" w:rsidDel="00000000" w:rsidP="00000000" w:rsidRDefault="00000000" w:rsidRPr="00000000" w14:paraId="00000774">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La verificación de restricciones físicas y análisis de balance de potencia (EPS) se resuelve mediante un </w:t>
      </w:r>
      <w:r w:rsidDel="00000000" w:rsidR="00000000" w:rsidRPr="00000000">
        <w:rPr>
          <w:rFonts w:ascii="Times New Roman" w:cs="Times New Roman" w:eastAsia="Times New Roman" w:hAnsi="Times New Roman"/>
          <w:b w:val="1"/>
          <w:bCs w:val="1"/>
          <w:i w:val="0"/>
          <w:iCs w:val="0"/>
          <w:color w:val="0f172a"/>
          <w:sz w:val="24"/>
          <w:szCs w:val="24"/>
          <w:rtl w:val="0"/>
        </w:rPr>
        <w:t xml:space="preserve">motor analítico determinístico propio en Python</w:t>
      </w:r>
      <w:r w:rsidDel="00000000" w:rsidR="00000000" w:rsidRPr="00000000">
        <w:rPr>
          <w:rFonts w:ascii="Times New Roman" w:cs="Times New Roman" w:eastAsia="Times New Roman" w:hAnsi="Times New Roman"/>
          <w:b w:val="0"/>
          <w:bCs w:val="0"/>
          <w:i w:val="0"/>
          <w:iCs w:val="0"/>
          <w:color w:val="0f172a"/>
          <w:sz w:val="24"/>
          <w:szCs w:val="24"/>
          <w:rtl w:val="0"/>
        </w:rPr>
        <w:t xml:space="preserve">, apoyado en las bibliotecas científicas abiertas </w:t>
      </w:r>
      <w:r w:rsidDel="00000000" w:rsidR="00000000" w:rsidRPr="00000000">
        <w:rPr>
          <w:rFonts w:ascii="Times New Roman" w:cs="Times New Roman" w:eastAsia="Times New Roman" w:hAnsi="Times New Roman"/>
          <w:b w:val="1"/>
          <w:bCs w:val="1"/>
          <w:i w:val="0"/>
          <w:iCs w:val="0"/>
          <w:color w:val="0f172a"/>
          <w:sz w:val="24"/>
          <w:szCs w:val="24"/>
          <w:rtl w:val="0"/>
        </w:rPr>
        <w:t xml:space="preserve">NumPy</w:t>
      </w:r>
      <w:r w:rsidDel="00000000" w:rsidR="00000000" w:rsidRPr="00000000">
        <w:rPr>
          <w:rFonts w:ascii="Times New Roman" w:cs="Times New Roman" w:eastAsia="Times New Roman" w:hAnsi="Times New Roman"/>
          <w:b w:val="0"/>
          <w:bCs w:val="0"/>
          <w:i w:val="0"/>
          <w:iCs w:val="0"/>
          <w:color w:val="0f172a"/>
          <w:sz w:val="24"/>
          <w:szCs w:val="24"/>
          <w:rtl w:val="0"/>
        </w:rPr>
        <w:t xml:space="preserve">, </w:t>
      </w:r>
      <w:r w:rsidDel="00000000" w:rsidR="00000000" w:rsidRPr="00000000">
        <w:rPr>
          <w:rFonts w:ascii="Times New Roman" w:cs="Times New Roman" w:eastAsia="Times New Roman" w:hAnsi="Times New Roman"/>
          <w:b w:val="1"/>
          <w:bCs w:val="1"/>
          <w:i w:val="0"/>
          <w:iCs w:val="0"/>
          <w:color w:val="0f172a"/>
          <w:sz w:val="24"/>
          <w:szCs w:val="24"/>
          <w:rtl w:val="0"/>
        </w:rPr>
        <w:t xml:space="preserve">SciPy</w:t>
      </w:r>
      <w:r w:rsidDel="00000000" w:rsidR="00000000" w:rsidRPr="00000000">
        <w:rPr>
          <w:rFonts w:ascii="Times New Roman" w:cs="Times New Roman" w:eastAsia="Times New Roman" w:hAnsi="Times New Roman"/>
          <w:b w:val="0"/>
          <w:bCs w:val="0"/>
          <w:i w:val="0"/>
          <w:iCs w:val="0"/>
          <w:color w:val="0f172a"/>
          <w:sz w:val="24"/>
          <w:szCs w:val="24"/>
          <w:rtl w:val="0"/>
        </w:rPr>
        <w:t xml:space="preserve">, </w:t>
      </w:r>
      <w:r w:rsidDel="00000000" w:rsidR="00000000" w:rsidRPr="00000000">
        <w:rPr>
          <w:rFonts w:ascii="Times New Roman" w:cs="Times New Roman" w:eastAsia="Times New Roman" w:hAnsi="Times New Roman"/>
          <w:b w:val="1"/>
          <w:bCs w:val="1"/>
          <w:i w:val="0"/>
          <w:iCs w:val="0"/>
          <w:color w:val="0f172a"/>
          <w:sz w:val="24"/>
          <w:szCs w:val="24"/>
          <w:rtl w:val="0"/>
        </w:rPr>
        <w:t xml:space="preserve">SymPy</w:t>
      </w:r>
      <w:r w:rsidDel="00000000" w:rsidR="00000000" w:rsidRPr="00000000">
        <w:rPr>
          <w:rFonts w:ascii="Times New Roman" w:cs="Times New Roman" w:eastAsia="Times New Roman" w:hAnsi="Times New Roman"/>
          <w:b w:val="0"/>
          <w:bCs w:val="0"/>
          <w:i w:val="0"/>
          <w:iCs w:val="0"/>
          <w:color w:val="0f172a"/>
          <w:sz w:val="24"/>
          <w:szCs w:val="24"/>
          <w:rtl w:val="0"/>
        </w:rPr>
        <w:t xml:space="preserve"> (álgebra simbólica para verificación de ecuaciones de derivación energética) y </w:t>
      </w:r>
      <w:r w:rsidDel="00000000" w:rsidR="00000000" w:rsidRPr="00000000">
        <w:rPr>
          <w:rFonts w:ascii="Times New Roman" w:cs="Times New Roman" w:eastAsia="Times New Roman" w:hAnsi="Times New Roman"/>
          <w:b w:val="1"/>
          <w:bCs w:val="1"/>
          <w:i w:val="0"/>
          <w:iCs w:val="0"/>
          <w:color w:val="0f172a"/>
          <w:sz w:val="24"/>
          <w:szCs w:val="24"/>
          <w:rtl w:val="0"/>
        </w:rPr>
        <w:t xml:space="preserve">Poliastro / Astropy</w:t>
      </w:r>
      <w:r w:rsidDel="00000000" w:rsidR="00000000" w:rsidRPr="00000000">
        <w:rPr>
          <w:rFonts w:ascii="Times New Roman" w:cs="Times New Roman" w:eastAsia="Times New Roman" w:hAnsi="Times New Roman"/>
          <w:b w:val="0"/>
          <w:bCs w:val="0"/>
          <w:i w:val="0"/>
          <w:iCs w:val="0"/>
          <w:color w:val="0f172a"/>
          <w:sz w:val="24"/>
          <w:szCs w:val="24"/>
          <w:rtl w:val="0"/>
        </w:rPr>
        <w:t xml:space="preserve"> (para la propagación analítica de órbitas keplerianas en órbita baja LEO y cálculo de conos de sombra terrestre). Esta solución garantiza la total explicabilidad y auditabilidad del código fuente, permitiendo al ingeniero satelital inspeccionar matemáticamente cada paso del cómputo sin intermediación de cajas negras (RNF-01).</w:t>
      </w:r>
      <w:r w:rsidDel="00000000" w:rsidR="00000000" w:rsidRPr="00000000">
        <w:rPr>
          <w:rtl w:val="0"/>
        </w:rPr>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Alternativas evaluadas y descartadas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Ansys STK (Systems Tool Kit)</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evalúa por ser el estándar de la industria aeroespacial comercial para visualización y dinámica de misiones, pero se descarta categóricamente debido a su modelo de licenciamiento comercial cerrado con aranceles prohibitivos (superiores a USD 25.000 anuales por estación), su inviabilidad de integración embebida y la dependencia tecnológica que colisionaría con la soberanía técnica del proyecto y su transferencia a universidades públicas.</w:t>
      </w:r>
      <w:r w:rsidDel="00000000" w:rsidR="00000000" w:rsidRPr="00000000">
        <w:rPr>
          <w:rtl w:val="0"/>
        </w:rPr>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MATLAB / Simulink</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evalúa por su extendido uso académico, pero se descarta por requerir licencias privativas de ejecución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runtime licenses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costosas para los usuarios finales, impedir la distribución ligera en contenedores Docker y presentar dificultades críticas de orquestación con modelos modernos de inferencia de lenguaje.</w:t>
      </w:r>
      <w:r w:rsidDel="00000000" w:rsidR="00000000" w:rsidRPr="00000000">
        <w:rPr>
          <w:rtl w:val="0"/>
        </w:rPr>
      </w:r>
    </w:p>
    <w:p w:rsidR="00000000" w:rsidDel="00000000" w:rsidP="00000000" w:rsidRDefault="00000000" w:rsidRPr="00000000" w14:paraId="00000778">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4. Persistencia de Datos, Integridad Criptográfica y Trazabilidad</w:t>
      </w:r>
      <w:r w:rsidDel="00000000" w:rsidR="00000000" w:rsidRPr="00000000">
        <w:rPr>
          <w:rtl w:val="0"/>
        </w:rPr>
      </w:r>
    </w:p>
    <w:p w:rsidR="00000000" w:rsidDel="00000000" w:rsidP="00000000" w:rsidRDefault="00000000" w:rsidRPr="00000000" w14:paraId="00000779">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Se adopta un esquema híbrido de persistencia gobernado por </w:t>
      </w:r>
      <w:r w:rsidDel="00000000" w:rsidR="00000000" w:rsidRPr="00000000">
        <w:rPr>
          <w:rFonts w:ascii="Times New Roman" w:cs="Times New Roman" w:eastAsia="Times New Roman" w:hAnsi="Times New Roman"/>
          <w:b w:val="1"/>
          <w:bCs w:val="1"/>
          <w:i w:val="0"/>
          <w:iCs w:val="0"/>
          <w:color w:val="0f172a"/>
          <w:sz w:val="24"/>
          <w:szCs w:val="24"/>
          <w:rtl w:val="0"/>
        </w:rPr>
        <w:t xml:space="preserve">SQLAlchemy 2.0</w:t>
      </w:r>
      <w:r w:rsidDel="00000000" w:rsidR="00000000" w:rsidRPr="00000000">
        <w:rPr>
          <w:rFonts w:ascii="Times New Roman" w:cs="Times New Roman" w:eastAsia="Times New Roman" w:hAnsi="Times New Roman"/>
          <w:b w:val="0"/>
          <w:bCs w:val="0"/>
          <w:i w:val="0"/>
          <w:iCs w:val="0"/>
          <w:color w:val="0f172a"/>
          <w:sz w:val="24"/>
          <w:szCs w:val="24"/>
          <w:rtl w:val="0"/>
        </w:rPr>
        <w:t xml:space="preserve"> y migraciones automáticas con </w:t>
      </w:r>
      <w:r w:rsidDel="00000000" w:rsidR="00000000" w:rsidRPr="00000000">
        <w:rPr>
          <w:rFonts w:ascii="Times New Roman" w:cs="Times New Roman" w:eastAsia="Times New Roman" w:hAnsi="Times New Roman"/>
          <w:b w:val="1"/>
          <w:bCs w:val="1"/>
          <w:i w:val="0"/>
          <w:iCs w:val="0"/>
          <w:color w:val="0f172a"/>
          <w:sz w:val="24"/>
          <w:szCs w:val="24"/>
          <w:rtl w:val="0"/>
        </w:rPr>
        <w:t xml:space="preserve">Alembic</w:t>
      </w:r>
      <w:r w:rsidDel="00000000" w:rsidR="00000000" w:rsidRPr="00000000">
        <w:rPr>
          <w:rFonts w:ascii="Times New Roman" w:cs="Times New Roman" w:eastAsia="Times New Roman" w:hAnsi="Times New Roman"/>
          <w:b w:val="0"/>
          <w:bCs w:val="0"/>
          <w:i w:val="0"/>
          <w:iCs w:val="0"/>
          <w:color w:val="0f172a"/>
          <w:sz w:val="24"/>
          <w:szCs w:val="24"/>
          <w:rtl w:val="0"/>
        </w:rPr>
        <w:t xml:space="preserve">, operando sobre </w:t>
      </w:r>
      <w:r w:rsidDel="00000000" w:rsidR="00000000" w:rsidRPr="00000000">
        <w:rPr>
          <w:rFonts w:ascii="Times New Roman" w:cs="Times New Roman" w:eastAsia="Times New Roman" w:hAnsi="Times New Roman"/>
          <w:b w:val="1"/>
          <w:bCs w:val="1"/>
          <w:i w:val="0"/>
          <w:iCs w:val="0"/>
          <w:color w:val="0f172a"/>
          <w:sz w:val="24"/>
          <w:szCs w:val="24"/>
          <w:rtl w:val="0"/>
        </w:rPr>
        <w:t xml:space="preserve">SQLite 3 en modo WAL (Write-Ahead Logging)</w:t>
      </w:r>
      <w:r w:rsidDel="00000000" w:rsidR="00000000" w:rsidRPr="00000000">
        <w:rPr>
          <w:rFonts w:ascii="Times New Roman" w:cs="Times New Roman" w:eastAsia="Times New Roman" w:hAnsi="Times New Roman"/>
          <w:b w:val="0"/>
          <w:bCs w:val="0"/>
          <w:i w:val="0"/>
          <w:iCs w:val="0"/>
          <w:color w:val="0f172a"/>
          <w:sz w:val="24"/>
          <w:szCs w:val="24"/>
          <w:rtl w:val="0"/>
        </w:rPr>
        <w:t xml:space="preserve"> para el nodo de desarrollo y despliegues </w:t>
      </w:r>
      <w:r w:rsidDel="00000000" w:rsidR="00000000" w:rsidRPr="00000000">
        <w:rPr>
          <w:rFonts w:ascii="Times New Roman" w:cs="Times New Roman" w:eastAsia="Times New Roman" w:hAnsi="Times New Roman"/>
          <w:b w:val="0"/>
          <w:bCs w:val="0"/>
          <w:i w:val="1"/>
          <w:iCs w:val="1"/>
          <w:color w:val="0f172a"/>
          <w:sz w:val="24"/>
          <w:szCs w:val="24"/>
          <w:rtl w:val="0"/>
        </w:rPr>
        <w:t xml:space="preserve">on-premise</w:t>
      </w:r>
      <w:r w:rsidDel="00000000" w:rsidR="00000000" w:rsidRPr="00000000">
        <w:rPr>
          <w:rFonts w:ascii="Times New Roman" w:cs="Times New Roman" w:eastAsia="Times New Roman" w:hAnsi="Times New Roman"/>
          <w:b w:val="0"/>
          <w:bCs w:val="0"/>
          <w:i w:val="0"/>
          <w:iCs w:val="0"/>
          <w:color w:val="0f172a"/>
          <w:sz w:val="24"/>
          <w:szCs w:val="24"/>
          <w:rtl w:val="0"/>
        </w:rPr>
        <w:t xml:space="preserve"> autónomos de estación terrena, y con soporte transparente para </w:t>
      </w:r>
      <w:r w:rsidDel="00000000" w:rsidR="00000000" w:rsidRPr="00000000">
        <w:rPr>
          <w:rFonts w:ascii="Times New Roman" w:cs="Times New Roman" w:eastAsia="Times New Roman" w:hAnsi="Times New Roman"/>
          <w:b w:val="1"/>
          <w:bCs w:val="1"/>
          <w:i w:val="0"/>
          <w:iCs w:val="0"/>
          <w:color w:val="0f172a"/>
          <w:sz w:val="24"/>
          <w:szCs w:val="24"/>
          <w:rtl w:val="0"/>
        </w:rPr>
        <w:t xml:space="preserve">PostgreSQL 16</w:t>
      </w:r>
      <w:r w:rsidDel="00000000" w:rsidR="00000000" w:rsidRPr="00000000">
        <w:rPr>
          <w:rFonts w:ascii="Times New Roman" w:cs="Times New Roman" w:eastAsia="Times New Roman" w:hAnsi="Times New Roman"/>
          <w:b w:val="0"/>
          <w:bCs w:val="0"/>
          <w:i w:val="0"/>
          <w:iCs w:val="0"/>
          <w:color w:val="0f172a"/>
          <w:sz w:val="24"/>
          <w:szCs w:val="24"/>
          <w:rtl w:val="0"/>
        </w:rPr>
        <w:t xml:space="preserve"> en configuraciones corporativas centralizadas. Cada registro de decisión de ingeniería, versión de interfaz (ICD) y verificación de balance de potencia incorpora un sello criptográfico generado mediante funciones hash </w:t>
      </w:r>
      <w:r w:rsidDel="00000000" w:rsidR="00000000" w:rsidRPr="00000000">
        <w:rPr>
          <w:rFonts w:ascii="Times New Roman" w:cs="Times New Roman" w:eastAsia="Times New Roman" w:hAnsi="Times New Roman"/>
          <w:b w:val="1"/>
          <w:bCs w:val="1"/>
          <w:i w:val="0"/>
          <w:iCs w:val="0"/>
          <w:color w:val="0f172a"/>
          <w:sz w:val="24"/>
          <w:szCs w:val="24"/>
          <w:rtl w:val="0"/>
        </w:rPr>
        <w:t xml:space="preserve">SHA-256</w:t>
      </w:r>
      <w:r w:rsidDel="00000000" w:rsidR="00000000" w:rsidRPr="00000000">
        <w:rPr>
          <w:rFonts w:ascii="Times New Roman" w:cs="Times New Roman" w:eastAsia="Times New Roman" w:hAnsi="Times New Roman"/>
          <w:b w:val="0"/>
          <w:bCs w:val="0"/>
          <w:i w:val="0"/>
          <w:iCs w:val="0"/>
          <w:color w:val="0f172a"/>
          <w:sz w:val="24"/>
          <w:szCs w:val="24"/>
          <w:rtl w:val="0"/>
        </w:rPr>
        <w:t xml:space="preserve">, garantizando la inmutabilidad y la no repudiación de los registros de diseño.</w:t>
      </w:r>
      <w:r w:rsidDel="00000000" w:rsidR="00000000" w:rsidRPr="00000000">
        <w:rPr>
          <w:rtl w:val="0"/>
        </w:rPr>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Alternativas evaluadas y descartadas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Neo4j / Bases de Datos de Grafos Puras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evalúa por su afinidad natural con ontologías y redes de dependencias de subsistemas, pero se descarta para el MVP por su excesivo consumo de memoria RAM (requiere una instancia JVM dedicada de 4 a 8 GB mínimos), lo cual compromete el rendimiento de la estación anfitriona y dificulta la portabilidad a computadoras de campo.</w:t>
      </w:r>
      <w:r w:rsidDel="00000000" w:rsidR="00000000" w:rsidRPr="00000000">
        <w:rPr>
          <w:rtl w:val="0"/>
        </w:rPr>
      </w:r>
    </w:p>
    <w:p w:rsidR="00000000" w:rsidDel="00000000" w:rsidP="00000000" w:rsidRDefault="00000000" w:rsidRPr="00000000" w14:paraId="000007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MongoDB / NoSQL sin Esquema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evalúa por su flexibilidad para almacenar documentos JSON heterogéneos, pero se descarta por no ofrecer garantías transaccionales ACID estrictas a nivel de restricciones cruzadas ni mecanismos rígidos de integridad referencial, indispensables para asegurar que una modificación de potencia en una carga útil impacte forzosamente sobre el balance general del bus satelital.</w:t>
      </w:r>
      <w:r w:rsidDel="00000000" w:rsidR="00000000" w:rsidRPr="00000000">
        <w:rPr>
          <w:rtl w:val="0"/>
        </w:rPr>
      </w:r>
    </w:p>
    <w:p w:rsidR="00000000" w:rsidDel="00000000" w:rsidP="00000000" w:rsidRDefault="00000000" w:rsidRPr="00000000" w14:paraId="0000077D">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5. Capa Cognitiva e Inferencia de Modelos de Lenguaje (LLMs)</w:t>
      </w:r>
      <w:r w:rsidDel="00000000" w:rsidR="00000000" w:rsidRPr="00000000">
        <w:rPr>
          <w:rtl w:val="0"/>
        </w:rPr>
      </w:r>
    </w:p>
    <w:p w:rsidR="00000000" w:rsidDel="00000000" w:rsidP="00000000" w:rsidRDefault="00000000" w:rsidRPr="00000000" w14:paraId="0000077E">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Se implementa una </w:t>
      </w:r>
      <w:r w:rsidDel="00000000" w:rsidR="00000000" w:rsidRPr="00000000">
        <w:rPr>
          <w:rFonts w:ascii="Times New Roman" w:cs="Times New Roman" w:eastAsia="Times New Roman" w:hAnsi="Times New Roman"/>
          <w:b w:val="1"/>
          <w:bCs w:val="1"/>
          <w:i w:val="0"/>
          <w:iCs w:val="0"/>
          <w:color w:val="0f172a"/>
          <w:sz w:val="24"/>
          <w:szCs w:val="24"/>
          <w:rtl w:val="0"/>
        </w:rPr>
        <w:t xml:space="preserve">arquitectura cognitiva desacoplada en dos modalidades operativas</w:t>
      </w:r>
      <w:r w:rsidDel="00000000" w:rsidR="00000000" w:rsidRPr="00000000">
        <w:rPr>
          <w:rFonts w:ascii="Times New Roman" w:cs="Times New Roman" w:eastAsia="Times New Roman" w:hAnsi="Times New Roman"/>
          <w:b w:val="0"/>
          <w:bCs w:val="0"/>
          <w:i w:val="0"/>
          <w:iCs w:val="0"/>
          <w:color w:val="0f172a"/>
          <w:sz w:val="24"/>
          <w:szCs w:val="24"/>
          <w:rtl w:val="0"/>
        </w:rPr>
        <w:t xml:space="preserve"> (RNF-04):</w:t>
      </w:r>
      <w:r w:rsidDel="00000000" w:rsidR="00000000" w:rsidRPr="00000000">
        <w:rPr>
          <w:rtl w:val="0"/>
        </w:rPr>
      </w:r>
    </w:p>
    <w:p w:rsidR="00000000" w:rsidDel="00000000" w:rsidP="00000000" w:rsidRDefault="00000000" w:rsidRPr="00000000" w14:paraId="0000077F">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 </w:t>
      </w:r>
      <w:r w:rsidDel="00000000" w:rsidR="00000000" w:rsidRPr="00000000">
        <w:rPr>
          <w:rFonts w:ascii="Times New Roman" w:cs="Times New Roman" w:eastAsia="Times New Roman" w:hAnsi="Times New Roman"/>
          <w:b w:val="0"/>
          <w:bCs w:val="0"/>
          <w:i w:val="1"/>
          <w:iCs w:val="1"/>
          <w:color w:val="0f172a"/>
          <w:sz w:val="23"/>
          <w:szCs w:val="23"/>
          <w:rtl w:val="0"/>
        </w:rPr>
        <w:t xml:space="preserve">Modalidad Local Air-Gapped (Seguridad Estricta)</w:t>
      </w:r>
      <w:r w:rsidDel="00000000" w:rsidR="00000000" w:rsidRPr="00000000">
        <w:rPr>
          <w:rFonts w:ascii="Times New Roman" w:cs="Times New Roman" w:eastAsia="Times New Roman" w:hAnsi="Times New Roman"/>
          <w:b w:val="0"/>
          <w:bCs w:val="0"/>
          <w:i w:val="0"/>
          <w:iCs w:val="0"/>
          <w:color w:val="0f172a"/>
          <w:sz w:val="23"/>
          <w:szCs w:val="23"/>
          <w:rtl w:val="0"/>
        </w:rPr>
        <w:t xml:space="preserve">: Integración con servidores locales de inferencia </w:t>
      </w:r>
      <w:r w:rsidDel="00000000" w:rsidR="00000000" w:rsidRPr="00000000">
        <w:rPr>
          <w:rFonts w:ascii="Times New Roman" w:cs="Times New Roman" w:eastAsia="Times New Roman" w:hAnsi="Times New Roman"/>
          <w:b w:val="1"/>
          <w:bCs w:val="1"/>
          <w:i w:val="0"/>
          <w:iCs w:val="0"/>
          <w:color w:val="0f172a"/>
          <w:sz w:val="23"/>
          <w:szCs w:val="23"/>
          <w:rtl w:val="0"/>
        </w:rPr>
        <w:t xml:space="preserve">Ollama</w:t>
      </w:r>
      <w:r w:rsidDel="00000000" w:rsidR="00000000" w:rsidRPr="00000000">
        <w:rPr>
          <w:rFonts w:ascii="Times New Roman" w:cs="Times New Roman" w:eastAsia="Times New Roman" w:hAnsi="Times New Roman"/>
          <w:b w:val="0"/>
          <w:bCs w:val="0"/>
          <w:i w:val="0"/>
          <w:iCs w:val="0"/>
          <w:color w:val="0f172a"/>
          <w:sz w:val="23"/>
          <w:szCs w:val="23"/>
          <w:rtl w:val="0"/>
        </w:rPr>
        <w:t xml:space="preserve"> o </w:t>
      </w:r>
      <w:r w:rsidDel="00000000" w:rsidR="00000000" w:rsidRPr="00000000">
        <w:rPr>
          <w:rFonts w:ascii="Times New Roman" w:cs="Times New Roman" w:eastAsia="Times New Roman" w:hAnsi="Times New Roman"/>
          <w:b w:val="1"/>
          <w:bCs w:val="1"/>
          <w:i w:val="0"/>
          <w:iCs w:val="0"/>
          <w:color w:val="0f172a"/>
          <w:sz w:val="23"/>
          <w:szCs w:val="23"/>
          <w:rtl w:val="0"/>
        </w:rPr>
        <w:t xml:space="preserve">vLLM</w:t>
      </w:r>
      <w:r w:rsidDel="00000000" w:rsidR="00000000" w:rsidRPr="00000000">
        <w:rPr>
          <w:rFonts w:ascii="Times New Roman" w:cs="Times New Roman" w:eastAsia="Times New Roman" w:hAnsi="Times New Roman"/>
          <w:b w:val="0"/>
          <w:bCs w:val="0"/>
          <w:i w:val="0"/>
          <w:iCs w:val="0"/>
          <w:color w:val="0f172a"/>
          <w:sz w:val="23"/>
          <w:szCs w:val="23"/>
          <w:rtl w:val="0"/>
        </w:rPr>
        <w:t xml:space="preserve"> que ejecutan modelos abiertos cuantizados en formato GGUF de 7 a 8 mil millones de parámetros (tales como </w:t>
      </w:r>
      <w:r w:rsidDel="00000000" w:rsidR="00000000" w:rsidRPr="00000000">
        <w:rPr>
          <w:rFonts w:ascii="Times New Roman" w:cs="Times New Roman" w:eastAsia="Times New Roman" w:hAnsi="Times New Roman"/>
          <w:b w:val="0"/>
          <w:bCs w:val="0"/>
          <w:i w:val="1"/>
          <w:iCs w:val="1"/>
          <w:color w:val="0f172a"/>
          <w:sz w:val="23"/>
          <w:szCs w:val="23"/>
          <w:rtl w:val="0"/>
        </w:rPr>
        <w:t xml:space="preserve">Llama 3 8B Instruct</w:t>
      </w:r>
      <w:r w:rsidDel="00000000" w:rsidR="00000000" w:rsidRPr="00000000">
        <w:rPr>
          <w:rFonts w:ascii="Times New Roman" w:cs="Times New Roman" w:eastAsia="Times New Roman" w:hAnsi="Times New Roman"/>
          <w:b w:val="0"/>
          <w:bCs w:val="0"/>
          <w:i w:val="0"/>
          <w:iCs w:val="0"/>
          <w:color w:val="0f172a"/>
          <w:sz w:val="23"/>
          <w:szCs w:val="23"/>
          <w:rtl w:val="0"/>
        </w:rPr>
        <w:t xml:space="preserve"> o </w:t>
      </w:r>
      <w:r w:rsidDel="00000000" w:rsidR="00000000" w:rsidRPr="00000000">
        <w:rPr>
          <w:rFonts w:ascii="Times New Roman" w:cs="Times New Roman" w:eastAsia="Times New Roman" w:hAnsi="Times New Roman"/>
          <w:b w:val="0"/>
          <w:bCs w:val="0"/>
          <w:i w:val="1"/>
          <w:iCs w:val="1"/>
          <w:color w:val="0f172a"/>
          <w:sz w:val="23"/>
          <w:szCs w:val="23"/>
          <w:rtl w:val="0"/>
        </w:rPr>
        <w:t xml:space="preserve">Qwen 2.5 Coder 7B</w:t>
      </w:r>
      <w:r w:rsidDel="00000000" w:rsidR="00000000" w:rsidRPr="00000000">
        <w:rPr>
          <w:rFonts w:ascii="Times New Roman" w:cs="Times New Roman" w:eastAsia="Times New Roman" w:hAnsi="Times New Roman"/>
          <w:b w:val="0"/>
          <w:bCs w:val="0"/>
          <w:i w:val="0"/>
          <w:iCs w:val="0"/>
          <w:color w:val="0f172a"/>
          <w:sz w:val="23"/>
          <w:szCs w:val="23"/>
          <w:rtl w:val="0"/>
        </w:rPr>
        <w:t xml:space="preserve">), permitiendo operar en laboratorios espaciales de defensa o estaciones sin conectividad a Internet.</w:t>
      </w:r>
      <w:r w:rsidDel="00000000" w:rsidR="00000000" w:rsidRPr="00000000">
        <w:rPr>
          <w:rtl w:val="0"/>
        </w:rPr>
      </w:r>
    </w:p>
    <w:p w:rsidR="00000000" w:rsidDel="00000000" w:rsidP="00000000" w:rsidRDefault="00000000" w:rsidRPr="00000000" w14:paraId="00000780">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2. </w:t>
      </w:r>
      <w:r w:rsidDel="00000000" w:rsidR="00000000" w:rsidRPr="00000000">
        <w:rPr>
          <w:rFonts w:ascii="Times New Roman" w:cs="Times New Roman" w:eastAsia="Times New Roman" w:hAnsi="Times New Roman"/>
          <w:b w:val="0"/>
          <w:bCs w:val="0"/>
          <w:i w:val="1"/>
          <w:iCs w:val="1"/>
          <w:color w:val="0f172a"/>
          <w:sz w:val="23"/>
          <w:szCs w:val="23"/>
          <w:rtl w:val="0"/>
        </w:rPr>
        <w:t xml:space="preserve">Modalidad BYOK (Bring Your Own Key) para Máxima Potencia</w:t>
      </w:r>
      <w:r w:rsidDel="00000000" w:rsidR="00000000" w:rsidRPr="00000000">
        <w:rPr>
          <w:rFonts w:ascii="Times New Roman" w:cs="Times New Roman" w:eastAsia="Times New Roman" w:hAnsi="Times New Roman"/>
          <w:b w:val="0"/>
          <w:bCs w:val="0"/>
          <w:i w:val="0"/>
          <w:iCs w:val="0"/>
          <w:color w:val="0f172a"/>
          <w:sz w:val="23"/>
          <w:szCs w:val="23"/>
          <w:rtl w:val="0"/>
        </w:rPr>
        <w:t xml:space="preserve">: Conector unificado compatible con la especificación de API de OpenAI que admite la conexión directa con modelos comerciales de vanguardia (</w:t>
      </w:r>
      <w:r w:rsidDel="00000000" w:rsidR="00000000" w:rsidRPr="00000000">
        <w:rPr>
          <w:rFonts w:ascii="Times New Roman" w:cs="Times New Roman" w:eastAsia="Times New Roman" w:hAnsi="Times New Roman"/>
          <w:b w:val="0"/>
          <w:bCs w:val="0"/>
          <w:i w:val="1"/>
          <w:iCs w:val="1"/>
          <w:color w:val="0f172a"/>
          <w:sz w:val="23"/>
          <w:szCs w:val="23"/>
          <w:rtl w:val="0"/>
        </w:rPr>
        <w:t xml:space="preserve">Google Gemini 1.5/2.0 Pro</w:t>
      </w:r>
      <w:r w:rsidDel="00000000" w:rsidR="00000000" w:rsidRPr="00000000">
        <w:rPr>
          <w:rFonts w:ascii="Times New Roman" w:cs="Times New Roman" w:eastAsia="Times New Roman" w:hAnsi="Times New Roman"/>
          <w:b w:val="0"/>
          <w:bCs w:val="0"/>
          <w:i w:val="0"/>
          <w:iCs w:val="0"/>
          <w:color w:val="0f172a"/>
          <w:sz w:val="23"/>
          <w:szCs w:val="23"/>
          <w:rtl w:val="0"/>
        </w:rPr>
        <w:t xml:space="preserve">, </w:t>
      </w:r>
      <w:r w:rsidDel="00000000" w:rsidR="00000000" w:rsidRPr="00000000">
        <w:rPr>
          <w:rFonts w:ascii="Times New Roman" w:cs="Times New Roman" w:eastAsia="Times New Roman" w:hAnsi="Times New Roman"/>
          <w:b w:val="0"/>
          <w:bCs w:val="0"/>
          <w:i w:val="1"/>
          <w:iCs w:val="1"/>
          <w:color w:val="0f172a"/>
          <w:sz w:val="23"/>
          <w:szCs w:val="23"/>
          <w:rtl w:val="0"/>
        </w:rPr>
        <w:t xml:space="preserve">Anthropic Claude 3.5 Sonnet</w:t>
      </w:r>
      <w:r w:rsidDel="00000000" w:rsidR="00000000" w:rsidRPr="00000000">
        <w:rPr>
          <w:rFonts w:ascii="Times New Roman" w:cs="Times New Roman" w:eastAsia="Times New Roman" w:hAnsi="Times New Roman"/>
          <w:b w:val="0"/>
          <w:bCs w:val="0"/>
          <w:i w:val="0"/>
          <w:iCs w:val="0"/>
          <w:color w:val="0f172a"/>
          <w:sz w:val="23"/>
          <w:szCs w:val="23"/>
          <w:rtl w:val="0"/>
        </w:rPr>
        <w:t xml:space="preserve">, </w:t>
      </w:r>
      <w:r w:rsidDel="00000000" w:rsidR="00000000" w:rsidRPr="00000000">
        <w:rPr>
          <w:rFonts w:ascii="Times New Roman" w:cs="Times New Roman" w:eastAsia="Times New Roman" w:hAnsi="Times New Roman"/>
          <w:b w:val="0"/>
          <w:bCs w:val="0"/>
          <w:i w:val="1"/>
          <w:iCs w:val="1"/>
          <w:color w:val="0f172a"/>
          <w:sz w:val="23"/>
          <w:szCs w:val="23"/>
          <w:rtl w:val="0"/>
        </w:rPr>
        <w:t xml:space="preserve">OpenAI GPT-4o</w:t>
      </w:r>
      <w:r w:rsidDel="00000000" w:rsidR="00000000" w:rsidRPr="00000000">
        <w:rPr>
          <w:rFonts w:ascii="Times New Roman" w:cs="Times New Roman" w:eastAsia="Times New Roman" w:hAnsi="Times New Roman"/>
          <w:b w:val="0"/>
          <w:bCs w:val="0"/>
          <w:i w:val="0"/>
          <w:iCs w:val="0"/>
          <w:color w:val="0f172a"/>
          <w:sz w:val="23"/>
          <w:szCs w:val="23"/>
          <w:rtl w:val="0"/>
        </w:rPr>
        <w:t xml:space="preserve">) mediante credenciales privadas aportadas por la institución cliente.</w:t>
      </w:r>
      <w:r w:rsidDel="00000000" w:rsidR="00000000" w:rsidRPr="00000000">
        <w:rPr>
          <w:rtl w:val="0"/>
        </w:rPr>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Alternativas evaluadas y descartadas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Inferencia Centralizada con Absorción de Tokens por CODI</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descarta por el riesgo financiero variable ilimitado que supondría para la startup y, fundamentalmente, porque viola las políticas de secreto industrial de los clientes aeroespaciales al obligarlos a enviar datos de telemetría a servidores intermedios de terceros.</w:t>
      </w:r>
      <w:r w:rsidDel="00000000" w:rsidR="00000000" w:rsidRPr="00000000">
        <w:rPr>
          <w:rtl w:val="0"/>
        </w:rPr>
      </w:r>
    </w:p>
    <w:p w:rsidR="00000000" w:rsidDel="00000000" w:rsidP="00000000" w:rsidRDefault="00000000" w:rsidRPr="00000000" w14:paraId="000007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Modelos Locales Compactos (&lt; 3B Parámetros)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evalúan para reducir la demanda de hardware, pero se descartan por su incapacidad empírica de mantener la coherencia lógica en la interpretación de estándares normativos extensos (como ECSS-E-ST-20C) y por su alta tasa de error en la generación de salidas JSON con esquema estructurado.</w:t>
      </w:r>
      <w:r w:rsidDel="00000000" w:rsidR="00000000" w:rsidRPr="00000000">
        <w:rPr>
          <w:rtl w:val="0"/>
        </w:rPr>
      </w:r>
    </w:p>
    <w:p w:rsidR="00000000" w:rsidDel="00000000" w:rsidP="00000000" w:rsidRDefault="00000000" w:rsidRPr="00000000" w14:paraId="00000784">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6. Interfaz de Usuario, Componentes de Diseño, Visualización y Herramientas de Operación</w:t>
      </w:r>
      <w:r w:rsidDel="00000000" w:rsidR="00000000" w:rsidRPr="00000000">
        <w:rPr>
          <w:rtl w:val="0"/>
        </w:rPr>
      </w:r>
    </w:p>
    <w:p w:rsidR="00000000" w:rsidDel="00000000" w:rsidP="00000000" w:rsidRDefault="00000000" w:rsidRPr="00000000" w14:paraId="00000785">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Se adopta una </w:t>
      </w:r>
      <w:r w:rsidDel="00000000" w:rsidR="00000000" w:rsidRPr="00000000">
        <w:rPr>
          <w:rFonts w:ascii="Times New Roman" w:cs="Times New Roman" w:eastAsia="Times New Roman" w:hAnsi="Times New Roman"/>
          <w:b w:val="1"/>
          <w:bCs w:val="1"/>
          <w:i w:val="0"/>
          <w:iCs w:val="0"/>
          <w:color w:val="0f172a"/>
          <w:sz w:val="24"/>
          <w:szCs w:val="24"/>
          <w:rtl w:val="0"/>
        </w:rPr>
        <w:t xml:space="preserve">interfaz web reactiva moderna basada en React 18, Vite y TypeScript</w:t>
      </w:r>
      <w:r w:rsidDel="00000000" w:rsidR="00000000" w:rsidRPr="00000000">
        <w:rPr>
          <w:rFonts w:ascii="Times New Roman" w:cs="Times New Roman" w:eastAsia="Times New Roman" w:hAnsi="Times New Roman"/>
          <w:b w:val="0"/>
          <w:bCs w:val="0"/>
          <w:i w:val="0"/>
          <w:iCs w:val="0"/>
          <w:color w:val="0f172a"/>
          <w:sz w:val="24"/>
          <w:szCs w:val="24"/>
          <w:rtl w:val="0"/>
        </w:rPr>
        <w:t xml:space="preserve">, articulada con la biblioteca de componentes modulares de código abierto </w:t>
      </w:r>
      <w:r w:rsidDel="00000000" w:rsidR="00000000" w:rsidRPr="00000000">
        <w:rPr>
          <w:rFonts w:ascii="Times New Roman" w:cs="Times New Roman" w:eastAsia="Times New Roman" w:hAnsi="Times New Roman"/>
          <w:b w:val="1"/>
          <w:bCs w:val="1"/>
          <w:i w:val="0"/>
          <w:iCs w:val="0"/>
          <w:color w:val="0f172a"/>
          <w:sz w:val="24"/>
          <w:szCs w:val="24"/>
          <w:rtl w:val="0"/>
        </w:rPr>
        <w:t xml:space="preserve">shadcn/ui</w:t>
      </w:r>
      <w:r w:rsidDel="00000000" w:rsidR="00000000" w:rsidRPr="00000000">
        <w:rPr>
          <w:rFonts w:ascii="Times New Roman" w:cs="Times New Roman" w:eastAsia="Times New Roman" w:hAnsi="Times New Roman"/>
          <w:b w:val="0"/>
          <w:bCs w:val="0"/>
          <w:i w:val="0"/>
          <w:iCs w:val="0"/>
          <w:color w:val="0f172a"/>
          <w:sz w:val="24"/>
          <w:szCs w:val="24"/>
          <w:rtl w:val="0"/>
        </w:rPr>
        <w:t xml:space="preserve"> (sustentada en las primitivas accesibles headless de Radix UI y estilizadas mediante </w:t>
      </w:r>
      <w:r w:rsidDel="00000000" w:rsidR="00000000" w:rsidRPr="00000000">
        <w:rPr>
          <w:rFonts w:ascii="Times New Roman" w:cs="Times New Roman" w:eastAsia="Times New Roman" w:hAnsi="Times New Roman"/>
          <w:b w:val="1"/>
          <w:bCs w:val="1"/>
          <w:i w:val="0"/>
          <w:iCs w:val="0"/>
          <w:color w:val="0f172a"/>
          <w:sz w:val="24"/>
          <w:szCs w:val="24"/>
          <w:rtl w:val="0"/>
        </w:rPr>
        <w:t xml:space="preserve">Tailwind CSS</w:t>
      </w:r>
      <w:r w:rsidDel="00000000" w:rsidR="00000000" w:rsidRPr="00000000">
        <w:rPr>
          <w:rFonts w:ascii="Times New Roman" w:cs="Times New Roman" w:eastAsia="Times New Roman" w:hAnsi="Times New Roman"/>
          <w:b w:val="0"/>
          <w:bCs w:val="0"/>
          <w:i w:val="0"/>
          <w:iCs w:val="0"/>
          <w:color w:val="0f172a"/>
          <w:sz w:val="24"/>
          <w:szCs w:val="24"/>
          <w:rtl w:val="0"/>
        </w:rPr>
        <w:t xml:space="preserve">) y motores de visualización de series temporales de telemetría (</w:t>
      </w:r>
      <w:r w:rsidDel="00000000" w:rsidR="00000000" w:rsidRPr="00000000">
        <w:rPr>
          <w:rFonts w:ascii="Times New Roman" w:cs="Times New Roman" w:eastAsia="Times New Roman" w:hAnsi="Times New Roman"/>
          <w:b w:val="1"/>
          <w:bCs w:val="1"/>
          <w:i w:val="0"/>
          <w:iCs w:val="0"/>
          <w:color w:val="0f172a"/>
          <w:sz w:val="24"/>
          <w:szCs w:val="24"/>
          <w:rtl w:val="0"/>
        </w:rPr>
        <w:t xml:space="preserve">Plotly.js / Chart.js</w:t>
      </w:r>
      <w:r w:rsidDel="00000000" w:rsidR="00000000" w:rsidRPr="00000000">
        <w:rPr>
          <w:rFonts w:ascii="Times New Roman" w:cs="Times New Roman" w:eastAsia="Times New Roman" w:hAnsi="Times New Roman"/>
          <w:b w:val="0"/>
          <w:bCs w:val="0"/>
          <w:i w:val="0"/>
          <w:iCs w:val="0"/>
          <w:color w:val="0f172a"/>
          <w:sz w:val="24"/>
          <w:szCs w:val="24"/>
          <w:rtl w:val="0"/>
        </w:rPr>
        <w:t xml:space="preserve">). La elección de shadcn/ui responde a su modelo arquitectónico de distribución de código: en lugar de acoplar una dependencia externa opaca instalada en </w:t>
      </w:r>
      <w:r w:rsidDel="00000000" w:rsidR="00000000" w:rsidRPr="00000000">
        <w:rPr>
          <w:rFonts w:ascii="Consolas" w:cs="Consolas" w:eastAsia="Consolas" w:hAnsi="Consolas"/>
          <w:b w:val="0"/>
          <w:bCs w:val="0"/>
          <w:i w:val="0"/>
          <w:iCs w:val="0"/>
          <w:color w:val="334155"/>
          <w:sz w:val="21"/>
          <w:szCs w:val="21"/>
          <w:rtl w:val="0"/>
        </w:rPr>
        <w:t xml:space="preserve">node_modules</w:t>
      </w:r>
      <w:r w:rsidDel="00000000" w:rsidR="00000000" w:rsidRPr="00000000">
        <w:rPr>
          <w:rFonts w:ascii="Times New Roman" w:cs="Times New Roman" w:eastAsia="Times New Roman" w:hAnsi="Times New Roman"/>
          <w:b w:val="0"/>
          <w:bCs w:val="0"/>
          <w:i w:val="0"/>
          <w:iCs w:val="0"/>
          <w:color w:val="0f172a"/>
          <w:sz w:val="24"/>
          <w:szCs w:val="24"/>
          <w:rtl w:val="0"/>
        </w:rPr>
        <w:t xml:space="preserve">, los componentes se copian directamente en el repositorio del proyecto con tipado TypeScript estricto, otorgando control absoluto sobre la personalización visual de dashboards de ingeniería de alta densidad informativa, compatibilidad nativa con modo oscuro y cumplimiento de accesibilidad WCAG / WAI-ARIA sin penalizar el tiempo de carga. Adicionalmente, el arnés incluye una </w:t>
      </w:r>
      <w:r w:rsidDel="00000000" w:rsidR="00000000" w:rsidRPr="00000000">
        <w:rPr>
          <w:rFonts w:ascii="Times New Roman" w:cs="Times New Roman" w:eastAsia="Times New Roman" w:hAnsi="Times New Roman"/>
          <w:b w:val="1"/>
          <w:bCs w:val="1"/>
          <w:i w:val="0"/>
          <w:iCs w:val="0"/>
          <w:color w:val="0f172a"/>
          <w:sz w:val="24"/>
          <w:szCs w:val="24"/>
          <w:rtl w:val="0"/>
        </w:rPr>
        <w:t xml:space="preserve">Interfaz de Línea de Comandos (CLI)</w:t>
      </w:r>
      <w:r w:rsidDel="00000000" w:rsidR="00000000" w:rsidRPr="00000000">
        <w:rPr>
          <w:rFonts w:ascii="Times New Roman" w:cs="Times New Roman" w:eastAsia="Times New Roman" w:hAnsi="Times New Roman"/>
          <w:b w:val="0"/>
          <w:bCs w:val="0"/>
          <w:i w:val="0"/>
          <w:iCs w:val="0"/>
          <w:color w:val="0f172a"/>
          <w:sz w:val="24"/>
          <w:szCs w:val="24"/>
          <w:rtl w:val="0"/>
        </w:rPr>
        <w:t xml:space="preserve"> interactiva construida con la librería Python </w:t>
      </w:r>
      <w:r w:rsidDel="00000000" w:rsidR="00000000" w:rsidRPr="00000000">
        <w:rPr>
          <w:rFonts w:ascii="Times New Roman" w:cs="Times New Roman" w:eastAsia="Times New Roman" w:hAnsi="Times New Roman"/>
          <w:b w:val="1"/>
          <w:bCs w:val="1"/>
          <w:i w:val="0"/>
          <w:iCs w:val="0"/>
          <w:color w:val="0f172a"/>
          <w:sz w:val="24"/>
          <w:szCs w:val="24"/>
          <w:rtl w:val="0"/>
        </w:rPr>
        <w:t xml:space="preserve">Typer / Rich</w:t>
      </w:r>
      <w:r w:rsidDel="00000000" w:rsidR="00000000" w:rsidRPr="00000000">
        <w:rPr>
          <w:rFonts w:ascii="Times New Roman" w:cs="Times New Roman" w:eastAsia="Times New Roman" w:hAnsi="Times New Roman"/>
          <w:b w:val="0"/>
          <w:bCs w:val="0"/>
          <w:i w:val="0"/>
          <w:iCs w:val="0"/>
          <w:color w:val="0f172a"/>
          <w:sz w:val="24"/>
          <w:szCs w:val="24"/>
          <w:rtl w:val="0"/>
        </w:rPr>
        <w:t xml:space="preserve">, orientada a ingenieros de operaciones que requieren ejecutar verificaciones por lotes dentro de sus pipelines de integración continua.</w:t>
      </w:r>
      <w:r w:rsidDel="00000000" w:rsidR="00000000" w:rsidRPr="00000000">
        <w:rPr>
          <w:rtl w:val="0"/>
        </w:rPr>
      </w:r>
    </w:p>
    <w:p w:rsidR="00000000" w:rsidDel="00000000" w:rsidP="00000000" w:rsidRDefault="00000000" w:rsidRPr="00000000" w14:paraId="000007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Alternativas evaluadas y descartadas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Librerías de Componentes Monolíticas (Material UI / Ant Design)</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evalúan por su catálogo prediseñado cerrado, pero se descartan por su elevado peso en el bundle final (sobrecosto superior a 300 KB gzipped), su sobrecarga de procesamiento en tiempo de ejecución derivada de capas CSS-in-JS (Emotion / styled-components) y la rigidez de sus temas visuales para adaptarse a matrices de telemetría espacial compactas.</w:t>
      </w:r>
      <w:r w:rsidDel="00000000" w:rsidR="00000000" w:rsidRPr="00000000">
        <w:rPr>
          <w:rtl w:val="0"/>
        </w:rPr>
      </w:r>
    </w:p>
    <w:p w:rsidR="00000000" w:rsidDel="00000000" w:rsidP="00000000" w:rsidRDefault="00000000" w:rsidRPr="00000000" w14:paraId="000007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Electron (Aplicación de Escritorio Compilada)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evalúa por su capacidad de empaquetar una aplicación de escritorio multiplataforma, pero se descarta debido a la penalización en el consumo de memoria RAM (más de 300-500 MB adicionales por empaquetar Chromium y Node.js en segundo plano), priorizando un frontend web desacoplado y servido de forma ligera.</w:t>
      </w:r>
      <w:r w:rsidDel="00000000" w:rsidR="00000000" w:rsidRPr="00000000">
        <w:rPr>
          <w:rtl w:val="0"/>
        </w:rPr>
      </w:r>
    </w:p>
    <w:p w:rsidR="00000000" w:rsidDel="00000000" w:rsidP="00000000" w:rsidRDefault="00000000" w:rsidRPr="00000000" w14:paraId="000007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Streamlit / Gradio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evalúan por su rapidez para prototipar interfaces de ciencia de datos, pero se descartan por su incapacidad para estructurar dashboards de ingeniería complejos de alta densidad, la falta de control fino sobre el estado reactivo del cliente y su inviabilidad para cumplir con los estándares de diseño de un producto de software comercial B2B Enterprise.</w:t>
      </w:r>
      <w:r w:rsidDel="00000000" w:rsidR="00000000" w:rsidRPr="00000000">
        <w:rPr>
          <w:rtl w:val="0"/>
        </w:rPr>
      </w:r>
    </w:p>
    <w:p w:rsidR="00000000" w:rsidDel="00000000" w:rsidP="00000000" w:rsidRDefault="00000000" w:rsidRPr="00000000" w14:paraId="0000078A">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7. Virtualización, Empaquetamiento y Distribución</w:t>
      </w:r>
      <w:r w:rsidDel="00000000" w:rsidR="00000000" w:rsidRPr="00000000">
        <w:rPr>
          <w:rtl w:val="0"/>
        </w:rPr>
      </w:r>
    </w:p>
    <w:p w:rsidR="00000000" w:rsidDel="00000000" w:rsidP="00000000" w:rsidRDefault="00000000" w:rsidRPr="00000000" w14:paraId="0000078B">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La totalidad de los servicios del sistema se empaqueta en contenedores estandarizados mediante </w:t>
      </w:r>
      <w:r w:rsidDel="00000000" w:rsidR="00000000" w:rsidRPr="00000000">
        <w:rPr>
          <w:rFonts w:ascii="Times New Roman" w:cs="Times New Roman" w:eastAsia="Times New Roman" w:hAnsi="Times New Roman"/>
          <w:b w:val="1"/>
          <w:bCs w:val="1"/>
          <w:i w:val="0"/>
          <w:iCs w:val="0"/>
          <w:color w:val="0f172a"/>
          <w:sz w:val="24"/>
          <w:szCs w:val="24"/>
          <w:rtl w:val="0"/>
        </w:rPr>
        <w:t xml:space="preserve">Docker</w:t>
      </w:r>
      <w:r w:rsidDel="00000000" w:rsidR="00000000" w:rsidRPr="00000000">
        <w:rPr>
          <w:rFonts w:ascii="Times New Roman" w:cs="Times New Roman" w:eastAsia="Times New Roman" w:hAnsi="Times New Roman"/>
          <w:b w:val="0"/>
          <w:bCs w:val="0"/>
          <w:i w:val="0"/>
          <w:iCs w:val="0"/>
          <w:color w:val="0f172a"/>
          <w:sz w:val="24"/>
          <w:szCs w:val="24"/>
          <w:rtl w:val="0"/>
        </w:rPr>
        <w:t xml:space="preserve"> y se orquesta a través de </w:t>
      </w:r>
      <w:r w:rsidDel="00000000" w:rsidR="00000000" w:rsidRPr="00000000">
        <w:rPr>
          <w:rFonts w:ascii="Times New Roman" w:cs="Times New Roman" w:eastAsia="Times New Roman" w:hAnsi="Times New Roman"/>
          <w:b w:val="1"/>
          <w:bCs w:val="1"/>
          <w:i w:val="0"/>
          <w:iCs w:val="0"/>
          <w:color w:val="0f172a"/>
          <w:sz w:val="24"/>
          <w:szCs w:val="24"/>
          <w:rtl w:val="0"/>
        </w:rPr>
        <w:t xml:space="preserve">Docker Compose</w:t>
      </w:r>
      <w:r w:rsidDel="00000000" w:rsidR="00000000" w:rsidRPr="00000000">
        <w:rPr>
          <w:rFonts w:ascii="Times New Roman" w:cs="Times New Roman" w:eastAsia="Times New Roman" w:hAnsi="Times New Roman"/>
          <w:b w:val="0"/>
          <w:bCs w:val="0"/>
          <w:i w:val="0"/>
          <w:iCs w:val="0"/>
          <w:color w:val="0f172a"/>
          <w:sz w:val="24"/>
          <w:szCs w:val="24"/>
          <w:rtl w:val="0"/>
        </w:rPr>
        <w:t xml:space="preserve">, utilizando imágenes multi-etapa (</w:t>
      </w:r>
      <w:r w:rsidDel="00000000" w:rsidR="00000000" w:rsidRPr="00000000">
        <w:rPr>
          <w:rFonts w:ascii="Times New Roman" w:cs="Times New Roman" w:eastAsia="Times New Roman" w:hAnsi="Times New Roman"/>
          <w:b w:val="0"/>
          <w:bCs w:val="0"/>
          <w:i w:val="1"/>
          <w:iCs w:val="1"/>
          <w:color w:val="0f172a"/>
          <w:sz w:val="24"/>
          <w:szCs w:val="24"/>
          <w:rtl w:val="0"/>
        </w:rPr>
        <w:t xml:space="preserve">multi-stage builds</w:t>
      </w:r>
      <w:r w:rsidDel="00000000" w:rsidR="00000000" w:rsidRPr="00000000">
        <w:rPr>
          <w:rFonts w:ascii="Times New Roman" w:cs="Times New Roman" w:eastAsia="Times New Roman" w:hAnsi="Times New Roman"/>
          <w:b w:val="0"/>
          <w:bCs w:val="0"/>
          <w:i w:val="0"/>
          <w:iCs w:val="0"/>
          <w:color w:val="0f172a"/>
          <w:sz w:val="24"/>
          <w:szCs w:val="24"/>
          <w:rtl w:val="0"/>
        </w:rPr>
        <w:t xml:space="preserve">) sustentadas en distribuciones mínimas seguras (</w:t>
      </w:r>
      <w:r w:rsidDel="00000000" w:rsidR="00000000" w:rsidRPr="00000000">
        <w:rPr>
          <w:rFonts w:ascii="Times New Roman" w:cs="Times New Roman" w:eastAsia="Times New Roman" w:hAnsi="Times New Roman"/>
          <w:b w:val="0"/>
          <w:bCs w:val="0"/>
          <w:i w:val="1"/>
          <w:iCs w:val="1"/>
          <w:color w:val="0f172a"/>
          <w:sz w:val="24"/>
          <w:szCs w:val="24"/>
          <w:rtl w:val="0"/>
        </w:rPr>
        <w:t xml:space="preserve">Debian Slim</w:t>
      </w:r>
      <w:r w:rsidDel="00000000" w:rsidR="00000000" w:rsidRPr="00000000">
        <w:rPr>
          <w:rFonts w:ascii="Times New Roman" w:cs="Times New Roman" w:eastAsia="Times New Roman" w:hAnsi="Times New Roman"/>
          <w:b w:val="0"/>
          <w:bCs w:val="0"/>
          <w:i w:val="0"/>
          <w:iCs w:val="0"/>
          <w:color w:val="0f172a"/>
          <w:sz w:val="24"/>
          <w:szCs w:val="24"/>
          <w:rtl w:val="0"/>
        </w:rPr>
        <w:t xml:space="preserve"> y </w:t>
      </w:r>
      <w:r w:rsidDel="00000000" w:rsidR="00000000" w:rsidRPr="00000000">
        <w:rPr>
          <w:rFonts w:ascii="Times New Roman" w:cs="Times New Roman" w:eastAsia="Times New Roman" w:hAnsi="Times New Roman"/>
          <w:b w:val="0"/>
          <w:bCs w:val="0"/>
          <w:i w:val="1"/>
          <w:iCs w:val="1"/>
          <w:color w:val="0f172a"/>
          <w:sz w:val="24"/>
          <w:szCs w:val="24"/>
          <w:rtl w:val="0"/>
        </w:rPr>
        <w:t xml:space="preserve">Alpine Linux</w:t>
      </w:r>
      <w:r w:rsidDel="00000000" w:rsidR="00000000" w:rsidRPr="00000000">
        <w:rPr>
          <w:rFonts w:ascii="Times New Roman" w:cs="Times New Roman" w:eastAsia="Times New Roman" w:hAnsi="Times New Roman"/>
          <w:b w:val="0"/>
          <w:bCs w:val="0"/>
          <w:i w:val="0"/>
          <w:iCs w:val="0"/>
          <w:color w:val="0f172a"/>
          <w:sz w:val="24"/>
          <w:szCs w:val="24"/>
          <w:rtl w:val="0"/>
        </w:rPr>
        <w:t xml:space="preserve">). Este esquema garantiza la total reproducibilidad operativa entre el entorno de desarrollo y las infraestructuras de los clientes institucionales (CTA-UNLP y empresas privadas), aislando las librerías binarias de compilación numérica de las dependencias del sistema operativo anfitrión.</w:t>
      </w:r>
      <w:r w:rsidDel="00000000" w:rsidR="00000000" w:rsidRPr="00000000">
        <w:rPr>
          <w:rtl w:val="0"/>
        </w:rPr>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Alternativas evaluadas y descartadas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Instaladores Binarios Nativos del Sistema Operativo (.exe / .deb)</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descartan por su extrema fragilidad ante diferencias de versiones de librerías del sistema, conflictos en variables de entorno y problemas de compatibilidad con aceleradores de hardware en plataformas heterogéneas.</w:t>
      </w:r>
      <w:r w:rsidDel="00000000" w:rsidR="00000000" w:rsidRPr="00000000">
        <w:rPr>
          <w:rtl w:val="0"/>
        </w:rPr>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Orquestación mediante Kubernetes (K8s)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evalúa por su alta disponibilidad en la nube, pero se descarta para la fase del MVP por introducir una complejidad operativa desmedida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overengineering</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innecesaria para despliegues de un único nodo de ingeniería o estación de trabajo local.</w:t>
      </w:r>
      <w:r w:rsidDel="00000000" w:rsidR="00000000" w:rsidRPr="00000000">
        <w:rPr>
          <w:rtl w:val="0"/>
        </w:rPr>
      </w:r>
    </w:p>
    <w:p w:rsidR="00000000" w:rsidDel="00000000" w:rsidP="00000000" w:rsidRDefault="00000000" w:rsidRPr="00000000" w14:paraId="0000078F">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Tabla X.9</w:t>
      </w:r>
      <w:r w:rsidDel="00000000" w:rsidR="00000000" w:rsidRPr="00000000">
        <w:rPr>
          <w:rtl w:val="0"/>
        </w:rPr>
      </w:r>
    </w:p>
    <w:p w:rsidR="00000000" w:rsidDel="00000000" w:rsidP="00000000" w:rsidRDefault="00000000" w:rsidRPr="00000000" w14:paraId="00000790">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Matriz de Tecnologías y Plataformas de Software Seleccionadas para el Sistema CODI</w:t>
      </w:r>
      <w:r w:rsidDel="00000000" w:rsidR="00000000" w:rsidRPr="00000000">
        <w:rPr>
          <w:rtl w:val="0"/>
        </w:rPr>
      </w:r>
    </w:p>
    <w:tbl>
      <w:tblPr>
        <w:tblStyle w:val="Table66"/>
        <w:tblW w:w="8502.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1417"/>
        <w:gridCol w:w="1417"/>
        <w:gridCol w:w="1417"/>
        <w:gridCol w:w="1417"/>
        <w:gridCol w:w="1417"/>
        <w:gridCol w:w="1417"/>
        <w:tblGridChange w:id="0">
          <w:tblGrid>
            <w:gridCol w:w="1417"/>
            <w:gridCol w:w="1417"/>
            <w:gridCol w:w="1417"/>
            <w:gridCol w:w="1417"/>
            <w:gridCol w:w="1417"/>
            <w:gridCol w:w="1417"/>
          </w:tblGrid>
        </w:tblGridChange>
      </w:tblGrid>
      <w:tr>
        <w:trPr>
          <w:cantSplit w:val="1"/>
          <w:tblHeader w:val="1"/>
        </w:trPr>
        <w:tc>
          <w:tcPr>
            <w:shd w:fill="f1f5f9" w:val="clear"/>
          </w:tcPr>
          <w:p w:rsidR="00000000" w:rsidDel="00000000" w:rsidP="00000000" w:rsidRDefault="00000000" w:rsidRPr="00000000" w14:paraId="0000079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Componente Arquitectónico</w:t>
            </w:r>
            <w:r w:rsidDel="00000000" w:rsidR="00000000" w:rsidRPr="00000000">
              <w:rPr>
                <w:rtl w:val="0"/>
              </w:rPr>
            </w:r>
          </w:p>
        </w:tc>
        <w:tc>
          <w:tcPr>
            <w:shd w:fill="f1f5f9" w:val="clear"/>
          </w:tcPr>
          <w:p w:rsidR="00000000" w:rsidDel="00000000" w:rsidP="00000000" w:rsidRDefault="00000000" w:rsidRPr="00000000" w14:paraId="0000079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Tecnología / Plataforma</w:t>
            </w:r>
            <w:r w:rsidDel="00000000" w:rsidR="00000000" w:rsidRPr="00000000">
              <w:rPr>
                <w:rtl w:val="0"/>
              </w:rPr>
            </w:r>
          </w:p>
        </w:tc>
        <w:tc>
          <w:tcPr>
            <w:shd w:fill="f1f5f9" w:val="clear"/>
          </w:tcPr>
          <w:p w:rsidR="00000000" w:rsidDel="00000000" w:rsidP="00000000" w:rsidRDefault="00000000" w:rsidRPr="00000000" w14:paraId="0000079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Versión / Licencia</w:t>
            </w:r>
            <w:r w:rsidDel="00000000" w:rsidR="00000000" w:rsidRPr="00000000">
              <w:rPr>
                <w:rtl w:val="0"/>
              </w:rPr>
            </w:r>
          </w:p>
        </w:tc>
        <w:tc>
          <w:tcPr>
            <w:shd w:fill="f1f5f9" w:val="clear"/>
          </w:tcPr>
          <w:p w:rsidR="00000000" w:rsidDel="00000000" w:rsidP="00000000" w:rsidRDefault="00000000" w:rsidRPr="00000000" w14:paraId="0000079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Rol Funcional en el Sistema</w:t>
            </w:r>
            <w:r w:rsidDel="00000000" w:rsidR="00000000" w:rsidRPr="00000000">
              <w:rPr>
                <w:rtl w:val="0"/>
              </w:rPr>
            </w:r>
          </w:p>
        </w:tc>
        <w:tc>
          <w:tcPr>
            <w:shd w:fill="f1f5f9" w:val="clear"/>
          </w:tcPr>
          <w:p w:rsidR="00000000" w:rsidDel="00000000" w:rsidP="00000000" w:rsidRDefault="00000000" w:rsidRPr="00000000" w14:paraId="0000079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Justificación Técnica y Operativa</w:t>
            </w:r>
            <w:r w:rsidDel="00000000" w:rsidR="00000000" w:rsidRPr="00000000">
              <w:rPr>
                <w:rtl w:val="0"/>
              </w:rPr>
            </w:r>
          </w:p>
        </w:tc>
        <w:tc>
          <w:tcPr>
            <w:shd w:fill="f1f5f9" w:val="clear"/>
          </w:tcPr>
          <w:p w:rsidR="00000000" w:rsidDel="00000000" w:rsidP="00000000" w:rsidRDefault="00000000" w:rsidRPr="00000000" w14:paraId="0000079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Requisitos Vinculados</w:t>
            </w:r>
            <w:r w:rsidDel="00000000" w:rsidR="00000000" w:rsidRPr="00000000">
              <w:rPr>
                <w:rtl w:val="0"/>
              </w:rPr>
            </w:r>
          </w:p>
        </w:tc>
      </w:tr>
      <w:tr>
        <w:trPr>
          <w:cantSplit w:val="1"/>
          <w:tblHeader w:val="0"/>
        </w:trPr>
        <w:tc>
          <w:tcPr/>
          <w:p w:rsidR="00000000" w:rsidDel="00000000" w:rsidP="00000000" w:rsidRDefault="00000000" w:rsidRPr="00000000" w14:paraId="0000079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Backend &amp; Runtime</w:t>
            </w:r>
            <w:r w:rsidDel="00000000" w:rsidR="00000000" w:rsidRPr="00000000">
              <w:rPr>
                <w:rtl w:val="0"/>
              </w:rPr>
            </w:r>
          </w:p>
        </w:tc>
        <w:tc>
          <w:tcPr/>
          <w:p w:rsidR="00000000" w:rsidDel="00000000" w:rsidP="00000000" w:rsidRDefault="00000000" w:rsidRPr="00000000" w14:paraId="0000079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Python</w:t>
            </w:r>
            <w:r w:rsidDel="00000000" w:rsidR="00000000" w:rsidRPr="00000000">
              <w:rPr>
                <w:rtl w:val="0"/>
              </w:rPr>
            </w:r>
          </w:p>
        </w:tc>
        <w:tc>
          <w:tcPr/>
          <w:p w:rsidR="00000000" w:rsidDel="00000000" w:rsidP="00000000" w:rsidRDefault="00000000" w:rsidRPr="00000000" w14:paraId="0000079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3.12</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(PSF License)</w:t>
            </w:r>
            <w:r w:rsidDel="00000000" w:rsidR="00000000" w:rsidRPr="00000000">
              <w:rPr>
                <w:rtl w:val="0"/>
              </w:rPr>
            </w:r>
          </w:p>
        </w:tc>
        <w:tc>
          <w:tcPr/>
          <w:p w:rsidR="00000000" w:rsidDel="00000000" w:rsidP="00000000" w:rsidRDefault="00000000" w:rsidRPr="00000000" w14:paraId="0000079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Entorno de ejecución central y orquestación epistémica.</w:t>
            </w:r>
            <w:r w:rsidDel="00000000" w:rsidR="00000000" w:rsidRPr="00000000">
              <w:rPr>
                <w:rtl w:val="0"/>
              </w:rPr>
            </w:r>
          </w:p>
        </w:tc>
        <w:tc>
          <w:tcPr/>
          <w:p w:rsidR="00000000" w:rsidDel="00000000" w:rsidP="00000000" w:rsidRDefault="00000000" w:rsidRPr="00000000" w14:paraId="0000079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Estándar aeroespacial científico; tipado estático robusto; especialización de bytecode.</w:t>
            </w:r>
            <w:r w:rsidDel="00000000" w:rsidR="00000000" w:rsidRPr="00000000">
              <w:rPr>
                <w:rtl w:val="0"/>
              </w:rPr>
            </w:r>
          </w:p>
        </w:tc>
        <w:tc>
          <w:tcPr/>
          <w:p w:rsidR="00000000" w:rsidDel="00000000" w:rsidP="00000000" w:rsidRDefault="00000000" w:rsidRPr="00000000" w14:paraId="0000079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RF-00, RF-02, RF-04; RNF-01, RNF-03</w:t>
            </w:r>
            <w:r w:rsidDel="00000000" w:rsidR="00000000" w:rsidRPr="00000000">
              <w:rPr>
                <w:rtl w:val="0"/>
              </w:rPr>
            </w:r>
          </w:p>
        </w:tc>
      </w:tr>
      <w:tr>
        <w:trPr>
          <w:cantSplit w:val="1"/>
          <w:tblHeader w:val="0"/>
        </w:trPr>
        <w:tc>
          <w:tcPr/>
          <w:p w:rsidR="00000000" w:rsidDel="00000000" w:rsidP="00000000" w:rsidRDefault="00000000" w:rsidRPr="00000000" w14:paraId="0000079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Framework API</w:t>
            </w:r>
            <w:r w:rsidDel="00000000" w:rsidR="00000000" w:rsidRPr="00000000">
              <w:rPr>
                <w:rtl w:val="0"/>
              </w:rPr>
            </w:r>
          </w:p>
        </w:tc>
        <w:tc>
          <w:tcPr/>
          <w:p w:rsidR="00000000" w:rsidDel="00000000" w:rsidP="00000000" w:rsidRDefault="00000000" w:rsidRPr="00000000" w14:paraId="0000079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FastAPI + Uvicorn</w:t>
            </w:r>
            <w:r w:rsidDel="00000000" w:rsidR="00000000" w:rsidRPr="00000000">
              <w:rPr>
                <w:rtl w:val="0"/>
              </w:rPr>
            </w:r>
          </w:p>
        </w:tc>
        <w:tc>
          <w:tcPr/>
          <w:p w:rsidR="00000000" w:rsidDel="00000000" w:rsidP="00000000" w:rsidRDefault="00000000" w:rsidRPr="00000000" w14:paraId="0000079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0.111+ / ASGI</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(MIT License)</w:t>
            </w:r>
            <w:r w:rsidDel="00000000" w:rsidR="00000000" w:rsidRPr="00000000">
              <w:rPr>
                <w:rtl w:val="0"/>
              </w:rPr>
            </w:r>
          </w:p>
        </w:tc>
        <w:tc>
          <w:tcPr/>
          <w:p w:rsidR="00000000" w:rsidDel="00000000" w:rsidP="00000000" w:rsidRDefault="00000000" w:rsidRPr="00000000" w14:paraId="000007A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Exposición de servicios REST, contratos OpenAPI y asincronía.</w:t>
            </w:r>
            <w:r w:rsidDel="00000000" w:rsidR="00000000" w:rsidRPr="00000000">
              <w:rPr>
                <w:rtl w:val="0"/>
              </w:rPr>
            </w:r>
          </w:p>
        </w:tc>
        <w:tc>
          <w:tcPr/>
          <w:p w:rsidR="00000000" w:rsidDel="00000000" w:rsidP="00000000" w:rsidRDefault="00000000" w:rsidRPr="00000000" w14:paraId="000007A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Rendimiento no bloqueante; validación automática con Pydantic v2; tipificación estricta.</w:t>
            </w:r>
            <w:r w:rsidDel="00000000" w:rsidR="00000000" w:rsidRPr="00000000">
              <w:rPr>
                <w:rtl w:val="0"/>
              </w:rPr>
            </w:r>
          </w:p>
        </w:tc>
        <w:tc>
          <w:tcPr/>
          <w:p w:rsidR="00000000" w:rsidDel="00000000" w:rsidP="00000000" w:rsidRDefault="00000000" w:rsidRPr="00000000" w14:paraId="000007A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RF-00, RF-08; RNF-02, RNF-03</w:t>
            </w:r>
            <w:r w:rsidDel="00000000" w:rsidR="00000000" w:rsidRPr="00000000">
              <w:rPr>
                <w:rtl w:val="0"/>
              </w:rPr>
            </w:r>
          </w:p>
        </w:tc>
      </w:tr>
      <w:tr>
        <w:trPr>
          <w:cantSplit w:val="1"/>
          <w:tblHeader w:val="0"/>
        </w:trPr>
        <w:tc>
          <w:tcPr/>
          <w:p w:rsidR="00000000" w:rsidDel="00000000" w:rsidP="00000000" w:rsidRDefault="00000000" w:rsidRPr="00000000" w14:paraId="000007A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Cálculo Numérico</w:t>
            </w:r>
            <w:r w:rsidDel="00000000" w:rsidR="00000000" w:rsidRPr="00000000">
              <w:rPr>
                <w:rtl w:val="0"/>
              </w:rPr>
            </w:r>
          </w:p>
        </w:tc>
        <w:tc>
          <w:tcPr/>
          <w:p w:rsidR="00000000" w:rsidDel="00000000" w:rsidP="00000000" w:rsidRDefault="00000000" w:rsidRPr="00000000" w14:paraId="000007A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NumPy &amp; SciPy</w:t>
            </w:r>
            <w:r w:rsidDel="00000000" w:rsidR="00000000" w:rsidRPr="00000000">
              <w:rPr>
                <w:rtl w:val="0"/>
              </w:rPr>
            </w:r>
          </w:p>
        </w:tc>
        <w:tc>
          <w:tcPr/>
          <w:p w:rsidR="00000000" w:rsidDel="00000000" w:rsidP="00000000" w:rsidRDefault="00000000" w:rsidRPr="00000000" w14:paraId="000007A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1.26+ / 1.13+</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(BSD License)</w:t>
            </w:r>
            <w:r w:rsidDel="00000000" w:rsidR="00000000" w:rsidRPr="00000000">
              <w:rPr>
                <w:rtl w:val="0"/>
              </w:rPr>
            </w:r>
          </w:p>
        </w:tc>
        <w:tc>
          <w:tcPr/>
          <w:p w:rsidR="00000000" w:rsidDel="00000000" w:rsidP="00000000" w:rsidRDefault="00000000" w:rsidRPr="00000000" w14:paraId="000007A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Operaciones matriciales, álgebra lineal y cálculo numérico.</w:t>
            </w:r>
            <w:r w:rsidDel="00000000" w:rsidR="00000000" w:rsidRPr="00000000">
              <w:rPr>
                <w:rtl w:val="0"/>
              </w:rPr>
            </w:r>
          </w:p>
        </w:tc>
        <w:tc>
          <w:tcPr/>
          <w:p w:rsidR="00000000" w:rsidDel="00000000" w:rsidP="00000000" w:rsidRDefault="00000000" w:rsidRPr="00000000" w14:paraId="000007A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Eficiencia compilada en C/Fortran; base para propagación analítica de vectores solares.</w:t>
            </w:r>
            <w:r w:rsidDel="00000000" w:rsidR="00000000" w:rsidRPr="00000000">
              <w:rPr>
                <w:rtl w:val="0"/>
              </w:rPr>
            </w:r>
          </w:p>
        </w:tc>
        <w:tc>
          <w:tcPr/>
          <w:p w:rsidR="00000000" w:rsidDel="00000000" w:rsidP="00000000" w:rsidRDefault="00000000" w:rsidRPr="00000000" w14:paraId="000007A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RF-01, RF-03; RNF-01, RNF-02</w:t>
            </w:r>
            <w:r w:rsidDel="00000000" w:rsidR="00000000" w:rsidRPr="00000000">
              <w:rPr>
                <w:rtl w:val="0"/>
              </w:rPr>
            </w:r>
          </w:p>
        </w:tc>
      </w:tr>
      <w:tr>
        <w:trPr>
          <w:cantSplit w:val="1"/>
          <w:tblHeader w:val="0"/>
        </w:trPr>
        <w:tc>
          <w:tcPr/>
          <w:p w:rsidR="00000000" w:rsidDel="00000000" w:rsidP="00000000" w:rsidRDefault="00000000" w:rsidRPr="00000000" w14:paraId="000007A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Álgebra Simbólica</w:t>
            </w:r>
            <w:r w:rsidDel="00000000" w:rsidR="00000000" w:rsidRPr="00000000">
              <w:rPr>
                <w:rtl w:val="0"/>
              </w:rPr>
            </w:r>
          </w:p>
        </w:tc>
        <w:tc>
          <w:tcPr/>
          <w:p w:rsidR="00000000" w:rsidDel="00000000" w:rsidP="00000000" w:rsidRDefault="00000000" w:rsidRPr="00000000" w14:paraId="000007A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SymPy</w:t>
            </w:r>
            <w:r w:rsidDel="00000000" w:rsidR="00000000" w:rsidRPr="00000000">
              <w:rPr>
                <w:rtl w:val="0"/>
              </w:rPr>
            </w:r>
          </w:p>
        </w:tc>
        <w:tc>
          <w:tcPr/>
          <w:p w:rsidR="00000000" w:rsidDel="00000000" w:rsidP="00000000" w:rsidRDefault="00000000" w:rsidRPr="00000000" w14:paraId="000007A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1.12+</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(BSD License)</w:t>
            </w:r>
            <w:r w:rsidDel="00000000" w:rsidR="00000000" w:rsidRPr="00000000">
              <w:rPr>
                <w:rtl w:val="0"/>
              </w:rPr>
            </w:r>
          </w:p>
        </w:tc>
        <w:tc>
          <w:tcPr/>
          <w:p w:rsidR="00000000" w:rsidDel="00000000" w:rsidP="00000000" w:rsidRDefault="00000000" w:rsidRPr="00000000" w14:paraId="000007A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Resolución analítica y derivación formal de ecuaciones EPS.</w:t>
            </w:r>
            <w:r w:rsidDel="00000000" w:rsidR="00000000" w:rsidRPr="00000000">
              <w:rPr>
                <w:rtl w:val="0"/>
              </w:rPr>
            </w:r>
          </w:p>
        </w:tc>
        <w:tc>
          <w:tcPr/>
          <w:p w:rsidR="00000000" w:rsidDel="00000000" w:rsidP="00000000" w:rsidRDefault="00000000" w:rsidRPr="00000000" w14:paraId="000007A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Explicabilidad matemática formal de restricciones; ausencia total de caja negra.</w:t>
            </w:r>
            <w:r w:rsidDel="00000000" w:rsidR="00000000" w:rsidRPr="00000000">
              <w:rPr>
                <w:rtl w:val="0"/>
              </w:rPr>
            </w:r>
          </w:p>
        </w:tc>
        <w:tc>
          <w:tcPr/>
          <w:p w:rsidR="00000000" w:rsidDel="00000000" w:rsidP="00000000" w:rsidRDefault="00000000" w:rsidRPr="00000000" w14:paraId="000007A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RF-01, RF-05; RNF-01</w:t>
            </w:r>
            <w:r w:rsidDel="00000000" w:rsidR="00000000" w:rsidRPr="00000000">
              <w:rPr>
                <w:rtl w:val="0"/>
              </w:rPr>
            </w:r>
          </w:p>
        </w:tc>
      </w:tr>
      <w:tr>
        <w:trPr>
          <w:cantSplit w:val="1"/>
          <w:tblHeader w:val="0"/>
        </w:trPr>
        <w:tc>
          <w:tcPr/>
          <w:p w:rsidR="00000000" w:rsidDel="00000000" w:rsidP="00000000" w:rsidRDefault="00000000" w:rsidRPr="00000000" w14:paraId="000007A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Astrodinámica LEO</w:t>
            </w:r>
            <w:r w:rsidDel="00000000" w:rsidR="00000000" w:rsidRPr="00000000">
              <w:rPr>
                <w:rtl w:val="0"/>
              </w:rPr>
            </w:r>
          </w:p>
        </w:tc>
        <w:tc>
          <w:tcPr/>
          <w:p w:rsidR="00000000" w:rsidDel="00000000" w:rsidP="00000000" w:rsidRDefault="00000000" w:rsidRPr="00000000" w14:paraId="000007B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Poliastro / Astropy</w:t>
            </w:r>
            <w:r w:rsidDel="00000000" w:rsidR="00000000" w:rsidRPr="00000000">
              <w:rPr>
                <w:rtl w:val="0"/>
              </w:rPr>
            </w:r>
          </w:p>
        </w:tc>
        <w:tc>
          <w:tcPr/>
          <w:p w:rsidR="00000000" w:rsidDel="00000000" w:rsidP="00000000" w:rsidRDefault="00000000" w:rsidRPr="00000000" w14:paraId="000007B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0.17+ / 6.0+</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(MIT / BSD)</w:t>
            </w:r>
            <w:r w:rsidDel="00000000" w:rsidR="00000000" w:rsidRPr="00000000">
              <w:rPr>
                <w:rtl w:val="0"/>
              </w:rPr>
            </w:r>
          </w:p>
        </w:tc>
        <w:tc>
          <w:tcPr/>
          <w:p w:rsidR="00000000" w:rsidDel="00000000" w:rsidP="00000000" w:rsidRDefault="00000000" w:rsidRPr="00000000" w14:paraId="000007B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Modelado de trayectorias keplerianas y conos de eclipse solar.</w:t>
            </w:r>
            <w:r w:rsidDel="00000000" w:rsidR="00000000" w:rsidRPr="00000000">
              <w:rPr>
                <w:rtl w:val="0"/>
              </w:rPr>
            </w:r>
          </w:p>
        </w:tc>
        <w:tc>
          <w:tcPr/>
          <w:p w:rsidR="00000000" w:rsidDel="00000000" w:rsidP="00000000" w:rsidRDefault="00000000" w:rsidRPr="00000000" w14:paraId="000007B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Precisión orbital validada por la comunidad astronómica internacional; cálculo de períodos de sombra.</w:t>
            </w:r>
            <w:r w:rsidDel="00000000" w:rsidR="00000000" w:rsidRPr="00000000">
              <w:rPr>
                <w:rtl w:val="0"/>
              </w:rPr>
            </w:r>
          </w:p>
        </w:tc>
        <w:tc>
          <w:tcPr/>
          <w:p w:rsidR="00000000" w:rsidDel="00000000" w:rsidP="00000000" w:rsidRDefault="00000000" w:rsidRPr="00000000" w14:paraId="000007B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RF-02, RF-03; RN-01, RN-02</w:t>
            </w:r>
            <w:r w:rsidDel="00000000" w:rsidR="00000000" w:rsidRPr="00000000">
              <w:rPr>
                <w:rtl w:val="0"/>
              </w:rPr>
            </w:r>
          </w:p>
        </w:tc>
      </w:tr>
      <w:tr>
        <w:trPr>
          <w:cantSplit w:val="1"/>
          <w:tblHeader w:val="0"/>
        </w:trPr>
        <w:tc>
          <w:tcPr/>
          <w:p w:rsidR="00000000" w:rsidDel="00000000" w:rsidP="00000000" w:rsidRDefault="00000000" w:rsidRPr="00000000" w14:paraId="000007B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Validación de Datos</w:t>
            </w:r>
            <w:r w:rsidDel="00000000" w:rsidR="00000000" w:rsidRPr="00000000">
              <w:rPr>
                <w:rtl w:val="0"/>
              </w:rPr>
            </w:r>
          </w:p>
        </w:tc>
        <w:tc>
          <w:tcPr/>
          <w:p w:rsidR="00000000" w:rsidDel="00000000" w:rsidP="00000000" w:rsidRDefault="00000000" w:rsidRPr="00000000" w14:paraId="000007B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Pydantic</w:t>
            </w:r>
            <w:r w:rsidDel="00000000" w:rsidR="00000000" w:rsidRPr="00000000">
              <w:rPr>
                <w:rtl w:val="0"/>
              </w:rPr>
            </w:r>
          </w:p>
        </w:tc>
        <w:tc>
          <w:tcPr/>
          <w:p w:rsidR="00000000" w:rsidDel="00000000" w:rsidP="00000000" w:rsidRDefault="00000000" w:rsidRPr="00000000" w14:paraId="000007B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2.7+</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(MIT License)</w:t>
            </w:r>
            <w:r w:rsidDel="00000000" w:rsidR="00000000" w:rsidRPr="00000000">
              <w:rPr>
                <w:rtl w:val="0"/>
              </w:rPr>
            </w:r>
          </w:p>
        </w:tc>
        <w:tc>
          <w:tcPr/>
          <w:p w:rsidR="00000000" w:rsidDel="00000000" w:rsidP="00000000" w:rsidRDefault="00000000" w:rsidRPr="00000000" w14:paraId="000007B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Serialización, parsing y validación de interfaces ICD (JSON).</w:t>
            </w:r>
            <w:r w:rsidDel="00000000" w:rsidR="00000000" w:rsidRPr="00000000">
              <w:rPr>
                <w:rtl w:val="0"/>
              </w:rPr>
            </w:r>
          </w:p>
        </w:tc>
        <w:tc>
          <w:tcPr/>
          <w:p w:rsidR="00000000" w:rsidDel="00000000" w:rsidP="00000000" w:rsidRDefault="00000000" w:rsidRPr="00000000" w14:paraId="000007B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Núcleo escrito en Rust con alta velocidad de parseo; tipado coercitivo de telemetría.</w:t>
            </w:r>
            <w:r w:rsidDel="00000000" w:rsidR="00000000" w:rsidRPr="00000000">
              <w:rPr>
                <w:rtl w:val="0"/>
              </w:rPr>
            </w:r>
          </w:p>
        </w:tc>
        <w:tc>
          <w:tcPr/>
          <w:p w:rsidR="00000000" w:rsidDel="00000000" w:rsidP="00000000" w:rsidRDefault="00000000" w:rsidRPr="00000000" w14:paraId="000007B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RF-00, RF-08; RN-05</w:t>
            </w:r>
            <w:r w:rsidDel="00000000" w:rsidR="00000000" w:rsidRPr="00000000">
              <w:rPr>
                <w:rtl w:val="0"/>
              </w:rPr>
            </w:r>
          </w:p>
        </w:tc>
      </w:tr>
      <w:tr>
        <w:trPr>
          <w:cantSplit w:val="1"/>
          <w:tblHeader w:val="0"/>
        </w:trPr>
        <w:tc>
          <w:tcPr/>
          <w:p w:rsidR="00000000" w:rsidDel="00000000" w:rsidP="00000000" w:rsidRDefault="00000000" w:rsidRPr="00000000" w14:paraId="000007B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Capa de Persistencia</w:t>
            </w:r>
            <w:r w:rsidDel="00000000" w:rsidR="00000000" w:rsidRPr="00000000">
              <w:rPr>
                <w:rtl w:val="0"/>
              </w:rPr>
            </w:r>
          </w:p>
        </w:tc>
        <w:tc>
          <w:tcPr/>
          <w:p w:rsidR="00000000" w:rsidDel="00000000" w:rsidP="00000000" w:rsidRDefault="00000000" w:rsidRPr="00000000" w14:paraId="000007B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SQLite (WAL) / PostgreSQL</w:t>
            </w:r>
            <w:r w:rsidDel="00000000" w:rsidR="00000000" w:rsidRPr="00000000">
              <w:rPr>
                <w:rtl w:val="0"/>
              </w:rPr>
            </w:r>
          </w:p>
        </w:tc>
        <w:tc>
          <w:tcPr/>
          <w:p w:rsidR="00000000" w:rsidDel="00000000" w:rsidP="00000000" w:rsidRDefault="00000000" w:rsidRPr="00000000" w14:paraId="000007B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3.45+ / 16.x</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(Public / Postgre)</w:t>
            </w:r>
            <w:r w:rsidDel="00000000" w:rsidR="00000000" w:rsidRPr="00000000">
              <w:rPr>
                <w:rtl w:val="0"/>
              </w:rPr>
            </w:r>
          </w:p>
        </w:tc>
        <w:tc>
          <w:tcPr/>
          <w:p w:rsidR="00000000" w:rsidDel="00000000" w:rsidP="00000000" w:rsidRDefault="00000000" w:rsidRPr="00000000" w14:paraId="000007B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Almacenamiento local edge de misiones y modelos relacionales.</w:t>
            </w:r>
            <w:r w:rsidDel="00000000" w:rsidR="00000000" w:rsidRPr="00000000">
              <w:rPr>
                <w:rtl w:val="0"/>
              </w:rPr>
            </w:r>
          </w:p>
        </w:tc>
        <w:tc>
          <w:tcPr/>
          <w:p w:rsidR="00000000" w:rsidDel="00000000" w:rsidP="00000000" w:rsidRDefault="00000000" w:rsidRPr="00000000" w14:paraId="000007B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Cero administración en estación terrena local; compatibilidad con PostgreSQL mediante SQLAlchemy.</w:t>
            </w:r>
            <w:r w:rsidDel="00000000" w:rsidR="00000000" w:rsidRPr="00000000">
              <w:rPr>
                <w:rtl w:val="0"/>
              </w:rPr>
            </w:r>
          </w:p>
        </w:tc>
        <w:tc>
          <w:tcPr/>
          <w:p w:rsidR="00000000" w:rsidDel="00000000" w:rsidP="00000000" w:rsidRDefault="00000000" w:rsidRPr="00000000" w14:paraId="000007C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RF-04, RF-07; RNF-04</w:t>
            </w:r>
            <w:r w:rsidDel="00000000" w:rsidR="00000000" w:rsidRPr="00000000">
              <w:rPr>
                <w:rtl w:val="0"/>
              </w:rPr>
            </w:r>
          </w:p>
        </w:tc>
      </w:tr>
      <w:tr>
        <w:trPr>
          <w:cantSplit w:val="1"/>
          <w:tblHeader w:val="0"/>
        </w:trPr>
        <w:tc>
          <w:tcPr/>
          <w:p w:rsidR="00000000" w:rsidDel="00000000" w:rsidP="00000000" w:rsidRDefault="00000000" w:rsidRPr="00000000" w14:paraId="000007C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ORM &amp; Migraciones</w:t>
            </w:r>
            <w:r w:rsidDel="00000000" w:rsidR="00000000" w:rsidRPr="00000000">
              <w:rPr>
                <w:rtl w:val="0"/>
              </w:rPr>
            </w:r>
          </w:p>
        </w:tc>
        <w:tc>
          <w:tcPr/>
          <w:p w:rsidR="00000000" w:rsidDel="00000000" w:rsidP="00000000" w:rsidRDefault="00000000" w:rsidRPr="00000000" w14:paraId="000007C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SQLAlchemy &amp; Alembic</w:t>
            </w:r>
            <w:r w:rsidDel="00000000" w:rsidR="00000000" w:rsidRPr="00000000">
              <w:rPr>
                <w:rtl w:val="0"/>
              </w:rPr>
            </w:r>
          </w:p>
        </w:tc>
        <w:tc>
          <w:tcPr/>
          <w:p w:rsidR="00000000" w:rsidDel="00000000" w:rsidP="00000000" w:rsidRDefault="00000000" w:rsidRPr="00000000" w14:paraId="000007C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2.0+ / 1.13+</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(MIT License)</w:t>
            </w:r>
            <w:r w:rsidDel="00000000" w:rsidR="00000000" w:rsidRPr="00000000">
              <w:rPr>
                <w:rtl w:val="0"/>
              </w:rPr>
            </w:r>
          </w:p>
        </w:tc>
        <w:tc>
          <w:tcPr/>
          <w:p w:rsidR="00000000" w:rsidDel="00000000" w:rsidP="00000000" w:rsidRDefault="00000000" w:rsidRPr="00000000" w14:paraId="000007C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Mapeo objeto-relacional y control de versiones de base de datos.</w:t>
            </w:r>
            <w:r w:rsidDel="00000000" w:rsidR="00000000" w:rsidRPr="00000000">
              <w:rPr>
                <w:rtl w:val="0"/>
              </w:rPr>
            </w:r>
          </w:p>
        </w:tc>
        <w:tc>
          <w:tcPr/>
          <w:p w:rsidR="00000000" w:rsidDel="00000000" w:rsidP="00000000" w:rsidRDefault="00000000" w:rsidRPr="00000000" w14:paraId="000007C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Mantenimiento evolutivo del esquema de datos sin pérdida de integridad ni bloqueo de motor.</w:t>
            </w:r>
            <w:r w:rsidDel="00000000" w:rsidR="00000000" w:rsidRPr="00000000">
              <w:rPr>
                <w:rtl w:val="0"/>
              </w:rPr>
            </w:r>
          </w:p>
        </w:tc>
        <w:tc>
          <w:tcPr/>
          <w:p w:rsidR="00000000" w:rsidDel="00000000" w:rsidP="00000000" w:rsidRDefault="00000000" w:rsidRPr="00000000" w14:paraId="000007C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RF-04; RNF-03</w:t>
            </w:r>
            <w:r w:rsidDel="00000000" w:rsidR="00000000" w:rsidRPr="00000000">
              <w:rPr>
                <w:rtl w:val="0"/>
              </w:rPr>
            </w:r>
          </w:p>
        </w:tc>
      </w:tr>
      <w:tr>
        <w:trPr>
          <w:cantSplit w:val="1"/>
          <w:tblHeader w:val="0"/>
        </w:trPr>
        <w:tc>
          <w:tcPr/>
          <w:p w:rsidR="00000000" w:rsidDel="00000000" w:rsidP="00000000" w:rsidRDefault="00000000" w:rsidRPr="00000000" w14:paraId="000007C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Inferencia Local</w:t>
            </w:r>
            <w:r w:rsidDel="00000000" w:rsidR="00000000" w:rsidRPr="00000000">
              <w:rPr>
                <w:rtl w:val="0"/>
              </w:rPr>
            </w:r>
          </w:p>
        </w:tc>
        <w:tc>
          <w:tcPr/>
          <w:p w:rsidR="00000000" w:rsidDel="00000000" w:rsidP="00000000" w:rsidRDefault="00000000" w:rsidRPr="00000000" w14:paraId="000007C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Ollama / vLLM</w:t>
            </w:r>
            <w:r w:rsidDel="00000000" w:rsidR="00000000" w:rsidRPr="00000000">
              <w:rPr>
                <w:rtl w:val="0"/>
              </w:rPr>
            </w:r>
          </w:p>
        </w:tc>
        <w:tc>
          <w:tcPr/>
          <w:p w:rsidR="00000000" w:rsidDel="00000000" w:rsidP="00000000" w:rsidRDefault="00000000" w:rsidRPr="00000000" w14:paraId="000007C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Última estable</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(MIT / Apache 2.0)</w:t>
            </w:r>
            <w:r w:rsidDel="00000000" w:rsidR="00000000" w:rsidRPr="00000000">
              <w:rPr>
                <w:rtl w:val="0"/>
              </w:rPr>
            </w:r>
          </w:p>
        </w:tc>
        <w:tc>
          <w:tcPr/>
          <w:p w:rsidR="00000000" w:rsidDel="00000000" w:rsidP="00000000" w:rsidRDefault="00000000" w:rsidRPr="00000000" w14:paraId="000007C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Servidor de modelos de lenguaje </w:t>
            </w:r>
            <w:r w:rsidDel="00000000" w:rsidR="00000000" w:rsidRPr="00000000">
              <w:rPr>
                <w:rFonts w:ascii="Times New Roman" w:cs="Times New Roman" w:eastAsia="Times New Roman" w:hAnsi="Times New Roman"/>
                <w:b w:val="0"/>
                <w:bCs w:val="0"/>
                <w:i w:val="1"/>
                <w:iCs w:val="1"/>
                <w:color w:val="0f172a"/>
                <w:sz w:val="17"/>
                <w:szCs w:val="17"/>
                <w:rtl w:val="0"/>
              </w:rPr>
              <w:t xml:space="preserve">on-premise</w:t>
            </w:r>
            <w:r w:rsidDel="00000000" w:rsidR="00000000" w:rsidRPr="00000000">
              <w:rPr>
                <w:rFonts w:ascii="Times New Roman" w:cs="Times New Roman" w:eastAsia="Times New Roman" w:hAnsi="Times New Roman"/>
                <w:b w:val="0"/>
                <w:bCs w:val="0"/>
                <w:i w:val="0"/>
                <w:iCs w:val="0"/>
                <w:color w:val="0f172a"/>
                <w:sz w:val="17"/>
                <w:szCs w:val="17"/>
                <w:rtl w:val="0"/>
              </w:rPr>
              <w:t xml:space="preserve"> cuantizados.</w:t>
            </w:r>
            <w:r w:rsidDel="00000000" w:rsidR="00000000" w:rsidRPr="00000000">
              <w:rPr>
                <w:rtl w:val="0"/>
              </w:rPr>
            </w:r>
          </w:p>
        </w:tc>
        <w:tc>
          <w:tcPr/>
          <w:p w:rsidR="00000000" w:rsidDel="00000000" w:rsidP="00000000" w:rsidRDefault="00000000" w:rsidRPr="00000000" w14:paraId="000007C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Operación desconectada </w:t>
            </w:r>
            <w:r w:rsidDel="00000000" w:rsidR="00000000" w:rsidRPr="00000000">
              <w:rPr>
                <w:rFonts w:ascii="Times New Roman" w:cs="Times New Roman" w:eastAsia="Times New Roman" w:hAnsi="Times New Roman"/>
                <w:b w:val="0"/>
                <w:bCs w:val="0"/>
                <w:i w:val="1"/>
                <w:iCs w:val="1"/>
                <w:color w:val="0f172a"/>
                <w:sz w:val="17"/>
                <w:szCs w:val="17"/>
                <w:rtl w:val="0"/>
              </w:rPr>
              <w:t xml:space="preserve">air-gapped</w:t>
            </w:r>
            <w:r w:rsidDel="00000000" w:rsidR="00000000" w:rsidRPr="00000000">
              <w:rPr>
                <w:rFonts w:ascii="Times New Roman" w:cs="Times New Roman" w:eastAsia="Times New Roman" w:hAnsi="Times New Roman"/>
                <w:b w:val="0"/>
                <w:bCs w:val="0"/>
                <w:i w:val="0"/>
                <w:iCs w:val="0"/>
                <w:color w:val="0f172a"/>
                <w:sz w:val="17"/>
                <w:szCs w:val="17"/>
                <w:rtl w:val="0"/>
              </w:rPr>
              <w:t xml:space="preserve">; confidencialidad total de telemetría y misiones.</w:t>
            </w:r>
            <w:r w:rsidDel="00000000" w:rsidR="00000000" w:rsidRPr="00000000">
              <w:rPr>
                <w:rtl w:val="0"/>
              </w:rPr>
            </w:r>
          </w:p>
        </w:tc>
        <w:tc>
          <w:tcPr/>
          <w:p w:rsidR="00000000" w:rsidDel="00000000" w:rsidP="00000000" w:rsidRDefault="00000000" w:rsidRPr="00000000" w14:paraId="000007C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RF-05, RF-06; RNF-04</w:t>
            </w:r>
            <w:r w:rsidDel="00000000" w:rsidR="00000000" w:rsidRPr="00000000">
              <w:rPr>
                <w:rtl w:val="0"/>
              </w:rPr>
            </w:r>
          </w:p>
        </w:tc>
      </w:tr>
      <w:tr>
        <w:trPr>
          <w:cantSplit w:val="1"/>
          <w:tblHeader w:val="0"/>
        </w:trPr>
        <w:tc>
          <w:tcPr/>
          <w:p w:rsidR="00000000" w:rsidDel="00000000" w:rsidP="00000000" w:rsidRDefault="00000000" w:rsidRPr="00000000" w14:paraId="000007C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Conector Cognitivo</w:t>
            </w:r>
            <w:r w:rsidDel="00000000" w:rsidR="00000000" w:rsidRPr="00000000">
              <w:rPr>
                <w:rtl w:val="0"/>
              </w:rPr>
            </w:r>
          </w:p>
        </w:tc>
        <w:tc>
          <w:tcPr/>
          <w:p w:rsidR="00000000" w:rsidDel="00000000" w:rsidP="00000000" w:rsidRDefault="00000000" w:rsidRPr="00000000" w14:paraId="000007C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Adaptador BYOK (OpenAI API)</w:t>
            </w:r>
            <w:r w:rsidDel="00000000" w:rsidR="00000000" w:rsidRPr="00000000">
              <w:rPr>
                <w:rtl w:val="0"/>
              </w:rPr>
            </w:r>
          </w:p>
        </w:tc>
        <w:tc>
          <w:tcPr/>
          <w:p w:rsidR="00000000" w:rsidDel="00000000" w:rsidP="00000000" w:rsidRDefault="00000000" w:rsidRPr="00000000" w14:paraId="000007C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Estándar REST</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(Abierto)</w:t>
            </w:r>
            <w:r w:rsidDel="00000000" w:rsidR="00000000" w:rsidRPr="00000000">
              <w:rPr>
                <w:rtl w:val="0"/>
              </w:rPr>
            </w:r>
          </w:p>
        </w:tc>
        <w:tc>
          <w:tcPr/>
          <w:p w:rsidR="00000000" w:rsidDel="00000000" w:rsidP="00000000" w:rsidRDefault="00000000" w:rsidRPr="00000000" w14:paraId="000007D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Integración con APIs comerciales (Gemini, Claude, GPT-4o).</w:t>
            </w:r>
            <w:r w:rsidDel="00000000" w:rsidR="00000000" w:rsidRPr="00000000">
              <w:rPr>
                <w:rtl w:val="0"/>
              </w:rPr>
            </w:r>
          </w:p>
        </w:tc>
        <w:tc>
          <w:tcPr/>
          <w:p w:rsidR="00000000" w:rsidDel="00000000" w:rsidP="00000000" w:rsidRDefault="00000000" w:rsidRPr="00000000" w14:paraId="000007D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Flexibilidad de selección del modelo más potente según la tarea; costo marginal cero para CODI.</w:t>
            </w:r>
            <w:r w:rsidDel="00000000" w:rsidR="00000000" w:rsidRPr="00000000">
              <w:rPr>
                <w:rtl w:val="0"/>
              </w:rPr>
            </w:r>
          </w:p>
        </w:tc>
        <w:tc>
          <w:tcPr/>
          <w:p w:rsidR="00000000" w:rsidDel="00000000" w:rsidP="00000000" w:rsidRDefault="00000000" w:rsidRPr="00000000" w14:paraId="000007D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RF-05, RF-06; RNF-04</w:t>
            </w:r>
            <w:r w:rsidDel="00000000" w:rsidR="00000000" w:rsidRPr="00000000">
              <w:rPr>
                <w:rtl w:val="0"/>
              </w:rPr>
            </w:r>
          </w:p>
        </w:tc>
      </w:tr>
      <w:tr>
        <w:trPr>
          <w:cantSplit w:val="1"/>
          <w:tblHeader w:val="0"/>
        </w:trPr>
        <w:tc>
          <w:tcPr/>
          <w:p w:rsidR="00000000" w:rsidDel="00000000" w:rsidP="00000000" w:rsidRDefault="00000000" w:rsidRPr="00000000" w14:paraId="000007D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Frontend Web</w:t>
            </w:r>
            <w:r w:rsidDel="00000000" w:rsidR="00000000" w:rsidRPr="00000000">
              <w:rPr>
                <w:rtl w:val="0"/>
              </w:rPr>
            </w:r>
          </w:p>
        </w:tc>
        <w:tc>
          <w:tcPr/>
          <w:p w:rsidR="00000000" w:rsidDel="00000000" w:rsidP="00000000" w:rsidRDefault="00000000" w:rsidRPr="00000000" w14:paraId="000007D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React + Vite + TypeScript</w:t>
            </w:r>
            <w:r w:rsidDel="00000000" w:rsidR="00000000" w:rsidRPr="00000000">
              <w:rPr>
                <w:rtl w:val="0"/>
              </w:rPr>
            </w:r>
          </w:p>
        </w:tc>
        <w:tc>
          <w:tcPr/>
          <w:p w:rsidR="00000000" w:rsidDel="00000000" w:rsidP="00000000" w:rsidRDefault="00000000" w:rsidRPr="00000000" w14:paraId="000007D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18.x / 5.x</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(MIT License)</w:t>
            </w:r>
            <w:r w:rsidDel="00000000" w:rsidR="00000000" w:rsidRPr="00000000">
              <w:rPr>
                <w:rtl w:val="0"/>
              </w:rPr>
            </w:r>
          </w:p>
        </w:tc>
        <w:tc>
          <w:tcPr/>
          <w:p w:rsidR="00000000" w:rsidDel="00000000" w:rsidP="00000000" w:rsidRDefault="00000000" w:rsidRPr="00000000" w14:paraId="000007D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Dashboard interactivo, estructura SPA y gestión reactiva de estado.</w:t>
            </w:r>
            <w:r w:rsidDel="00000000" w:rsidR="00000000" w:rsidRPr="00000000">
              <w:rPr>
                <w:rtl w:val="0"/>
              </w:rPr>
            </w:r>
          </w:p>
        </w:tc>
        <w:tc>
          <w:tcPr/>
          <w:p w:rsidR="00000000" w:rsidDel="00000000" w:rsidP="00000000" w:rsidRDefault="00000000" w:rsidRPr="00000000" w14:paraId="000007D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Renderizado reactivo de alta velocidad; tipado seguro en cliente; empaquetado optimizado.</w:t>
            </w:r>
            <w:r w:rsidDel="00000000" w:rsidR="00000000" w:rsidRPr="00000000">
              <w:rPr>
                <w:rtl w:val="0"/>
              </w:rPr>
            </w:r>
          </w:p>
        </w:tc>
        <w:tc>
          <w:tcPr/>
          <w:p w:rsidR="00000000" w:rsidDel="00000000" w:rsidP="00000000" w:rsidRDefault="00000000" w:rsidRPr="00000000" w14:paraId="000007D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RF-07, RF-08; RNF-02</w:t>
            </w:r>
            <w:r w:rsidDel="00000000" w:rsidR="00000000" w:rsidRPr="00000000">
              <w:rPr>
                <w:rtl w:val="0"/>
              </w:rPr>
            </w:r>
          </w:p>
        </w:tc>
      </w:tr>
      <w:tr>
        <w:trPr>
          <w:cantSplit w:val="1"/>
          <w:tblHeader w:val="0"/>
        </w:trPr>
        <w:tc>
          <w:tcPr/>
          <w:p w:rsidR="00000000" w:rsidDel="00000000" w:rsidP="00000000" w:rsidRDefault="00000000" w:rsidRPr="00000000" w14:paraId="000007D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Componentes UI &amp; Estilos</w:t>
            </w:r>
            <w:r w:rsidDel="00000000" w:rsidR="00000000" w:rsidRPr="00000000">
              <w:rPr>
                <w:rtl w:val="0"/>
              </w:rPr>
            </w:r>
          </w:p>
        </w:tc>
        <w:tc>
          <w:tcPr/>
          <w:p w:rsidR="00000000" w:rsidDel="00000000" w:rsidP="00000000" w:rsidRDefault="00000000" w:rsidRPr="00000000" w14:paraId="000007D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shadcn/ui (Radix UI + Tailwind)</w:t>
            </w:r>
            <w:r w:rsidDel="00000000" w:rsidR="00000000" w:rsidRPr="00000000">
              <w:rPr>
                <w:rtl w:val="0"/>
              </w:rPr>
            </w:r>
          </w:p>
        </w:tc>
        <w:tc>
          <w:tcPr/>
          <w:p w:rsidR="00000000" w:rsidDel="00000000" w:rsidP="00000000" w:rsidRDefault="00000000" w:rsidRPr="00000000" w14:paraId="000007D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Última estable / 3.4+</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(MIT License)</w:t>
            </w:r>
            <w:r w:rsidDel="00000000" w:rsidR="00000000" w:rsidRPr="00000000">
              <w:rPr>
                <w:rtl w:val="0"/>
              </w:rPr>
            </w:r>
          </w:p>
        </w:tc>
        <w:tc>
          <w:tcPr/>
          <w:p w:rsidR="00000000" w:rsidDel="00000000" w:rsidP="00000000" w:rsidRDefault="00000000" w:rsidRPr="00000000" w14:paraId="000007D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Sistema de diseño modular, componentes accesibles y estilos atómicos.</w:t>
            </w:r>
            <w:r w:rsidDel="00000000" w:rsidR="00000000" w:rsidRPr="00000000">
              <w:rPr>
                <w:rtl w:val="0"/>
              </w:rPr>
            </w:r>
          </w:p>
        </w:tc>
        <w:tc>
          <w:tcPr/>
          <w:p w:rsidR="00000000" w:rsidDel="00000000" w:rsidP="00000000" w:rsidRDefault="00000000" w:rsidRPr="00000000" w14:paraId="000007D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Componentes sin dependencias opacas en runtime; personalización directa en código; accesibilidad ARIA; modo oscuro.</w:t>
            </w:r>
            <w:r w:rsidDel="00000000" w:rsidR="00000000" w:rsidRPr="00000000">
              <w:rPr>
                <w:rtl w:val="0"/>
              </w:rPr>
            </w:r>
          </w:p>
        </w:tc>
        <w:tc>
          <w:tcPr/>
          <w:p w:rsidR="00000000" w:rsidDel="00000000" w:rsidP="00000000" w:rsidRDefault="00000000" w:rsidRPr="00000000" w14:paraId="000007D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RF-07, RF-08; RNF-02</w:t>
            </w:r>
            <w:r w:rsidDel="00000000" w:rsidR="00000000" w:rsidRPr="00000000">
              <w:rPr>
                <w:rtl w:val="0"/>
              </w:rPr>
            </w:r>
          </w:p>
        </w:tc>
      </w:tr>
      <w:tr>
        <w:trPr>
          <w:cantSplit w:val="1"/>
          <w:tblHeader w:val="0"/>
        </w:trPr>
        <w:tc>
          <w:tcPr/>
          <w:p w:rsidR="00000000" w:rsidDel="00000000" w:rsidP="00000000" w:rsidRDefault="00000000" w:rsidRPr="00000000" w14:paraId="000007D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Visualización Gráfica</w:t>
            </w:r>
            <w:r w:rsidDel="00000000" w:rsidR="00000000" w:rsidRPr="00000000">
              <w:rPr>
                <w:rtl w:val="0"/>
              </w:rPr>
            </w:r>
          </w:p>
        </w:tc>
        <w:tc>
          <w:tcPr/>
          <w:p w:rsidR="00000000" w:rsidDel="00000000" w:rsidP="00000000" w:rsidRDefault="00000000" w:rsidRPr="00000000" w14:paraId="000007E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Plotly.js / Chart.js</w:t>
            </w:r>
            <w:r w:rsidDel="00000000" w:rsidR="00000000" w:rsidRPr="00000000">
              <w:rPr>
                <w:rtl w:val="0"/>
              </w:rPr>
            </w:r>
          </w:p>
        </w:tc>
        <w:tc>
          <w:tcPr/>
          <w:p w:rsidR="00000000" w:rsidDel="00000000" w:rsidP="00000000" w:rsidRDefault="00000000" w:rsidRPr="00000000" w14:paraId="000007E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2.30+ / 4.4+</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(MIT License)</w:t>
            </w:r>
            <w:r w:rsidDel="00000000" w:rsidR="00000000" w:rsidRPr="00000000">
              <w:rPr>
                <w:rtl w:val="0"/>
              </w:rPr>
            </w:r>
          </w:p>
        </w:tc>
        <w:tc>
          <w:tcPr/>
          <w:p w:rsidR="00000000" w:rsidDel="00000000" w:rsidP="00000000" w:rsidRDefault="00000000" w:rsidRPr="00000000" w14:paraId="000007E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Curvas de consumo de potencia, perfiles de eclipse y DoD.</w:t>
            </w:r>
            <w:r w:rsidDel="00000000" w:rsidR="00000000" w:rsidRPr="00000000">
              <w:rPr>
                <w:rtl w:val="0"/>
              </w:rPr>
            </w:r>
          </w:p>
        </w:tc>
        <w:tc>
          <w:tcPr/>
          <w:p w:rsidR="00000000" w:rsidDel="00000000" w:rsidP="00000000" w:rsidRDefault="00000000" w:rsidRPr="00000000" w14:paraId="000007E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Interactividad de zoom y exportación de gráficos de balance para informes técnicos espaciales.</w:t>
            </w:r>
            <w:r w:rsidDel="00000000" w:rsidR="00000000" w:rsidRPr="00000000">
              <w:rPr>
                <w:rtl w:val="0"/>
              </w:rPr>
            </w:r>
          </w:p>
        </w:tc>
        <w:tc>
          <w:tcPr/>
          <w:p w:rsidR="00000000" w:rsidDel="00000000" w:rsidP="00000000" w:rsidRDefault="00000000" w:rsidRPr="00000000" w14:paraId="000007E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RF-01, RF-07; RNF-01</w:t>
            </w:r>
            <w:r w:rsidDel="00000000" w:rsidR="00000000" w:rsidRPr="00000000">
              <w:rPr>
                <w:rtl w:val="0"/>
              </w:rPr>
            </w:r>
          </w:p>
        </w:tc>
      </w:tr>
      <w:tr>
        <w:trPr>
          <w:cantSplit w:val="1"/>
          <w:tblHeader w:val="0"/>
        </w:trPr>
        <w:tc>
          <w:tcPr/>
          <w:p w:rsidR="00000000" w:rsidDel="00000000" w:rsidP="00000000" w:rsidRDefault="00000000" w:rsidRPr="00000000" w14:paraId="000007E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Consola de Comandos</w:t>
            </w:r>
            <w:r w:rsidDel="00000000" w:rsidR="00000000" w:rsidRPr="00000000">
              <w:rPr>
                <w:rtl w:val="0"/>
              </w:rPr>
            </w:r>
          </w:p>
        </w:tc>
        <w:tc>
          <w:tcPr/>
          <w:p w:rsidR="00000000" w:rsidDel="00000000" w:rsidP="00000000" w:rsidRDefault="00000000" w:rsidRPr="00000000" w14:paraId="000007E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Typer &amp; Rich</w:t>
            </w:r>
            <w:r w:rsidDel="00000000" w:rsidR="00000000" w:rsidRPr="00000000">
              <w:rPr>
                <w:rtl w:val="0"/>
              </w:rPr>
            </w:r>
          </w:p>
        </w:tc>
        <w:tc>
          <w:tcPr/>
          <w:p w:rsidR="00000000" w:rsidDel="00000000" w:rsidP="00000000" w:rsidRDefault="00000000" w:rsidRPr="00000000" w14:paraId="000007E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0.12+ / 13.x</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(MIT License)</w:t>
            </w:r>
            <w:r w:rsidDel="00000000" w:rsidR="00000000" w:rsidRPr="00000000">
              <w:rPr>
                <w:rtl w:val="0"/>
              </w:rPr>
            </w:r>
          </w:p>
        </w:tc>
        <w:tc>
          <w:tcPr/>
          <w:p w:rsidR="00000000" w:rsidDel="00000000" w:rsidP="00000000" w:rsidRDefault="00000000" w:rsidRPr="00000000" w14:paraId="000007E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Interfaz de línea de comandos (CLI) estructurada para ingeniería.</w:t>
            </w:r>
            <w:r w:rsidDel="00000000" w:rsidR="00000000" w:rsidRPr="00000000">
              <w:rPr>
                <w:rtl w:val="0"/>
              </w:rPr>
            </w:r>
          </w:p>
        </w:tc>
        <w:tc>
          <w:tcPr/>
          <w:p w:rsidR="00000000" w:rsidDel="00000000" w:rsidP="00000000" w:rsidRDefault="00000000" w:rsidRPr="00000000" w14:paraId="000007E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Automatización por lotes en terminal; formateo enriquecido de tablas y alertas de misión.</w:t>
            </w:r>
            <w:r w:rsidDel="00000000" w:rsidR="00000000" w:rsidRPr="00000000">
              <w:rPr>
                <w:rtl w:val="0"/>
              </w:rPr>
            </w:r>
          </w:p>
        </w:tc>
        <w:tc>
          <w:tcPr/>
          <w:p w:rsidR="00000000" w:rsidDel="00000000" w:rsidP="00000000" w:rsidRDefault="00000000" w:rsidRPr="00000000" w14:paraId="000007E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RF-00, RF-08; RNF-03</w:t>
            </w:r>
            <w:r w:rsidDel="00000000" w:rsidR="00000000" w:rsidRPr="00000000">
              <w:rPr>
                <w:rtl w:val="0"/>
              </w:rPr>
            </w:r>
          </w:p>
        </w:tc>
      </w:tr>
      <w:tr>
        <w:trPr>
          <w:cantSplit w:val="1"/>
          <w:tblHeader w:val="0"/>
        </w:trPr>
        <w:tc>
          <w:tcPr/>
          <w:p w:rsidR="00000000" w:rsidDel="00000000" w:rsidP="00000000" w:rsidRDefault="00000000" w:rsidRPr="00000000" w14:paraId="000007E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Virtualización</w:t>
            </w:r>
            <w:r w:rsidDel="00000000" w:rsidR="00000000" w:rsidRPr="00000000">
              <w:rPr>
                <w:rtl w:val="0"/>
              </w:rPr>
            </w:r>
          </w:p>
        </w:tc>
        <w:tc>
          <w:tcPr/>
          <w:p w:rsidR="00000000" w:rsidDel="00000000" w:rsidP="00000000" w:rsidRDefault="00000000" w:rsidRPr="00000000" w14:paraId="000007E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Docker &amp; Docker Compose</w:t>
            </w:r>
            <w:r w:rsidDel="00000000" w:rsidR="00000000" w:rsidRPr="00000000">
              <w:rPr>
                <w:rtl w:val="0"/>
              </w:rPr>
            </w:r>
          </w:p>
        </w:tc>
        <w:tc>
          <w:tcPr/>
          <w:p w:rsidR="00000000" w:rsidDel="00000000" w:rsidP="00000000" w:rsidRDefault="00000000" w:rsidRPr="00000000" w14:paraId="000007E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26.x / 2.27+</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f172a"/>
                <w:sz w:val="17"/>
                <w:szCs w:val="17"/>
                <w:rtl w:val="0"/>
              </w:rPr>
              <w:t xml:space="preserve">(Apache 2.0)</w:t>
            </w:r>
            <w:r w:rsidDel="00000000" w:rsidR="00000000" w:rsidRPr="00000000">
              <w:rPr>
                <w:rtl w:val="0"/>
              </w:rPr>
            </w:r>
          </w:p>
        </w:tc>
        <w:tc>
          <w:tcPr/>
          <w:p w:rsidR="00000000" w:rsidDel="00000000" w:rsidP="00000000" w:rsidRDefault="00000000" w:rsidRPr="00000000" w14:paraId="000007E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Contenerización multi-etapa y orquestación de servicios.</w:t>
            </w:r>
            <w:r w:rsidDel="00000000" w:rsidR="00000000" w:rsidRPr="00000000">
              <w:rPr>
                <w:rtl w:val="0"/>
              </w:rPr>
            </w:r>
          </w:p>
        </w:tc>
        <w:tc>
          <w:tcPr/>
          <w:p w:rsidR="00000000" w:rsidDel="00000000" w:rsidP="00000000" w:rsidRDefault="00000000" w:rsidRPr="00000000" w14:paraId="000007E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Aislamiento estricto de dependencias; despliegue reproducible en hardware institucional cliente.</w:t>
            </w:r>
            <w:r w:rsidDel="00000000" w:rsidR="00000000" w:rsidRPr="00000000">
              <w:rPr>
                <w:rtl w:val="0"/>
              </w:rPr>
            </w:r>
          </w:p>
        </w:tc>
        <w:tc>
          <w:tcPr/>
          <w:p w:rsidR="00000000" w:rsidDel="00000000" w:rsidP="00000000" w:rsidRDefault="00000000" w:rsidRPr="00000000" w14:paraId="000007F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RNF-02, RNF-03, RNF-04</w:t>
            </w:r>
            <w:r w:rsidDel="00000000" w:rsidR="00000000" w:rsidRPr="00000000">
              <w:rPr>
                <w:rtl w:val="0"/>
              </w:rPr>
            </w:r>
          </w:p>
        </w:tc>
      </w:tr>
    </w:tbl>
    <w:p w:rsidR="00000000" w:rsidDel="00000000" w:rsidP="00000000" w:rsidRDefault="00000000" w:rsidRPr="00000000" w14:paraId="000007F1">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Nota. La totalidad del software adoptado corresponde a estándares abiertos con licenciamiento permisivo (MIT, BSD, Apache 2.0, PostgreSQL, PSF), garantizando que no se introducen regalías comerciales ni restricciones que obstaculicen la explotación del arnés o la transferencia de propiedad intelectual.</w:t>
      </w:r>
      <w:r w:rsidDel="00000000" w:rsidR="00000000" w:rsidRPr="00000000">
        <w:rPr>
          <w:rtl w:val="0"/>
        </w:rPr>
      </w:r>
    </w:p>
    <w:p w:rsidR="00000000" w:rsidDel="00000000" w:rsidP="00000000" w:rsidRDefault="00000000" w:rsidRPr="00000000" w14:paraId="000007F2">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Tabla X.10</w:t>
      </w:r>
      <w:r w:rsidDel="00000000" w:rsidR="00000000" w:rsidRPr="00000000">
        <w:rPr>
          <w:rtl w:val="0"/>
        </w:rPr>
      </w:r>
    </w:p>
    <w:p w:rsidR="00000000" w:rsidDel="00000000" w:rsidP="00000000" w:rsidRDefault="00000000" w:rsidRPr="00000000" w14:paraId="000007F3">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Matriz de Alternativas Tecnológicas Evaluadas y Descartadas (Art. 21.º R.R. 97/23)</w:t>
      </w:r>
      <w:r w:rsidDel="00000000" w:rsidR="00000000" w:rsidRPr="00000000">
        <w:rPr>
          <w:rtl w:val="0"/>
        </w:rPr>
      </w:r>
    </w:p>
    <w:tbl>
      <w:tblPr>
        <w:tblStyle w:val="Table67"/>
        <w:tblW w:w="8505.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1701"/>
        <w:gridCol w:w="1701"/>
        <w:gridCol w:w="1701"/>
        <w:gridCol w:w="1701"/>
        <w:gridCol w:w="1701"/>
        <w:tblGridChange w:id="0">
          <w:tblGrid>
            <w:gridCol w:w="1701"/>
            <w:gridCol w:w="1701"/>
            <w:gridCol w:w="1701"/>
            <w:gridCol w:w="1701"/>
            <w:gridCol w:w="1701"/>
          </w:tblGrid>
        </w:tblGridChange>
      </w:tblGrid>
      <w:tr>
        <w:trPr>
          <w:cantSplit w:val="1"/>
          <w:tblHeader w:val="1"/>
        </w:trPr>
        <w:tc>
          <w:tcPr>
            <w:shd w:fill="f1f5f9" w:val="clear"/>
          </w:tcPr>
          <w:p w:rsidR="00000000" w:rsidDel="00000000" w:rsidP="00000000" w:rsidRDefault="00000000" w:rsidRPr="00000000" w14:paraId="000007F4">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Categoría Técnica</w:t>
            </w:r>
            <w:r w:rsidDel="00000000" w:rsidR="00000000" w:rsidRPr="00000000">
              <w:rPr>
                <w:rtl w:val="0"/>
              </w:rPr>
            </w:r>
          </w:p>
        </w:tc>
        <w:tc>
          <w:tcPr>
            <w:shd w:fill="f1f5f9" w:val="clear"/>
          </w:tcPr>
          <w:p w:rsidR="00000000" w:rsidDel="00000000" w:rsidP="00000000" w:rsidRDefault="00000000" w:rsidRPr="00000000" w14:paraId="000007F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Tecnología Evaluada y Descartada</w:t>
            </w:r>
            <w:r w:rsidDel="00000000" w:rsidR="00000000" w:rsidRPr="00000000">
              <w:rPr>
                <w:rtl w:val="0"/>
              </w:rPr>
            </w:r>
          </w:p>
        </w:tc>
        <w:tc>
          <w:tcPr>
            <w:shd w:fill="f1f5f9" w:val="clear"/>
          </w:tcPr>
          <w:p w:rsidR="00000000" w:rsidDel="00000000" w:rsidP="00000000" w:rsidRDefault="00000000" w:rsidRPr="00000000" w14:paraId="000007F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Tecnología Adoptada en su Reemplazo</w:t>
            </w:r>
            <w:r w:rsidDel="00000000" w:rsidR="00000000" w:rsidRPr="00000000">
              <w:rPr>
                <w:rtl w:val="0"/>
              </w:rPr>
            </w:r>
          </w:p>
        </w:tc>
        <w:tc>
          <w:tcPr>
            <w:shd w:fill="f1f5f9" w:val="clear"/>
          </w:tcPr>
          <w:p w:rsidR="00000000" w:rsidDel="00000000" w:rsidP="00000000" w:rsidRDefault="00000000" w:rsidRPr="00000000" w14:paraId="000007F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Criterios de Descarte (Técnico, Económico, Operativo)</w:t>
            </w:r>
            <w:r w:rsidDel="00000000" w:rsidR="00000000" w:rsidRPr="00000000">
              <w:rPr>
                <w:rtl w:val="0"/>
              </w:rPr>
            </w:r>
          </w:p>
        </w:tc>
        <w:tc>
          <w:tcPr>
            <w:shd w:fill="f1f5f9" w:val="clear"/>
          </w:tcPr>
          <w:p w:rsidR="00000000" w:rsidDel="00000000" w:rsidP="00000000" w:rsidRDefault="00000000" w:rsidRPr="00000000" w14:paraId="000007F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Impacto en el Proyecto y Alcance del MVP</w:t>
            </w:r>
            <w:r w:rsidDel="00000000" w:rsidR="00000000" w:rsidRPr="00000000">
              <w:rPr>
                <w:rtl w:val="0"/>
              </w:rPr>
            </w:r>
          </w:p>
        </w:tc>
      </w:tr>
      <w:tr>
        <w:trPr>
          <w:cantSplit w:val="1"/>
          <w:tblHeader w:val="0"/>
        </w:trPr>
        <w:tc>
          <w:tcPr/>
          <w:p w:rsidR="00000000" w:rsidDel="00000000" w:rsidP="00000000" w:rsidRDefault="00000000" w:rsidRPr="00000000" w14:paraId="000007F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Lenguaje Backend</w:t>
            </w:r>
            <w:r w:rsidDel="00000000" w:rsidR="00000000" w:rsidRPr="00000000">
              <w:rPr>
                <w:rtl w:val="0"/>
              </w:rPr>
            </w:r>
          </w:p>
        </w:tc>
        <w:tc>
          <w:tcPr/>
          <w:p w:rsidR="00000000" w:rsidDel="00000000" w:rsidP="00000000" w:rsidRDefault="00000000" w:rsidRPr="00000000" w14:paraId="000007F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Java / Spring Boot</w:t>
            </w:r>
            <w:r w:rsidDel="00000000" w:rsidR="00000000" w:rsidRPr="00000000">
              <w:rPr>
                <w:rtl w:val="0"/>
              </w:rPr>
            </w:r>
          </w:p>
        </w:tc>
        <w:tc>
          <w:tcPr/>
          <w:p w:rsidR="00000000" w:rsidDel="00000000" w:rsidP="00000000" w:rsidRDefault="00000000" w:rsidRPr="00000000" w14:paraId="000007F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Python 3.12</w:t>
            </w:r>
            <w:r w:rsidDel="00000000" w:rsidR="00000000" w:rsidRPr="00000000">
              <w:rPr>
                <w:rtl w:val="0"/>
              </w:rPr>
            </w:r>
          </w:p>
        </w:tc>
        <w:tc>
          <w:tcPr/>
          <w:p w:rsidR="00000000" w:rsidDel="00000000" w:rsidP="00000000" w:rsidRDefault="00000000" w:rsidRPr="00000000" w14:paraId="000007F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Inexistencia de librerías satelitales y cognitivas abiertas de vanguardia; sobrecarga de memoria RAM (&gt; 1 GB base); mayor tiempo de desarrollo.</w:t>
            </w:r>
            <w:r w:rsidDel="00000000" w:rsidR="00000000" w:rsidRPr="00000000">
              <w:rPr>
                <w:rtl w:val="0"/>
              </w:rPr>
            </w:r>
          </w:p>
        </w:tc>
        <w:tc>
          <w:tcPr/>
          <w:p w:rsidR="00000000" w:rsidDel="00000000" w:rsidP="00000000" w:rsidRDefault="00000000" w:rsidRPr="00000000" w14:paraId="000007F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Evita una penalización de más de 80 horas de ingeniería en configuración ceremonial de componentes.</w:t>
            </w:r>
            <w:r w:rsidDel="00000000" w:rsidR="00000000" w:rsidRPr="00000000">
              <w:rPr>
                <w:rtl w:val="0"/>
              </w:rPr>
            </w:r>
          </w:p>
        </w:tc>
      </w:tr>
      <w:tr>
        <w:trPr>
          <w:cantSplit w:val="1"/>
          <w:tblHeader w:val="0"/>
        </w:trPr>
        <w:tc>
          <w:tcPr/>
          <w:p w:rsidR="00000000" w:rsidDel="00000000" w:rsidP="00000000" w:rsidRDefault="00000000" w:rsidRPr="00000000" w14:paraId="000007F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Lenguaje Backend</w:t>
            </w:r>
            <w:r w:rsidDel="00000000" w:rsidR="00000000" w:rsidRPr="00000000">
              <w:rPr>
                <w:rtl w:val="0"/>
              </w:rPr>
            </w:r>
          </w:p>
        </w:tc>
        <w:tc>
          <w:tcPr/>
          <w:p w:rsidR="00000000" w:rsidDel="00000000" w:rsidP="00000000" w:rsidRDefault="00000000" w:rsidRPr="00000000" w14:paraId="000007F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Go (Golang)</w:t>
            </w:r>
            <w:r w:rsidDel="00000000" w:rsidR="00000000" w:rsidRPr="00000000">
              <w:rPr>
                <w:rtl w:val="0"/>
              </w:rPr>
            </w:r>
          </w:p>
        </w:tc>
        <w:tc>
          <w:tcPr/>
          <w:p w:rsidR="00000000" w:rsidDel="00000000" w:rsidP="00000000" w:rsidRDefault="00000000" w:rsidRPr="00000000" w14:paraId="0000080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Python 3.12</w:t>
            </w:r>
            <w:r w:rsidDel="00000000" w:rsidR="00000000" w:rsidRPr="00000000">
              <w:rPr>
                <w:rtl w:val="0"/>
              </w:rPr>
            </w:r>
          </w:p>
        </w:tc>
        <w:tc>
          <w:tcPr/>
          <w:p w:rsidR="00000000" w:rsidDel="00000000" w:rsidP="00000000" w:rsidRDefault="00000000" w:rsidRPr="00000000" w14:paraId="0000080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Inmadurez crítica para álgebra simbólica y modelado ontológico espacial; ecosistema científico reducido.</w:t>
            </w:r>
            <w:r w:rsidDel="00000000" w:rsidR="00000000" w:rsidRPr="00000000">
              <w:rPr>
                <w:rtl w:val="0"/>
              </w:rPr>
            </w:r>
          </w:p>
        </w:tc>
        <w:tc>
          <w:tcPr/>
          <w:p w:rsidR="00000000" w:rsidDel="00000000" w:rsidP="00000000" w:rsidRDefault="00000000" w:rsidRPr="00000000" w14:paraId="0000080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Asegura la formulación analítica exacta de restricciones de balance energético con SymPy.</w:t>
            </w:r>
            <w:r w:rsidDel="00000000" w:rsidR="00000000" w:rsidRPr="00000000">
              <w:rPr>
                <w:rtl w:val="0"/>
              </w:rPr>
            </w:r>
          </w:p>
        </w:tc>
      </w:tr>
      <w:tr>
        <w:trPr>
          <w:cantSplit w:val="1"/>
          <w:tblHeader w:val="0"/>
        </w:trPr>
        <w:tc>
          <w:tcPr/>
          <w:p w:rsidR="00000000" w:rsidDel="00000000" w:rsidP="00000000" w:rsidRDefault="00000000" w:rsidRPr="00000000" w14:paraId="0000080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Framework Web</w:t>
            </w:r>
            <w:r w:rsidDel="00000000" w:rsidR="00000000" w:rsidRPr="00000000">
              <w:rPr>
                <w:rtl w:val="0"/>
              </w:rPr>
            </w:r>
          </w:p>
        </w:tc>
        <w:tc>
          <w:tcPr/>
          <w:p w:rsidR="00000000" w:rsidDel="00000000" w:rsidP="00000000" w:rsidRDefault="00000000" w:rsidRPr="00000000" w14:paraId="0000080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Django / REST Framework</w:t>
            </w:r>
            <w:r w:rsidDel="00000000" w:rsidR="00000000" w:rsidRPr="00000000">
              <w:rPr>
                <w:rtl w:val="0"/>
              </w:rPr>
            </w:r>
          </w:p>
        </w:tc>
        <w:tc>
          <w:tcPr/>
          <w:p w:rsidR="00000000" w:rsidDel="00000000" w:rsidP="00000000" w:rsidRDefault="00000000" w:rsidRPr="00000000" w14:paraId="0000080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FastAPI + Uvicorn</w:t>
            </w:r>
            <w:r w:rsidDel="00000000" w:rsidR="00000000" w:rsidRPr="00000000">
              <w:rPr>
                <w:rtl w:val="0"/>
              </w:rPr>
            </w:r>
          </w:p>
        </w:tc>
        <w:tc>
          <w:tcPr/>
          <w:p w:rsidR="00000000" w:rsidDel="00000000" w:rsidP="00000000" w:rsidRDefault="00000000" w:rsidRPr="00000000" w14:paraId="0000080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Monolito de gran porte con componentes acoplados no requeridos; latencia adicional en serialización; asincronía no nativa.</w:t>
            </w:r>
            <w:r w:rsidDel="00000000" w:rsidR="00000000" w:rsidRPr="00000000">
              <w:rPr>
                <w:rtl w:val="0"/>
              </w:rPr>
            </w:r>
          </w:p>
        </w:tc>
        <w:tc>
          <w:tcPr/>
          <w:p w:rsidR="00000000" w:rsidDel="00000000" w:rsidP="00000000" w:rsidRDefault="00000000" w:rsidRPr="00000000" w14:paraId="0000080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Reduce el consumo de recursos y agiliza la generación automatizada de contratos de interfaz OpenAPI.</w:t>
            </w:r>
            <w:r w:rsidDel="00000000" w:rsidR="00000000" w:rsidRPr="00000000">
              <w:rPr>
                <w:rtl w:val="0"/>
              </w:rPr>
            </w:r>
          </w:p>
        </w:tc>
      </w:tr>
      <w:tr>
        <w:trPr>
          <w:cantSplit w:val="1"/>
          <w:tblHeader w:val="0"/>
        </w:trPr>
        <w:tc>
          <w:tcPr/>
          <w:p w:rsidR="00000000" w:rsidDel="00000000" w:rsidP="00000000" w:rsidRDefault="00000000" w:rsidRPr="00000000" w14:paraId="0000080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Simulación Física</w:t>
            </w:r>
            <w:r w:rsidDel="00000000" w:rsidR="00000000" w:rsidRPr="00000000">
              <w:rPr>
                <w:rtl w:val="0"/>
              </w:rPr>
            </w:r>
          </w:p>
        </w:tc>
        <w:tc>
          <w:tcPr/>
          <w:p w:rsidR="00000000" w:rsidDel="00000000" w:rsidP="00000000" w:rsidRDefault="00000000" w:rsidRPr="00000000" w14:paraId="0000080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Ansys STK</w:t>
            </w:r>
            <w:r w:rsidDel="00000000" w:rsidR="00000000" w:rsidRPr="00000000">
              <w:rPr>
                <w:rtl w:val="0"/>
              </w:rPr>
            </w:r>
          </w:p>
        </w:tc>
        <w:tc>
          <w:tcPr/>
          <w:p w:rsidR="00000000" w:rsidDel="00000000" w:rsidP="00000000" w:rsidRDefault="00000000" w:rsidRPr="00000000" w14:paraId="0000080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Motor analítico propio (NumPy, SciPy, Poliastro)</w:t>
            </w:r>
            <w:r w:rsidDel="00000000" w:rsidR="00000000" w:rsidRPr="00000000">
              <w:rPr>
                <w:rtl w:val="0"/>
              </w:rPr>
            </w:r>
          </w:p>
        </w:tc>
        <w:tc>
          <w:tcPr/>
          <w:p w:rsidR="00000000" w:rsidDel="00000000" w:rsidP="00000000" w:rsidRDefault="00000000" w:rsidRPr="00000000" w14:paraId="0000080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Licenciamiento comercial cerrado privativo (&gt; USD 25.000/año); dependencia externa; incompatibilidad con software libre.</w:t>
            </w:r>
            <w:r w:rsidDel="00000000" w:rsidR="00000000" w:rsidRPr="00000000">
              <w:rPr>
                <w:rtl w:val="0"/>
              </w:rPr>
            </w:r>
          </w:p>
        </w:tc>
        <w:tc>
          <w:tcPr/>
          <w:p w:rsidR="00000000" w:rsidDel="00000000" w:rsidP="00000000" w:rsidRDefault="00000000" w:rsidRPr="00000000" w14:paraId="0000080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Otorga soberanía técnica absoluta, explicabilidad algorítmica sin caja negra y costo de licencia cero (0).</w:t>
            </w:r>
            <w:r w:rsidDel="00000000" w:rsidR="00000000" w:rsidRPr="00000000">
              <w:rPr>
                <w:rtl w:val="0"/>
              </w:rPr>
            </w:r>
          </w:p>
        </w:tc>
      </w:tr>
      <w:tr>
        <w:trPr>
          <w:cantSplit w:val="1"/>
          <w:tblHeader w:val="0"/>
        </w:trPr>
        <w:tc>
          <w:tcPr/>
          <w:p w:rsidR="00000000" w:rsidDel="00000000" w:rsidP="00000000" w:rsidRDefault="00000000" w:rsidRPr="00000000" w14:paraId="0000080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Simulación Física</w:t>
            </w:r>
            <w:r w:rsidDel="00000000" w:rsidR="00000000" w:rsidRPr="00000000">
              <w:rPr>
                <w:rtl w:val="0"/>
              </w:rPr>
            </w:r>
          </w:p>
        </w:tc>
        <w:tc>
          <w:tcPr/>
          <w:p w:rsidR="00000000" w:rsidDel="00000000" w:rsidP="00000000" w:rsidRDefault="00000000" w:rsidRPr="00000000" w14:paraId="0000080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MATLAB / Simulink</w:t>
            </w:r>
            <w:r w:rsidDel="00000000" w:rsidR="00000000" w:rsidRPr="00000000">
              <w:rPr>
                <w:rtl w:val="0"/>
              </w:rPr>
            </w:r>
          </w:p>
        </w:tc>
        <w:tc>
          <w:tcPr/>
          <w:p w:rsidR="00000000" w:rsidDel="00000000" w:rsidP="00000000" w:rsidRDefault="00000000" w:rsidRPr="00000000" w14:paraId="0000080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Motor analítico propio en Python</w:t>
            </w:r>
            <w:r w:rsidDel="00000000" w:rsidR="00000000" w:rsidRPr="00000000">
              <w:rPr>
                <w:rtl w:val="0"/>
              </w:rPr>
            </w:r>
          </w:p>
        </w:tc>
        <w:tc>
          <w:tcPr/>
          <w:p w:rsidR="00000000" w:rsidDel="00000000" w:rsidP="00000000" w:rsidRDefault="00000000" w:rsidRPr="00000000" w14:paraId="0000081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Requiere licencias de runtime de pago para clientes; dificultades de integración con APIs de IA y Docker.</w:t>
            </w:r>
            <w:r w:rsidDel="00000000" w:rsidR="00000000" w:rsidRPr="00000000">
              <w:rPr>
                <w:rtl w:val="0"/>
              </w:rPr>
            </w:r>
          </w:p>
        </w:tc>
        <w:tc>
          <w:tcPr/>
          <w:p w:rsidR="00000000" w:rsidDel="00000000" w:rsidP="00000000" w:rsidRDefault="00000000" w:rsidRPr="00000000" w14:paraId="0000081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Permite el empaquetamiento contenerizado ligero y distribución directa a universidades sin costos anexos.</w:t>
            </w:r>
            <w:r w:rsidDel="00000000" w:rsidR="00000000" w:rsidRPr="00000000">
              <w:rPr>
                <w:rtl w:val="0"/>
              </w:rPr>
            </w:r>
          </w:p>
        </w:tc>
      </w:tr>
      <w:tr>
        <w:trPr>
          <w:cantSplit w:val="1"/>
          <w:tblHeader w:val="0"/>
        </w:trPr>
        <w:tc>
          <w:tcPr/>
          <w:p w:rsidR="00000000" w:rsidDel="00000000" w:rsidP="00000000" w:rsidRDefault="00000000" w:rsidRPr="00000000" w14:paraId="0000081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Persistencia</w:t>
            </w:r>
            <w:r w:rsidDel="00000000" w:rsidR="00000000" w:rsidRPr="00000000">
              <w:rPr>
                <w:rtl w:val="0"/>
              </w:rPr>
            </w:r>
          </w:p>
        </w:tc>
        <w:tc>
          <w:tcPr/>
          <w:p w:rsidR="00000000" w:rsidDel="00000000" w:rsidP="00000000" w:rsidRDefault="00000000" w:rsidRPr="00000000" w14:paraId="0000081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Neo4j (Base de Grafos)</w:t>
            </w:r>
            <w:r w:rsidDel="00000000" w:rsidR="00000000" w:rsidRPr="00000000">
              <w:rPr>
                <w:rtl w:val="0"/>
              </w:rPr>
            </w:r>
          </w:p>
        </w:tc>
        <w:tc>
          <w:tcPr/>
          <w:p w:rsidR="00000000" w:rsidDel="00000000" w:rsidP="00000000" w:rsidRDefault="00000000" w:rsidRPr="00000000" w14:paraId="0000081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SQLite 3 (WAL) / PostgreSQL</w:t>
            </w:r>
            <w:r w:rsidDel="00000000" w:rsidR="00000000" w:rsidRPr="00000000">
              <w:rPr>
                <w:rtl w:val="0"/>
              </w:rPr>
            </w:r>
          </w:p>
        </w:tc>
        <w:tc>
          <w:tcPr/>
          <w:p w:rsidR="00000000" w:rsidDel="00000000" w:rsidP="00000000" w:rsidRDefault="00000000" w:rsidRPr="00000000" w14:paraId="0000081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Excesivo consumo de recursos (requiere 4 a 8 GB de RAM dedicados para la JVM); complejidad de administración.</w:t>
            </w:r>
            <w:r w:rsidDel="00000000" w:rsidR="00000000" w:rsidRPr="00000000">
              <w:rPr>
                <w:rtl w:val="0"/>
              </w:rPr>
            </w:r>
          </w:p>
        </w:tc>
        <w:tc>
          <w:tcPr/>
          <w:p w:rsidR="00000000" w:rsidDel="00000000" w:rsidP="00000000" w:rsidRDefault="00000000" w:rsidRPr="00000000" w14:paraId="0000081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Permite la ejecución fluida en la estación portátil auditada (16 GB RAM) y portabilidad a estaciones terrenas.</w:t>
            </w:r>
            <w:r w:rsidDel="00000000" w:rsidR="00000000" w:rsidRPr="00000000">
              <w:rPr>
                <w:rtl w:val="0"/>
              </w:rPr>
            </w:r>
          </w:p>
        </w:tc>
      </w:tr>
      <w:tr>
        <w:trPr>
          <w:cantSplit w:val="1"/>
          <w:tblHeader w:val="0"/>
        </w:trPr>
        <w:tc>
          <w:tcPr/>
          <w:p w:rsidR="00000000" w:rsidDel="00000000" w:rsidP="00000000" w:rsidRDefault="00000000" w:rsidRPr="00000000" w14:paraId="0000081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Persistencia</w:t>
            </w:r>
            <w:r w:rsidDel="00000000" w:rsidR="00000000" w:rsidRPr="00000000">
              <w:rPr>
                <w:rtl w:val="0"/>
              </w:rPr>
            </w:r>
          </w:p>
        </w:tc>
        <w:tc>
          <w:tcPr/>
          <w:p w:rsidR="00000000" w:rsidDel="00000000" w:rsidP="00000000" w:rsidRDefault="00000000" w:rsidRPr="00000000" w14:paraId="0000081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MongoDB (NoSQL)</w:t>
            </w:r>
            <w:r w:rsidDel="00000000" w:rsidR="00000000" w:rsidRPr="00000000">
              <w:rPr>
                <w:rtl w:val="0"/>
              </w:rPr>
            </w:r>
          </w:p>
        </w:tc>
        <w:tc>
          <w:tcPr/>
          <w:p w:rsidR="00000000" w:rsidDel="00000000" w:rsidP="00000000" w:rsidRDefault="00000000" w:rsidRPr="00000000" w14:paraId="0000081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SQLite 3 / PostgreSQL (SQLAlchemy)</w:t>
            </w:r>
            <w:r w:rsidDel="00000000" w:rsidR="00000000" w:rsidRPr="00000000">
              <w:rPr>
                <w:rtl w:val="0"/>
              </w:rPr>
            </w:r>
          </w:p>
        </w:tc>
        <w:tc>
          <w:tcPr/>
          <w:p w:rsidR="00000000" w:rsidDel="00000000" w:rsidP="00000000" w:rsidRDefault="00000000" w:rsidRPr="00000000" w14:paraId="0000081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Ausencia de restricciones transaccionales ACID rígidas y de integridad referencial entre componentes satelitales.</w:t>
            </w:r>
            <w:r w:rsidDel="00000000" w:rsidR="00000000" w:rsidRPr="00000000">
              <w:rPr>
                <w:rtl w:val="0"/>
              </w:rPr>
            </w:r>
          </w:p>
        </w:tc>
        <w:tc>
          <w:tcPr/>
          <w:p w:rsidR="00000000" w:rsidDel="00000000" w:rsidP="00000000" w:rsidRDefault="00000000" w:rsidRPr="00000000" w14:paraId="0000081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Previene inconsistencias en balances de potencia y parámetros críticos de interfaces de subsistemas (ICDs).</w:t>
            </w:r>
            <w:r w:rsidDel="00000000" w:rsidR="00000000" w:rsidRPr="00000000">
              <w:rPr>
                <w:rtl w:val="0"/>
              </w:rPr>
            </w:r>
          </w:p>
        </w:tc>
      </w:tr>
      <w:tr>
        <w:trPr>
          <w:cantSplit w:val="1"/>
          <w:tblHeader w:val="0"/>
        </w:trPr>
        <w:tc>
          <w:tcPr/>
          <w:p w:rsidR="00000000" w:rsidDel="00000000" w:rsidP="00000000" w:rsidRDefault="00000000" w:rsidRPr="00000000" w14:paraId="0000081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Inferencia IA</w:t>
            </w:r>
            <w:r w:rsidDel="00000000" w:rsidR="00000000" w:rsidRPr="00000000">
              <w:rPr>
                <w:rtl w:val="0"/>
              </w:rPr>
            </w:r>
          </w:p>
        </w:tc>
        <w:tc>
          <w:tcPr/>
          <w:p w:rsidR="00000000" w:rsidDel="00000000" w:rsidP="00000000" w:rsidRDefault="00000000" w:rsidRPr="00000000" w14:paraId="0000081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Inferencia Centralizada con absorción de tokens</w:t>
            </w:r>
            <w:r w:rsidDel="00000000" w:rsidR="00000000" w:rsidRPr="00000000">
              <w:rPr>
                <w:rtl w:val="0"/>
              </w:rPr>
            </w:r>
          </w:p>
        </w:tc>
        <w:tc>
          <w:tcPr/>
          <w:p w:rsidR="00000000" w:rsidDel="00000000" w:rsidP="00000000" w:rsidRDefault="00000000" w:rsidRPr="00000000" w14:paraId="0000081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Arquitectura Híbrida (Local Ollama / BYOK)</w:t>
            </w:r>
            <w:r w:rsidDel="00000000" w:rsidR="00000000" w:rsidRPr="00000000">
              <w:rPr>
                <w:rtl w:val="0"/>
              </w:rPr>
            </w:r>
          </w:p>
        </w:tc>
        <w:tc>
          <w:tcPr/>
          <w:p w:rsidR="00000000" w:rsidDel="00000000" w:rsidP="00000000" w:rsidRDefault="00000000" w:rsidRPr="00000000" w14:paraId="0000081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Riesgo financiero ilimitado por consumo variable; colisión crítica con el secreto industrial aeroespacial de clientes.</w:t>
            </w:r>
            <w:r w:rsidDel="00000000" w:rsidR="00000000" w:rsidRPr="00000000">
              <w:rPr>
                <w:rtl w:val="0"/>
              </w:rPr>
            </w:r>
          </w:p>
        </w:tc>
        <w:tc>
          <w:tcPr/>
          <w:p w:rsidR="00000000" w:rsidDel="00000000" w:rsidP="00000000" w:rsidRDefault="00000000" w:rsidRPr="00000000" w14:paraId="0000082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Reduce a cero (0 USD) el costo marginal directo para la startup y blinda la confidencialidad de misiones.</w:t>
            </w:r>
            <w:r w:rsidDel="00000000" w:rsidR="00000000" w:rsidRPr="00000000">
              <w:rPr>
                <w:rtl w:val="0"/>
              </w:rPr>
            </w:r>
          </w:p>
        </w:tc>
      </w:tr>
      <w:tr>
        <w:trPr>
          <w:cantSplit w:val="1"/>
          <w:tblHeader w:val="0"/>
        </w:trPr>
        <w:tc>
          <w:tcPr/>
          <w:p w:rsidR="00000000" w:rsidDel="00000000" w:rsidP="00000000" w:rsidRDefault="00000000" w:rsidRPr="00000000" w14:paraId="0000082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Inferencia IA</w:t>
            </w:r>
            <w:r w:rsidDel="00000000" w:rsidR="00000000" w:rsidRPr="00000000">
              <w:rPr>
                <w:rtl w:val="0"/>
              </w:rPr>
            </w:r>
          </w:p>
        </w:tc>
        <w:tc>
          <w:tcPr/>
          <w:p w:rsidR="00000000" w:rsidDel="00000000" w:rsidP="00000000" w:rsidRDefault="00000000" w:rsidRPr="00000000" w14:paraId="0000082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Modelos Locales SLM (&lt; 3B parámetros)</w:t>
            </w:r>
            <w:r w:rsidDel="00000000" w:rsidR="00000000" w:rsidRPr="00000000">
              <w:rPr>
                <w:rtl w:val="0"/>
              </w:rPr>
            </w:r>
          </w:p>
        </w:tc>
        <w:tc>
          <w:tcPr/>
          <w:p w:rsidR="00000000" w:rsidDel="00000000" w:rsidP="00000000" w:rsidRDefault="00000000" w:rsidRPr="00000000" w14:paraId="0000082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Modelos 7-8B (Llama 3 / Qwen 2.5) y BYOK</w:t>
            </w:r>
            <w:r w:rsidDel="00000000" w:rsidR="00000000" w:rsidRPr="00000000">
              <w:rPr>
                <w:rtl w:val="0"/>
              </w:rPr>
            </w:r>
          </w:p>
        </w:tc>
        <w:tc>
          <w:tcPr/>
          <w:p w:rsidR="00000000" w:rsidDel="00000000" w:rsidP="00000000" w:rsidRDefault="00000000" w:rsidRPr="00000000" w14:paraId="0000082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Frecuentes alucinaciones en normas técnicas complejas; incapacidad de adherencia a esquemas JSON estrictos.</w:t>
            </w:r>
            <w:r w:rsidDel="00000000" w:rsidR="00000000" w:rsidRPr="00000000">
              <w:rPr>
                <w:rtl w:val="0"/>
              </w:rPr>
            </w:r>
          </w:p>
        </w:tc>
        <w:tc>
          <w:tcPr/>
          <w:p w:rsidR="00000000" w:rsidDel="00000000" w:rsidP="00000000" w:rsidRDefault="00000000" w:rsidRPr="00000000" w14:paraId="0000082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Garantiza la validez formal de los diagnósticos y respuestas técnicas emitidas por el arnés cognitivo.</w:t>
            </w:r>
            <w:r w:rsidDel="00000000" w:rsidR="00000000" w:rsidRPr="00000000">
              <w:rPr>
                <w:rtl w:val="0"/>
              </w:rPr>
            </w:r>
          </w:p>
        </w:tc>
      </w:tr>
      <w:tr>
        <w:trPr>
          <w:cantSplit w:val="1"/>
          <w:tblHeader w:val="0"/>
        </w:trPr>
        <w:tc>
          <w:tcPr/>
          <w:p w:rsidR="00000000" w:rsidDel="00000000" w:rsidP="00000000" w:rsidRDefault="00000000" w:rsidRPr="00000000" w14:paraId="0000082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Componentes UI</w:t>
            </w:r>
            <w:r w:rsidDel="00000000" w:rsidR="00000000" w:rsidRPr="00000000">
              <w:rPr>
                <w:rtl w:val="0"/>
              </w:rPr>
            </w:r>
          </w:p>
        </w:tc>
        <w:tc>
          <w:tcPr/>
          <w:p w:rsidR="00000000" w:rsidDel="00000000" w:rsidP="00000000" w:rsidRDefault="00000000" w:rsidRPr="00000000" w14:paraId="0000082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Material UI (MUI) / Ant Design (AntD)</w:t>
            </w:r>
            <w:r w:rsidDel="00000000" w:rsidR="00000000" w:rsidRPr="00000000">
              <w:rPr>
                <w:rtl w:val="0"/>
              </w:rPr>
            </w:r>
          </w:p>
        </w:tc>
        <w:tc>
          <w:tcPr/>
          <w:p w:rsidR="00000000" w:rsidDel="00000000" w:rsidP="00000000" w:rsidRDefault="00000000" w:rsidRPr="00000000" w14:paraId="0000082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shadcn/ui (Radix UI + Tailwind CSS)</w:t>
            </w:r>
            <w:r w:rsidDel="00000000" w:rsidR="00000000" w:rsidRPr="00000000">
              <w:rPr>
                <w:rtl w:val="0"/>
              </w:rPr>
            </w:r>
          </w:p>
        </w:tc>
        <w:tc>
          <w:tcPr/>
          <w:p w:rsidR="00000000" w:rsidDel="00000000" w:rsidP="00000000" w:rsidRDefault="00000000" w:rsidRPr="00000000" w14:paraId="0000082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Sobrecarga de bundle (&gt; 300 KB); procesamiento CSS-in-JS en runtime; rigidez para dashboards densos de ingeniería.</w:t>
            </w:r>
            <w:r w:rsidDel="00000000" w:rsidR="00000000" w:rsidRPr="00000000">
              <w:rPr>
                <w:rtl w:val="0"/>
              </w:rPr>
            </w:r>
          </w:p>
        </w:tc>
        <w:tc>
          <w:tcPr/>
          <w:p w:rsidR="00000000" w:rsidDel="00000000" w:rsidP="00000000" w:rsidRDefault="00000000" w:rsidRPr="00000000" w14:paraId="0000082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Garantiza tiempos de carga ultrarrápidos (&lt; 1 s) y control total sobre el código de la interfaz sin lock-in.</w:t>
            </w:r>
            <w:r w:rsidDel="00000000" w:rsidR="00000000" w:rsidRPr="00000000">
              <w:rPr>
                <w:rtl w:val="0"/>
              </w:rPr>
            </w:r>
          </w:p>
        </w:tc>
      </w:tr>
      <w:tr>
        <w:trPr>
          <w:cantSplit w:val="1"/>
          <w:tblHeader w:val="0"/>
        </w:trPr>
        <w:tc>
          <w:tcPr/>
          <w:p w:rsidR="00000000" w:rsidDel="00000000" w:rsidP="00000000" w:rsidRDefault="00000000" w:rsidRPr="00000000" w14:paraId="0000082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Interfaz Usuario</w:t>
            </w:r>
            <w:r w:rsidDel="00000000" w:rsidR="00000000" w:rsidRPr="00000000">
              <w:rPr>
                <w:rtl w:val="0"/>
              </w:rPr>
            </w:r>
          </w:p>
        </w:tc>
        <w:tc>
          <w:tcPr/>
          <w:p w:rsidR="00000000" w:rsidDel="00000000" w:rsidP="00000000" w:rsidRDefault="00000000" w:rsidRPr="00000000" w14:paraId="0000082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Electron Desktop</w:t>
            </w:r>
            <w:r w:rsidDel="00000000" w:rsidR="00000000" w:rsidRPr="00000000">
              <w:rPr>
                <w:rtl w:val="0"/>
              </w:rPr>
            </w:r>
          </w:p>
        </w:tc>
        <w:tc>
          <w:tcPr/>
          <w:p w:rsidR="00000000" w:rsidDel="00000000" w:rsidP="00000000" w:rsidRDefault="00000000" w:rsidRPr="00000000" w14:paraId="0000082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React 18 + Vite Web + CLI Python</w:t>
            </w:r>
            <w:r w:rsidDel="00000000" w:rsidR="00000000" w:rsidRPr="00000000">
              <w:rPr>
                <w:rtl w:val="0"/>
              </w:rPr>
            </w:r>
          </w:p>
        </w:tc>
        <w:tc>
          <w:tcPr/>
          <w:p w:rsidR="00000000" w:rsidDel="00000000" w:rsidP="00000000" w:rsidRDefault="00000000" w:rsidRPr="00000000" w14:paraId="0000082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Alto consumo de memoria RAM (&gt; 400 MB adicionales por duplicación de Chromium); sobrecarga de mantenimiento.</w:t>
            </w:r>
            <w:r w:rsidDel="00000000" w:rsidR="00000000" w:rsidRPr="00000000">
              <w:rPr>
                <w:rtl w:val="0"/>
              </w:rPr>
            </w:r>
          </w:p>
        </w:tc>
        <w:tc>
          <w:tcPr/>
          <w:p w:rsidR="00000000" w:rsidDel="00000000" w:rsidP="00000000" w:rsidRDefault="00000000" w:rsidRPr="00000000" w14:paraId="0000082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Maximiza el rendimiento del sistema anfitrión y provee una CLI interactiva ágil para scripts de ingeniería.</w:t>
            </w:r>
            <w:r w:rsidDel="00000000" w:rsidR="00000000" w:rsidRPr="00000000">
              <w:rPr>
                <w:rtl w:val="0"/>
              </w:rPr>
            </w:r>
          </w:p>
        </w:tc>
      </w:tr>
      <w:tr>
        <w:trPr>
          <w:cantSplit w:val="1"/>
          <w:tblHeader w:val="0"/>
        </w:trPr>
        <w:tc>
          <w:tcPr/>
          <w:p w:rsidR="00000000" w:rsidDel="00000000" w:rsidP="00000000" w:rsidRDefault="00000000" w:rsidRPr="00000000" w14:paraId="00000830">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Interfaz Usuario</w:t>
            </w:r>
            <w:r w:rsidDel="00000000" w:rsidR="00000000" w:rsidRPr="00000000">
              <w:rPr>
                <w:rtl w:val="0"/>
              </w:rPr>
            </w:r>
          </w:p>
        </w:tc>
        <w:tc>
          <w:tcPr/>
          <w:p w:rsidR="00000000" w:rsidDel="00000000" w:rsidP="00000000" w:rsidRDefault="00000000" w:rsidRPr="00000000" w14:paraId="0000083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Streamlit / Gradio</w:t>
            </w:r>
            <w:r w:rsidDel="00000000" w:rsidR="00000000" w:rsidRPr="00000000">
              <w:rPr>
                <w:rtl w:val="0"/>
              </w:rPr>
            </w:r>
          </w:p>
        </w:tc>
        <w:tc>
          <w:tcPr/>
          <w:p w:rsidR="00000000" w:rsidDel="00000000" w:rsidP="00000000" w:rsidRDefault="00000000" w:rsidRPr="00000000" w14:paraId="0000083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React 18 + Vite (SPA)</w:t>
            </w:r>
            <w:r w:rsidDel="00000000" w:rsidR="00000000" w:rsidRPr="00000000">
              <w:rPr>
                <w:rtl w:val="0"/>
              </w:rPr>
            </w:r>
          </w:p>
        </w:tc>
        <w:tc>
          <w:tcPr/>
          <w:p w:rsidR="00000000" w:rsidDel="00000000" w:rsidP="00000000" w:rsidRDefault="00000000" w:rsidRPr="00000000" w14:paraId="0000083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Rigidez estructural; imposibilidad de diseñar dashboards densos de telemetría con control de estado complejo.</w:t>
            </w:r>
            <w:r w:rsidDel="00000000" w:rsidR="00000000" w:rsidRPr="00000000">
              <w:rPr>
                <w:rtl w:val="0"/>
              </w:rPr>
            </w:r>
          </w:p>
        </w:tc>
        <w:tc>
          <w:tcPr/>
          <w:p w:rsidR="00000000" w:rsidDel="00000000" w:rsidP="00000000" w:rsidRDefault="00000000" w:rsidRPr="00000000" w14:paraId="0000083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Asegura una experiencia de usuario profesional B2B Enterprise con componentes modulares desacoplados.</w:t>
            </w:r>
            <w:r w:rsidDel="00000000" w:rsidR="00000000" w:rsidRPr="00000000">
              <w:rPr>
                <w:rtl w:val="0"/>
              </w:rPr>
            </w:r>
          </w:p>
        </w:tc>
      </w:tr>
      <w:tr>
        <w:trPr>
          <w:cantSplit w:val="1"/>
          <w:tblHeader w:val="0"/>
        </w:trPr>
        <w:tc>
          <w:tcPr/>
          <w:p w:rsidR="00000000" w:rsidDel="00000000" w:rsidP="00000000" w:rsidRDefault="00000000" w:rsidRPr="00000000" w14:paraId="0000083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Despliegue</w:t>
            </w:r>
            <w:r w:rsidDel="00000000" w:rsidR="00000000" w:rsidRPr="00000000">
              <w:rPr>
                <w:rtl w:val="0"/>
              </w:rPr>
            </w:r>
          </w:p>
        </w:tc>
        <w:tc>
          <w:tcPr/>
          <w:p w:rsidR="00000000" w:rsidDel="00000000" w:rsidP="00000000" w:rsidRDefault="00000000" w:rsidRPr="00000000" w14:paraId="0000083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Instaladores de SO (.exe/.deb)</w:t>
            </w:r>
            <w:r w:rsidDel="00000000" w:rsidR="00000000" w:rsidRPr="00000000">
              <w:rPr>
                <w:rtl w:val="0"/>
              </w:rPr>
            </w:r>
          </w:p>
        </w:tc>
        <w:tc>
          <w:tcPr/>
          <w:p w:rsidR="00000000" w:rsidDel="00000000" w:rsidP="00000000" w:rsidRDefault="00000000" w:rsidRPr="00000000" w14:paraId="0000083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Contenedores Docker con Docker Compose</w:t>
            </w:r>
            <w:r w:rsidDel="00000000" w:rsidR="00000000" w:rsidRPr="00000000">
              <w:rPr>
                <w:rtl w:val="0"/>
              </w:rPr>
            </w:r>
          </w:p>
        </w:tc>
        <w:tc>
          <w:tcPr/>
          <w:p w:rsidR="00000000" w:rsidDel="00000000" w:rsidP="00000000" w:rsidRDefault="00000000" w:rsidRPr="00000000" w14:paraId="0000083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Fragilidad ante inconsistencias de bibliotecas de sistema, drivers y dependencias científicas heterogéneas.</w:t>
            </w:r>
            <w:r w:rsidDel="00000000" w:rsidR="00000000" w:rsidRPr="00000000">
              <w:rPr>
                <w:rtl w:val="0"/>
              </w:rPr>
            </w:r>
          </w:p>
        </w:tc>
        <w:tc>
          <w:tcPr/>
          <w:p w:rsidR="00000000" w:rsidDel="00000000" w:rsidP="00000000" w:rsidRDefault="00000000" w:rsidRPr="00000000" w14:paraId="0000083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Garantiza el funcionamiento idéntico en cualquier sistema operativo anfitrión (Linux, macOS, Windows).</w:t>
            </w:r>
            <w:r w:rsidDel="00000000" w:rsidR="00000000" w:rsidRPr="00000000">
              <w:rPr>
                <w:rtl w:val="0"/>
              </w:rPr>
            </w:r>
          </w:p>
        </w:tc>
      </w:tr>
      <w:tr>
        <w:trPr>
          <w:cantSplit w:val="1"/>
          <w:tblHeader w:val="0"/>
        </w:trPr>
        <w:tc>
          <w:tcPr/>
          <w:p w:rsidR="00000000" w:rsidDel="00000000" w:rsidP="00000000" w:rsidRDefault="00000000" w:rsidRPr="00000000" w14:paraId="0000083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Orquestación</w:t>
            </w:r>
            <w:r w:rsidDel="00000000" w:rsidR="00000000" w:rsidRPr="00000000">
              <w:rPr>
                <w:rtl w:val="0"/>
              </w:rPr>
            </w:r>
          </w:p>
        </w:tc>
        <w:tc>
          <w:tcPr/>
          <w:p w:rsidR="00000000" w:rsidDel="00000000" w:rsidP="00000000" w:rsidRDefault="00000000" w:rsidRPr="00000000" w14:paraId="0000083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Kubernetes (K8s)</w:t>
            </w:r>
            <w:r w:rsidDel="00000000" w:rsidR="00000000" w:rsidRPr="00000000">
              <w:rPr>
                <w:rtl w:val="0"/>
              </w:rPr>
            </w:r>
          </w:p>
        </w:tc>
        <w:tc>
          <w:tcPr/>
          <w:p w:rsidR="00000000" w:rsidDel="00000000" w:rsidP="00000000" w:rsidRDefault="00000000" w:rsidRPr="00000000" w14:paraId="0000083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Docker Compose</w:t>
            </w:r>
            <w:r w:rsidDel="00000000" w:rsidR="00000000" w:rsidRPr="00000000">
              <w:rPr>
                <w:rtl w:val="0"/>
              </w:rPr>
            </w:r>
          </w:p>
        </w:tc>
        <w:tc>
          <w:tcPr/>
          <w:p w:rsidR="00000000" w:rsidDel="00000000" w:rsidP="00000000" w:rsidRDefault="00000000" w:rsidRPr="00000000" w14:paraId="0000083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Complejidad de configuración desmedida (</w:t>
            </w:r>
            <w:r w:rsidDel="00000000" w:rsidR="00000000" w:rsidRPr="00000000">
              <w:rPr>
                <w:rFonts w:ascii="Times New Roman" w:cs="Times New Roman" w:eastAsia="Times New Roman" w:hAnsi="Times New Roman"/>
                <w:b w:val="0"/>
                <w:bCs w:val="0"/>
                <w:i w:val="1"/>
                <w:iCs w:val="1"/>
                <w:color w:val="0f172a"/>
                <w:sz w:val="17"/>
                <w:szCs w:val="17"/>
                <w:rtl w:val="0"/>
              </w:rPr>
              <w:t xml:space="preserve">overengineering</w:t>
            </w:r>
            <w:r w:rsidDel="00000000" w:rsidR="00000000" w:rsidRPr="00000000">
              <w:rPr>
                <w:rFonts w:ascii="Times New Roman" w:cs="Times New Roman" w:eastAsia="Times New Roman" w:hAnsi="Times New Roman"/>
                <w:b w:val="0"/>
                <w:bCs w:val="0"/>
                <w:i w:val="0"/>
                <w:iCs w:val="0"/>
                <w:color w:val="0f172a"/>
                <w:sz w:val="17"/>
                <w:szCs w:val="17"/>
                <w:rtl w:val="0"/>
              </w:rPr>
              <w:t xml:space="preserve">) para nodos locales o equipos de ingeniería satelital reducidos.</w:t>
            </w:r>
            <w:r w:rsidDel="00000000" w:rsidR="00000000" w:rsidRPr="00000000">
              <w:rPr>
                <w:rtl w:val="0"/>
              </w:rPr>
            </w:r>
          </w:p>
        </w:tc>
        <w:tc>
          <w:tcPr/>
          <w:p w:rsidR="00000000" w:rsidDel="00000000" w:rsidP="00000000" w:rsidRDefault="00000000" w:rsidRPr="00000000" w14:paraId="0000083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Mantiene una arquitectura operativa simple y mantenible dentro del presupuesto de horas del autor.</w:t>
            </w:r>
            <w:r w:rsidDel="00000000" w:rsidR="00000000" w:rsidRPr="00000000">
              <w:rPr>
                <w:rtl w:val="0"/>
              </w:rPr>
            </w:r>
          </w:p>
        </w:tc>
      </w:tr>
    </w:tbl>
    <w:p w:rsidR="00000000" w:rsidDel="00000000" w:rsidP="00000000" w:rsidRDefault="00000000" w:rsidRPr="00000000" w14:paraId="0000083F">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Nota. Las decisiones y criterios de descarte documentados en la presente tabla satisfacen estrictamente las directrices del Artículo 21.º de la Resolución Rectoral N.º 97/23, registrándose los debates técnicos de soporte en la Bitácora del proyecto.</w:t>
      </w:r>
      <w:r w:rsidDel="00000000" w:rsidR="00000000" w:rsidRPr="00000000">
        <w:rPr>
          <w:rtl w:val="0"/>
        </w:rPr>
      </w:r>
    </w:p>
    <w:p w:rsidR="00000000" w:rsidDel="00000000" w:rsidP="00000000" w:rsidRDefault="00000000" w:rsidRPr="00000000" w14:paraId="00000840">
      <w:pPr>
        <w:pStyle w:val="Heading2"/>
        <w:keepNext w:val="1"/>
        <w:rPr/>
      </w:pPr>
      <w:r w:rsidDel="00000000" w:rsidR="00000000" w:rsidRPr="00000000">
        <w:rPr>
          <w:rFonts w:ascii="Times New Roman" w:cs="Times New Roman" w:eastAsia="Times New Roman" w:hAnsi="Times New Roman"/>
          <w:b w:val="1"/>
          <w:bCs w:val="1"/>
          <w:i w:val="0"/>
          <w:iCs w:val="0"/>
          <w:color w:val="0f172a"/>
          <w:sz w:val="28"/>
          <w:szCs w:val="28"/>
          <w:rtl w:val="0"/>
        </w:rPr>
        <w:t xml:space="preserve">X.5 · Otros Recursos</w:t>
      </w:r>
      <w:r w:rsidDel="00000000" w:rsidR="00000000" w:rsidRPr="00000000">
        <w:rPr>
          <w:rtl w:val="0"/>
        </w:rPr>
      </w:r>
    </w:p>
    <w:p w:rsidR="00000000" w:rsidDel="00000000" w:rsidP="00000000" w:rsidRDefault="00000000" w:rsidRPr="00000000" w14:paraId="00000841">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La ejecución técnica y la validación empírica del proyecto CODI requieren un conjunto de recursos no computacionales e intangibles de alta especialización: el corpus normativo aeroespacial que nutre la base de conocimiento epistémica, los datasets y matrices de interfaz (ICD) de misiones satelitales en órbita baja (LEO) para la verificación determinística, los acuerdos de soporte institucional con centros espaciales de referencia y el protocolo psicométrico para medir la reducción de carga cognitiva en ingenieros de sistemas. En estricto cumplimiento del Artículo 21.º de la Resolución Rectoral N.º 97/23, estos recursos no se formulan como conceptos abstractos, sino como decisiones operativas fundamentadas en evidencias y estándares vigentes al ejercicio 2026, declarando explícitamente las alternativas evaluadas y descartadas en virtud de restricciones de reproducibilidad académica, soberanía técnica y secreto industrial.</w:t>
      </w:r>
      <w:r w:rsidDel="00000000" w:rsidR="00000000" w:rsidRPr="00000000">
        <w:rPr>
          <w:rtl w:val="0"/>
        </w:rPr>
      </w:r>
    </w:p>
    <w:p w:rsidR="00000000" w:rsidDel="00000000" w:rsidP="00000000" w:rsidRDefault="00000000" w:rsidRPr="00000000" w14:paraId="00000842">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Criterios de Selección y Descarte por Categoría de Recurso</w:t>
      </w:r>
      <w:r w:rsidDel="00000000" w:rsidR="00000000" w:rsidRPr="00000000">
        <w:rPr>
          <w:rtl w:val="0"/>
        </w:rPr>
      </w:r>
    </w:p>
    <w:p w:rsidR="00000000" w:rsidDel="00000000" w:rsidP="00000000" w:rsidRDefault="00000000" w:rsidRPr="00000000" w14:paraId="00000843">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1. Corpus de Estándares Normativos Aeroespaciales (Base de Conocimiento RAG)</w:t>
      </w:r>
      <w:r w:rsidDel="00000000" w:rsidR="00000000" w:rsidRPr="00000000">
        <w:rPr>
          <w:rtl w:val="0"/>
        </w:rPr>
      </w:r>
    </w:p>
    <w:p w:rsidR="00000000" w:rsidDel="00000000" w:rsidP="00000000" w:rsidRDefault="00000000" w:rsidRPr="00000000" w14:paraId="00000844">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Se adopta un corpus cerrado, curado y normalizado en texto estructurado (Markdown / JSON) compuesto por los estándares rectores de ingeniería espacial internacional:</w:t>
      </w:r>
      <w:r w:rsidDel="00000000" w:rsidR="00000000" w:rsidRPr="00000000">
        <w:rPr>
          <w:rtl w:val="0"/>
        </w:rPr>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Estándares de la Cooperación Europea para la Estandarización Espacial (ECSS)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ECSS-E-ST-20C</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(Ingeniería Eléctrica y Electrónica, base de las reglas de balance y márgenes EPS), </w:t>
      </w: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ECSS-E-ST-10-06C</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(Especificación de requisitos técnicos) y </w:t>
      </w: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ECSS-Q-ST-80C</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(Aseguramiento de calidad de software espacial).</w:t>
      </w:r>
      <w:r w:rsidDel="00000000" w:rsidR="00000000" w:rsidRPr="00000000">
        <w:rPr>
          <w:rtl w:val="0"/>
        </w:rPr>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Estándares de la NASA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NASA SP-2016-6105 Rev 2</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NASA Systems Engineering Handbook</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definición de márgenes de diseño por fase de proyecto) y el reporte técnico </w:t>
      </w: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NASA/TP-20220000000</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Small Spacecraft Technology State of the Art</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Estándar de Arquitectura CubeSat</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CubeSat Design Specification (CDS) REV 14.1</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emitido por la Universidad Politécnica Estatal de California (Cal Poly SLO), rector para envolventes mecánicas, restricciones de masa y buses eléctricos estandarizados de 1U a 3U.</w:t>
      </w:r>
      <w:r w:rsidDel="00000000" w:rsidR="00000000" w:rsidRPr="00000000">
        <w:rPr>
          <w:rtl w:val="0"/>
        </w:rPr>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Alternativas evaluadas y descartadas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Indexación Abierta y Dinámica mediante Web Scraping</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evalúa la consulta directa a repositorios en línea mediante agentes autónomos de navegación, pero se descarta categóricamente debido al riesgo de alucinación normativa, la absorción de borradores o versiones derogadas de estándares espaciales y la inviabilidad operativa en estaciones terrenas con conectividad intermitente o entornos de trabajo aislados de la red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air-gapped</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RNF-02, RNF-04).</w:t>
      </w:r>
      <w:r w:rsidDel="00000000" w:rsidR="00000000" w:rsidRPr="00000000">
        <w:rPr>
          <w:rtl w:val="0"/>
        </w:rPr>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Uso Exclusivo de Normas Militares (MIL-STD)</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evalúan normas como MIL-STD-1553 o MIL-HDBK-217, pero se descartan por su marcada obsolescencia para satélites miniaturizados modernos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NewSpace</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su excesiva rigidez que penaliza proyectos universitarios ágiles y su desalineación con las directrices abiertas del socio de diseño (CTA-UNLP).</w:t>
      </w:r>
      <w:r w:rsidDel="00000000" w:rsidR="00000000" w:rsidRPr="00000000">
        <w:rPr>
          <w:rtl w:val="0"/>
        </w:rPr>
      </w:r>
    </w:p>
    <w:p w:rsidR="00000000" w:rsidDel="00000000" w:rsidP="00000000" w:rsidRDefault="00000000" w:rsidRPr="00000000" w14:paraId="0000084B">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2. Datasets de Misiones Satelitales CubeSat y Modelos de Interfaz (Ground Truth)</w:t>
      </w:r>
      <w:r w:rsidDel="00000000" w:rsidR="00000000" w:rsidRPr="00000000">
        <w:rPr>
          <w:rtl w:val="0"/>
        </w:rPr>
      </w:r>
    </w:p>
    <w:p w:rsidR="00000000" w:rsidDel="00000000" w:rsidP="00000000" w:rsidRDefault="00000000" w:rsidRPr="00000000" w14:paraId="0000084C">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Para el entrenamiento y calibración del arnés determinístico (motor EPS y analizador de ICDs) se estructura un banco de datos fáctico derivado de dos fuentes empíricas:</w:t>
      </w:r>
      <w:r w:rsidDel="00000000" w:rsidR="00000000" w:rsidRPr="00000000">
        <w:rPr>
          <w:rtl w:val="0"/>
        </w:rPr>
      </w:r>
    </w:p>
    <w:p w:rsidR="00000000" w:rsidDel="00000000" w:rsidP="00000000" w:rsidRDefault="00000000" w:rsidRPr="00000000" w14:paraId="000008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Caso de Prueba de Misión Universitaria Nacional (CTA-UNLP)</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Modelos de componentes reales y parámetros de telemetría de satélites CubeSat 3U provistos por el Centro Tecnológico Aeroespacial de la Universidad Nacional de La Plata, abarcando consumos por modo de operación (detumble, nominal, carga útil, comunicación en estación terrena) y curvas de descarga de celdas Li-Ion en bus no regulado.</w:t>
      </w:r>
      <w:r w:rsidDel="00000000" w:rsidR="00000000" w:rsidRPr="00000000">
        <w:rPr>
          <w:rtl w:val="0"/>
        </w:rPr>
      </w:r>
    </w:p>
    <w:p w:rsidR="00000000" w:rsidDel="00000000" w:rsidP="00000000" w:rsidRDefault="00000000" w:rsidRPr="00000000" w14:paraId="000008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Benchmark Científico de El Hachimi et al. (2025)</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Dataset de casos de uso satelitales en órbita LEO polar sincrónica al sol (SSO a 500 km de altitud), utilizado como patrón de contraste para la verificación de perfiles de eclipse y balances de potencia fotovoltaica.</w:t>
      </w:r>
      <w:r w:rsidDel="00000000" w:rsidR="00000000" w:rsidRPr="00000000">
        <w:rPr>
          <w:rtl w:val="0"/>
        </w:rPr>
      </w:r>
    </w:p>
    <w:p w:rsidR="00000000" w:rsidDel="00000000" w:rsidP="00000000" w:rsidRDefault="00000000" w:rsidRPr="00000000" w14:paraId="000008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Matrices de Definición de Interfaces (ICDs sintéticos normalizados)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Conjunto de 10 archivos JSON que describen subsistemas típicos (OBC, EPS, ADCS, TTC, Payload multiespectral) con matrices de compatibilidad de voltajes (3.3V, 5V, 12V y bus de batería) y restricciones térmicas.</w:t>
      </w:r>
      <w:r w:rsidDel="00000000" w:rsidR="00000000" w:rsidRPr="00000000">
        <w:rPr>
          <w:rtl w:val="0"/>
        </w:rPr>
      </w:r>
    </w:p>
    <w:p w:rsidR="00000000" w:rsidDel="00000000" w:rsidP="00000000" w:rsidRDefault="00000000" w:rsidRPr="00000000" w14:paraId="000008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Alternativas evaluadas y descartadas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Telemetría Bruta de Constelaciones Comerciales Privadas (Planet Labs / Spire)</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evalúa solicitar registros reales de vuelo a operadores comerciales, pero se descarta taxativamente debido a las restricciones legales impuestas por las regulaciones internacionales sobre tráfico de armas y tecnologías de doble uso (ITAR/EAR), las cuales exigirían acuerdos de no divulgación que impedirían la publicación, evaluación abierta y defensa académica del Proyecto Integrador Final.</w:t>
      </w:r>
      <w:r w:rsidDel="00000000" w:rsidR="00000000" w:rsidRPr="00000000">
        <w:rPr>
          <w:rtl w:val="0"/>
        </w:rPr>
      </w:r>
    </w:p>
    <w:p w:rsidR="00000000" w:rsidDel="00000000" w:rsidP="00000000" w:rsidRDefault="00000000" w:rsidRPr="00000000" w14:paraId="000008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Datasets Puramente Aleatorios o Ficticios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evalúa generar telemetría simulada sin anclaje en componentes comerciales fuera de catálogo (COTS), pero se descarta porque invalidaría la comprobación del Caso de Uso CU-01 frente a fallas reales de bus, privando al sistema de valor formativo y de transferencia tecnológica concreta.</w:t>
      </w:r>
      <w:r w:rsidDel="00000000" w:rsidR="00000000" w:rsidRPr="00000000">
        <w:rPr>
          <w:rtl w:val="0"/>
        </w:rPr>
      </w:r>
    </w:p>
    <w:p w:rsidR="00000000" w:rsidDel="00000000" w:rsidP="00000000" w:rsidRDefault="00000000" w:rsidRPr="00000000" w14:paraId="00000853">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3. Soporte Institucional y Enlace con el Socio de Diseño (</w:t>
      </w:r>
      <w:r w:rsidDel="00000000" w:rsidR="00000000" w:rsidRPr="00000000">
        <w:rPr>
          <w:rFonts w:ascii="Times New Roman" w:cs="Times New Roman" w:eastAsia="Times New Roman" w:hAnsi="Times New Roman"/>
          <w:b w:val="1"/>
          <w:bCs w:val="1"/>
          <w:i w:val="1"/>
          <w:iCs w:val="1"/>
          <w:color w:val="0f172a"/>
          <w:sz w:val="24"/>
          <w:szCs w:val="24"/>
          <w:rtl w:val="0"/>
        </w:rPr>
        <w:t xml:space="preserve">Design Partner</w:t>
      </w:r>
      <w:r w:rsidDel="00000000" w:rsidR="00000000" w:rsidRPr="00000000">
        <w:rPr>
          <w:rFonts w:ascii="Times New Roman" w:cs="Times New Roman" w:eastAsia="Times New Roman" w:hAnsi="Times New Roman"/>
          <w:b w:val="1"/>
          <w:bCs w:val="1"/>
          <w:i w:val="0"/>
          <w:iCs w:val="0"/>
          <w:color w:val="0f172a"/>
          <w:sz w:val="24"/>
          <w:szCs w:val="24"/>
          <w:rtl w:val="0"/>
        </w:rPr>
        <w:t xml:space="preserve">)</w:t>
      </w:r>
      <w:r w:rsidDel="00000000" w:rsidR="00000000" w:rsidRPr="00000000">
        <w:rPr>
          <w:rtl w:val="0"/>
        </w:rPr>
      </w:r>
    </w:p>
    <w:p w:rsidR="00000000" w:rsidDel="00000000" w:rsidP="00000000" w:rsidRDefault="00000000" w:rsidRPr="00000000" w14:paraId="00000854">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Se articula un esquema de colaboración técnica formal con el </w:t>
      </w:r>
      <w:r w:rsidDel="00000000" w:rsidR="00000000" w:rsidRPr="00000000">
        <w:rPr>
          <w:rFonts w:ascii="Times New Roman" w:cs="Times New Roman" w:eastAsia="Times New Roman" w:hAnsi="Times New Roman"/>
          <w:b w:val="1"/>
          <w:bCs w:val="1"/>
          <w:i w:val="0"/>
          <w:iCs w:val="0"/>
          <w:color w:val="0f172a"/>
          <w:sz w:val="24"/>
          <w:szCs w:val="24"/>
          <w:rtl w:val="0"/>
        </w:rPr>
        <w:t xml:space="preserve">Centro Tecnológico Aeroespacial de la Universidad Nacional de La Plata (CTA-UNLP)</w:t>
      </w:r>
      <w:r w:rsidDel="00000000" w:rsidR="00000000" w:rsidRPr="00000000">
        <w:rPr>
          <w:rFonts w:ascii="Times New Roman" w:cs="Times New Roman" w:eastAsia="Times New Roman" w:hAnsi="Times New Roman"/>
          <w:b w:val="0"/>
          <w:bCs w:val="0"/>
          <w:i w:val="0"/>
          <w:iCs w:val="0"/>
          <w:color w:val="0f172a"/>
          <w:sz w:val="24"/>
          <w:szCs w:val="24"/>
          <w:rtl w:val="0"/>
        </w:rPr>
        <w:t xml:space="preserve">, actuando como </w:t>
      </w:r>
      <w:r w:rsidDel="00000000" w:rsidR="00000000" w:rsidRPr="00000000">
        <w:rPr>
          <w:rFonts w:ascii="Times New Roman" w:cs="Times New Roman" w:eastAsia="Times New Roman" w:hAnsi="Times New Roman"/>
          <w:b w:val="0"/>
          <w:bCs w:val="0"/>
          <w:i w:val="1"/>
          <w:iCs w:val="1"/>
          <w:color w:val="0f172a"/>
          <w:sz w:val="24"/>
          <w:szCs w:val="24"/>
          <w:rtl w:val="0"/>
        </w:rPr>
        <w:t xml:space="preserve">Design Partner</w:t>
      </w:r>
      <w:r w:rsidDel="00000000" w:rsidR="00000000" w:rsidRPr="00000000">
        <w:rPr>
          <w:rFonts w:ascii="Times New Roman" w:cs="Times New Roman" w:eastAsia="Times New Roman" w:hAnsi="Times New Roman"/>
          <w:b w:val="0"/>
          <w:bCs w:val="0"/>
          <w:i w:val="0"/>
          <w:iCs w:val="0"/>
          <w:color w:val="0f172a"/>
          <w:sz w:val="24"/>
          <w:szCs w:val="24"/>
          <w:rtl w:val="0"/>
        </w:rPr>
        <w:t xml:space="preserve"> y cliente ancla institucional del proyecto. La vinculación técnica se canaliza a través de la referente de dominio </w:t>
      </w:r>
      <w:r w:rsidDel="00000000" w:rsidR="00000000" w:rsidRPr="00000000">
        <w:rPr>
          <w:rFonts w:ascii="Times New Roman" w:cs="Times New Roman" w:eastAsia="Times New Roman" w:hAnsi="Times New Roman"/>
          <w:b w:val="1"/>
          <w:bCs w:val="1"/>
          <w:i w:val="0"/>
          <w:iCs w:val="0"/>
          <w:color w:val="0f172a"/>
          <w:sz w:val="24"/>
          <w:szCs w:val="24"/>
          <w:rtl w:val="0"/>
        </w:rPr>
        <w:t xml:space="preserve">Ing. Sonia Botta</w:t>
      </w:r>
      <w:r w:rsidDel="00000000" w:rsidR="00000000" w:rsidRPr="00000000">
        <w:rPr>
          <w:rFonts w:ascii="Times New Roman" w:cs="Times New Roman" w:eastAsia="Times New Roman" w:hAnsi="Times New Roman"/>
          <w:b w:val="0"/>
          <w:bCs w:val="0"/>
          <w:i w:val="0"/>
          <w:iCs w:val="0"/>
          <w:color w:val="0f172a"/>
          <w:sz w:val="24"/>
          <w:szCs w:val="24"/>
          <w:rtl w:val="0"/>
        </w:rPr>
        <w:t xml:space="preserve"> (Coordinadora de proyectos CubeSat en el CTA-UNLP), quien aporta:</w:t>
      </w:r>
      <w:r w:rsidDel="00000000" w:rsidR="00000000" w:rsidRPr="00000000">
        <w:rPr>
          <w:rtl w:val="0"/>
        </w:rPr>
      </w:r>
    </w:p>
    <w:p w:rsidR="00000000" w:rsidDel="00000000" w:rsidP="00000000" w:rsidRDefault="00000000" w:rsidRPr="00000000" w14:paraId="000008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Validación de aceptación de los casos de uso del prototipo (CU-01 a CU-06) en sesiones estructuradas de revisión técnica de diseño (Semanas 8 y 14 del cronograma).</w:t>
      </w:r>
      <w:r w:rsidDel="00000000" w:rsidR="00000000" w:rsidRPr="00000000">
        <w:rPr>
          <w:rtl w:val="0"/>
        </w:rPr>
      </w:r>
    </w:p>
    <w:p w:rsidR="00000000" w:rsidDel="00000000" w:rsidP="00000000" w:rsidRDefault="00000000" w:rsidRPr="00000000" w14:paraId="000008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Alternativas evaluadas y descartadas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Desarrollo Aislado sin Validación de Campo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evalúa prescindir de un socio de diseño institucional y basar la formulación exclusivamente en literatura abierta, pero se descarta por violar el principio de base fáctica exigido por el marco reglamentario del proyecto integrador, corriendo el riesgo de diseñar un arnés desconectado de las prácticas reales de los ingenieros de satélites argentinos.</w:t>
      </w:r>
      <w:r w:rsidDel="00000000" w:rsidR="00000000" w:rsidRPr="00000000">
        <w:rPr>
          <w:rtl w:val="0"/>
        </w:rPr>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Convenios con Agencias Internacionales (ESA / NASA)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descarta para la etapa de grado por la inviabilidad de los plazos burocráticos y la falta de canales directos de retroalimentación ágil en un ciclo de desarrollo de diez semanas.</w:t>
      </w:r>
      <w:r w:rsidDel="00000000" w:rsidR="00000000" w:rsidRPr="00000000">
        <w:rPr>
          <w:rtl w:val="0"/>
        </w:rPr>
      </w:r>
    </w:p>
    <w:p w:rsidR="00000000" w:rsidDel="00000000" w:rsidP="00000000" w:rsidRDefault="00000000" w:rsidRPr="00000000" w14:paraId="00000859">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4. Instrumentación Psicométrica de Validación Cognitiva (NASA-TLX)</w:t>
      </w:r>
      <w:r w:rsidDel="00000000" w:rsidR="00000000" w:rsidRPr="00000000">
        <w:rPr>
          <w:rtl w:val="0"/>
        </w:rPr>
      </w:r>
    </w:p>
    <w:p w:rsidR="00000000" w:rsidDel="00000000" w:rsidP="00000000" w:rsidRDefault="00000000" w:rsidRPr="00000000" w14:paraId="0000085A">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Para verificar objetivamente el cumplimiento del objetivo general del sistema (reducción de la carga cognitiva y fragmentación de información en un mínimo del 25% respecto al flujo tradicional sobre hojas de cálculo; RNF-01), se incorpora la metodología psicométrica estandarizada </w:t>
      </w:r>
      <w:r w:rsidDel="00000000" w:rsidR="00000000" w:rsidRPr="00000000">
        <w:rPr>
          <w:rFonts w:ascii="Times New Roman" w:cs="Times New Roman" w:eastAsia="Times New Roman" w:hAnsi="Times New Roman"/>
          <w:b w:val="1"/>
          <w:bCs w:val="1"/>
          <w:i w:val="0"/>
          <w:iCs w:val="0"/>
          <w:color w:val="0f172a"/>
          <w:sz w:val="24"/>
          <w:szCs w:val="24"/>
          <w:rtl w:val="0"/>
        </w:rPr>
        <w:t xml:space="preserve">NASA-TLX (Task Load Index)</w:t>
      </w:r>
      <w:r w:rsidDel="00000000" w:rsidR="00000000" w:rsidRPr="00000000">
        <w:rPr>
          <w:rFonts w:ascii="Times New Roman" w:cs="Times New Roman" w:eastAsia="Times New Roman" w:hAnsi="Times New Roman"/>
          <w:b w:val="0"/>
          <w:bCs w:val="0"/>
          <w:i w:val="0"/>
          <w:iCs w:val="0"/>
          <w:color w:val="0f172a"/>
          <w:sz w:val="24"/>
          <w:szCs w:val="24"/>
          <w:rtl w:val="0"/>
        </w:rPr>
        <w:t xml:space="preserve">:</w:t>
      </w:r>
      <w:r w:rsidDel="00000000" w:rsidR="00000000" w:rsidRPr="00000000">
        <w:rPr>
          <w:rtl w:val="0"/>
        </w:rPr>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Consiste en un protocolo experimental A/B que mide seis dimensiones psicométricas en escala continua de 0 a 100 puntos: Exigencia Mental, Exigencia Física, Exigencia Temporal, Rendimiento Propio, Esfuerzo y Frustración (Hart &amp; Staveland, 1988).</w:t>
      </w:r>
      <w:r w:rsidDel="00000000" w:rsidR="00000000" w:rsidRPr="00000000">
        <w:rPr>
          <w:rtl w:val="0"/>
        </w:rPr>
      </w:r>
    </w:p>
    <w:p w:rsidR="00000000" w:rsidDel="00000000" w:rsidP="00000000" w:rsidRDefault="00000000" w:rsidRPr="00000000" w14:paraId="000008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El ensayo compara el tiempo de diagnóstico y el índice de carga percibida en un grupo de ingenieros aeroespaciales sometidos a la resolución de dos fallas críticas de balance EPS: primero mediante hojas de cálculo Excel convencionales y luego asistidos por el arnés cognitivo CODI.</w:t>
      </w:r>
      <w:r w:rsidDel="00000000" w:rsidR="00000000" w:rsidRPr="00000000">
        <w:rPr>
          <w:rtl w:val="0"/>
        </w:rPr>
      </w:r>
    </w:p>
    <w:p w:rsidR="00000000" w:rsidDel="00000000" w:rsidP="00000000" w:rsidRDefault="00000000" w:rsidRPr="00000000" w14:paraId="000008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Alternativas evaluadas y descartadas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Encuestas Cualitativas Informales de Satisfacción</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evalúa aplicar formularios de preguntas subjetivas abiertas ("¿le pareció intuitiva la herramienta?"), pero se descartan categóricamente por su absoluta falta de rigor científico, su imposibilidad de arrojar una métrica cuantitativa verificable por terceros y su desalineación con el marco reglamentario del Proyecto Integrador Final (Resolución Rectoral N.º 97/23, Art. 21.º) para la formulación de proyectos de ingeniería.</w:t>
      </w:r>
      <w:r w:rsidDel="00000000" w:rsidR="00000000" w:rsidRPr="00000000">
        <w:rPr>
          <w:rtl w:val="0"/>
        </w:rPr>
      </w:r>
    </w:p>
    <w:p w:rsidR="00000000" w:rsidDel="00000000" w:rsidP="00000000" w:rsidRDefault="00000000" w:rsidRPr="00000000" w14:paraId="000008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Mediciones Fisiológicas por Sensores (Seguimiento Ocular o EEG)</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evalúa monitorear dilatación pupilar o señales electroencefalográficas durante el uso del software, pero se descarta por requerir equipamiento biomédico especializado y costoso no disponible en el presupuesto del proyecto, siendo el protocolo NASA-TLX el estándar aeroespacial globalmente aceptado para este propósito.</w:t>
      </w:r>
      <w:r w:rsidDel="00000000" w:rsidR="00000000" w:rsidRPr="00000000">
        <w:rPr>
          <w:rtl w:val="0"/>
        </w:rPr>
      </w:r>
    </w:p>
    <w:p w:rsidR="00000000" w:rsidDel="00000000" w:rsidP="00000000" w:rsidRDefault="00000000" w:rsidRPr="00000000" w14:paraId="00000860">
      <w:pPr>
        <w:pStyle w:val="Heading4"/>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5. Banco de Pruebas de Regresión y Aseguramiento de Calidad (</w:t>
      </w:r>
      <w:r w:rsidDel="00000000" w:rsidR="00000000" w:rsidRPr="00000000">
        <w:rPr>
          <w:rFonts w:ascii="Times New Roman" w:cs="Times New Roman" w:eastAsia="Times New Roman" w:hAnsi="Times New Roman"/>
          <w:b w:val="1"/>
          <w:bCs w:val="1"/>
          <w:i w:val="1"/>
          <w:iCs w:val="1"/>
          <w:color w:val="0f172a"/>
          <w:sz w:val="24"/>
          <w:szCs w:val="24"/>
          <w:rtl w:val="0"/>
        </w:rPr>
        <w:t xml:space="preserve">Harness de Testing</w:t>
      </w:r>
      <w:r w:rsidDel="00000000" w:rsidR="00000000" w:rsidRPr="00000000">
        <w:rPr>
          <w:rFonts w:ascii="Times New Roman" w:cs="Times New Roman" w:eastAsia="Times New Roman" w:hAnsi="Times New Roman"/>
          <w:b w:val="1"/>
          <w:bCs w:val="1"/>
          <w:i w:val="0"/>
          <w:iCs w:val="0"/>
          <w:color w:val="0f172a"/>
          <w:sz w:val="24"/>
          <w:szCs w:val="24"/>
          <w:rtl w:val="0"/>
        </w:rPr>
        <w:t xml:space="preserve">)</w:t>
      </w:r>
      <w:r w:rsidDel="00000000" w:rsidR="00000000" w:rsidRPr="00000000">
        <w:rPr>
          <w:rtl w:val="0"/>
        </w:rPr>
      </w:r>
    </w:p>
    <w:p w:rsidR="00000000" w:rsidDel="00000000" w:rsidP="00000000" w:rsidRDefault="00000000" w:rsidRPr="00000000" w14:paraId="00000861">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Se implementa una suite integral de aseguramiento de calidad sobre </w:t>
      </w:r>
      <w:r w:rsidDel="00000000" w:rsidR="00000000" w:rsidRPr="00000000">
        <w:rPr>
          <w:rFonts w:ascii="Times New Roman" w:cs="Times New Roman" w:eastAsia="Times New Roman" w:hAnsi="Times New Roman"/>
          <w:b w:val="1"/>
          <w:bCs w:val="1"/>
          <w:i w:val="0"/>
          <w:iCs w:val="0"/>
          <w:color w:val="0f172a"/>
          <w:sz w:val="24"/>
          <w:szCs w:val="24"/>
          <w:rtl w:val="0"/>
        </w:rPr>
        <w:t xml:space="preserve">pytest</w:t>
      </w:r>
      <w:r w:rsidDel="00000000" w:rsidR="00000000" w:rsidRPr="00000000">
        <w:rPr>
          <w:rFonts w:ascii="Times New Roman" w:cs="Times New Roman" w:eastAsia="Times New Roman" w:hAnsi="Times New Roman"/>
          <w:b w:val="0"/>
          <w:bCs w:val="0"/>
          <w:i w:val="0"/>
          <w:iCs w:val="0"/>
          <w:color w:val="0f172a"/>
          <w:sz w:val="24"/>
          <w:szCs w:val="24"/>
          <w:rtl w:val="0"/>
        </w:rPr>
        <w:t xml:space="preserve"> y </w:t>
      </w:r>
      <w:r w:rsidDel="00000000" w:rsidR="00000000" w:rsidRPr="00000000">
        <w:rPr>
          <w:rFonts w:ascii="Times New Roman" w:cs="Times New Roman" w:eastAsia="Times New Roman" w:hAnsi="Times New Roman"/>
          <w:b w:val="1"/>
          <w:bCs w:val="1"/>
          <w:i w:val="0"/>
          <w:iCs w:val="0"/>
          <w:color w:val="0f172a"/>
          <w:sz w:val="24"/>
          <w:szCs w:val="24"/>
          <w:rtl w:val="0"/>
        </w:rPr>
        <w:t xml:space="preserve">pytest-asyncio</w:t>
      </w:r>
      <w:r w:rsidDel="00000000" w:rsidR="00000000" w:rsidRPr="00000000">
        <w:rPr>
          <w:rFonts w:ascii="Times New Roman" w:cs="Times New Roman" w:eastAsia="Times New Roman" w:hAnsi="Times New Roman"/>
          <w:b w:val="0"/>
          <w:bCs w:val="0"/>
          <w:i w:val="0"/>
          <w:iCs w:val="0"/>
          <w:color w:val="0f172a"/>
          <w:sz w:val="24"/>
          <w:szCs w:val="24"/>
          <w:rtl w:val="0"/>
        </w:rPr>
        <w:t xml:space="preserve">, estructurada en tres niveles de verificación automática:</w:t>
      </w:r>
      <w:r w:rsidDel="00000000" w:rsidR="00000000" w:rsidRPr="00000000">
        <w:rPr>
          <w:rtl w:val="0"/>
        </w:rPr>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Pruebas Unitarias de Fórmulas Orbitales y Físicas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Verificación algorítmica de la tercera ley de Kepler, cálculo analítico de radiovector y determinación exacta de tiempos de iluminación y cono de sombra terrestre.</w:t>
      </w:r>
      <w:r w:rsidDel="00000000" w:rsidR="00000000" w:rsidRPr="00000000">
        <w:rPr>
          <w:rtl w:val="0"/>
        </w:rPr>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Pruebas de Invariantes de Balance EPS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24 casos de prueba parametrizados que evalúan violaciones a la regla de potencia nominal (RN-01), profundidad de descarga de batería superior al límite seguro del 30% en LEO (DoD &gt; 30%; RN-02) y discrepancias de bus eléctrico (RN-05).</w:t>
      </w:r>
      <w:r w:rsidDel="00000000" w:rsidR="00000000" w:rsidRPr="00000000">
        <w:rPr>
          <w:rtl w:val="0"/>
        </w:rPr>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Pruebas de Regresión de Contratos de Interfaz (ICD)</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Validación de que ningún cambio de esquema rompa la compatibilidad hacia atrás con los formatos de carga útil.</w:t>
      </w:r>
      <w:r w:rsidDel="00000000" w:rsidR="00000000" w:rsidRPr="00000000">
        <w:rPr>
          <w:rtl w:val="0"/>
        </w:rPr>
      </w:r>
    </w:p>
    <w:p w:rsidR="00000000" w:rsidDel="00000000" w:rsidP="00000000" w:rsidRDefault="00000000" w:rsidRPr="00000000" w14:paraId="000008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Alternativas evaluadas y descartadas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Verificación Manual Exclusiva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Se descarta por el riesgo de regresiones silenciosas en la formulación física y por contradecir la Definición de Terminado (DoD) que exige integración continua con cobertura de código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code coverage</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superior o igual al 80%.</w:t>
      </w:r>
      <w:r w:rsidDel="00000000" w:rsidR="00000000" w:rsidRPr="00000000">
        <w:rPr>
          <w:rtl w:val="0"/>
        </w:rPr>
      </w:r>
    </w:p>
    <w:p w:rsidR="00000000" w:rsidDel="00000000" w:rsidP="00000000" w:rsidRDefault="00000000" w:rsidRPr="00000000" w14:paraId="00000867">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Tabla X.11</w:t>
      </w:r>
      <w:r w:rsidDel="00000000" w:rsidR="00000000" w:rsidRPr="00000000">
        <w:rPr>
          <w:rtl w:val="0"/>
        </w:rPr>
      </w:r>
    </w:p>
    <w:p w:rsidR="00000000" w:rsidDel="00000000" w:rsidP="00000000" w:rsidRDefault="00000000" w:rsidRPr="00000000" w14:paraId="00000868">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Inventario y Especificación de Recursos de Información, Datos de Misión y Validación Institucional</w:t>
      </w:r>
      <w:r w:rsidDel="00000000" w:rsidR="00000000" w:rsidRPr="00000000">
        <w:rPr>
          <w:rtl w:val="0"/>
        </w:rPr>
      </w:r>
    </w:p>
    <w:tbl>
      <w:tblPr>
        <w:tblStyle w:val="Table68"/>
        <w:tblW w:w="8502.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1417"/>
        <w:gridCol w:w="1417"/>
        <w:gridCol w:w="1417"/>
        <w:gridCol w:w="1417"/>
        <w:gridCol w:w="1417"/>
        <w:gridCol w:w="1417"/>
        <w:tblGridChange w:id="0">
          <w:tblGrid>
            <w:gridCol w:w="1417"/>
            <w:gridCol w:w="1417"/>
            <w:gridCol w:w="1417"/>
            <w:gridCol w:w="1417"/>
            <w:gridCol w:w="1417"/>
            <w:gridCol w:w="1417"/>
          </w:tblGrid>
        </w:tblGridChange>
      </w:tblGrid>
      <w:tr>
        <w:trPr>
          <w:cantSplit w:val="1"/>
          <w:tblHeader w:val="1"/>
        </w:trPr>
        <w:tc>
          <w:tcPr>
            <w:shd w:fill="f1f5f9" w:val="clear"/>
          </w:tcPr>
          <w:p w:rsidR="00000000" w:rsidDel="00000000" w:rsidP="00000000" w:rsidRDefault="00000000" w:rsidRPr="00000000" w14:paraId="0000086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Categoría de Recurso</w:t>
            </w:r>
            <w:r w:rsidDel="00000000" w:rsidR="00000000" w:rsidRPr="00000000">
              <w:rPr>
                <w:rtl w:val="0"/>
              </w:rPr>
            </w:r>
          </w:p>
        </w:tc>
        <w:tc>
          <w:tcPr>
            <w:shd w:fill="f1f5f9" w:val="clear"/>
          </w:tcPr>
          <w:p w:rsidR="00000000" w:rsidDel="00000000" w:rsidP="00000000" w:rsidRDefault="00000000" w:rsidRPr="00000000" w14:paraId="0000086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Recurso Específico</w:t>
            </w:r>
            <w:r w:rsidDel="00000000" w:rsidR="00000000" w:rsidRPr="00000000">
              <w:rPr>
                <w:rtl w:val="0"/>
              </w:rPr>
            </w:r>
          </w:p>
        </w:tc>
        <w:tc>
          <w:tcPr>
            <w:shd w:fill="f1f5f9" w:val="clear"/>
          </w:tcPr>
          <w:p w:rsidR="00000000" w:rsidDel="00000000" w:rsidP="00000000" w:rsidRDefault="00000000" w:rsidRPr="00000000" w14:paraId="0000086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Entidad Emisora / Fuente</w:t>
            </w:r>
            <w:r w:rsidDel="00000000" w:rsidR="00000000" w:rsidRPr="00000000">
              <w:rPr>
                <w:rtl w:val="0"/>
              </w:rPr>
            </w:r>
          </w:p>
        </w:tc>
        <w:tc>
          <w:tcPr>
            <w:shd w:fill="f1f5f9" w:val="clear"/>
          </w:tcPr>
          <w:p w:rsidR="00000000" w:rsidDel="00000000" w:rsidP="00000000" w:rsidRDefault="00000000" w:rsidRPr="00000000" w14:paraId="0000086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Formato y Acceso</w:t>
            </w:r>
            <w:r w:rsidDel="00000000" w:rsidR="00000000" w:rsidRPr="00000000">
              <w:rPr>
                <w:rtl w:val="0"/>
              </w:rPr>
            </w:r>
          </w:p>
        </w:tc>
        <w:tc>
          <w:tcPr>
            <w:shd w:fill="f1f5f9" w:val="clear"/>
          </w:tcPr>
          <w:p w:rsidR="00000000" w:rsidDel="00000000" w:rsidP="00000000" w:rsidRDefault="00000000" w:rsidRPr="00000000" w14:paraId="0000086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Rol en la Arquitectura de CODI</w:t>
            </w:r>
            <w:r w:rsidDel="00000000" w:rsidR="00000000" w:rsidRPr="00000000">
              <w:rPr>
                <w:rtl w:val="0"/>
              </w:rPr>
            </w:r>
          </w:p>
        </w:tc>
        <w:tc>
          <w:tcPr>
            <w:shd w:fill="f1f5f9" w:val="clear"/>
          </w:tcPr>
          <w:p w:rsidR="00000000" w:rsidDel="00000000" w:rsidP="00000000" w:rsidRDefault="00000000" w:rsidRPr="00000000" w14:paraId="0000086E">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Requisitos y Casos de Uso Vinculados</w:t>
            </w:r>
            <w:r w:rsidDel="00000000" w:rsidR="00000000" w:rsidRPr="00000000">
              <w:rPr>
                <w:rtl w:val="0"/>
              </w:rPr>
            </w:r>
          </w:p>
        </w:tc>
      </w:tr>
      <w:tr>
        <w:trPr>
          <w:cantSplit w:val="1"/>
          <w:tblHeader w:val="0"/>
        </w:trPr>
        <w:tc>
          <w:tcPr/>
          <w:p w:rsidR="00000000" w:rsidDel="00000000" w:rsidP="00000000" w:rsidRDefault="00000000" w:rsidRPr="00000000" w14:paraId="0000086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Normativa Espacial</w:t>
            </w:r>
            <w:r w:rsidDel="00000000" w:rsidR="00000000" w:rsidRPr="00000000">
              <w:rPr>
                <w:rtl w:val="0"/>
              </w:rPr>
            </w:r>
          </w:p>
        </w:tc>
        <w:tc>
          <w:tcPr/>
          <w:p w:rsidR="00000000" w:rsidDel="00000000" w:rsidP="00000000" w:rsidRDefault="00000000" w:rsidRPr="00000000" w14:paraId="0000087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Estándar ECSS-E-ST-20C (Ingeniería Eléctrica)</w:t>
            </w:r>
            <w:r w:rsidDel="00000000" w:rsidR="00000000" w:rsidRPr="00000000">
              <w:rPr>
                <w:rtl w:val="0"/>
              </w:rPr>
            </w:r>
          </w:p>
        </w:tc>
        <w:tc>
          <w:tcPr/>
          <w:p w:rsidR="00000000" w:rsidDel="00000000" w:rsidP="00000000" w:rsidRDefault="00000000" w:rsidRPr="00000000" w14:paraId="0000087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ESA / ECSS (2019)</w:t>
            </w:r>
            <w:r w:rsidDel="00000000" w:rsidR="00000000" w:rsidRPr="00000000">
              <w:rPr>
                <w:rtl w:val="0"/>
              </w:rPr>
            </w:r>
          </w:p>
        </w:tc>
        <w:tc>
          <w:tcPr/>
          <w:p w:rsidR="00000000" w:rsidDel="00000000" w:rsidP="00000000" w:rsidRDefault="00000000" w:rsidRPr="00000000" w14:paraId="0000087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PDF / Texto procesado en Markdown estructurado</w:t>
            </w:r>
            <w:r w:rsidDel="00000000" w:rsidR="00000000" w:rsidRPr="00000000">
              <w:rPr>
                <w:rtl w:val="0"/>
              </w:rPr>
            </w:r>
          </w:p>
        </w:tc>
        <w:tc>
          <w:tcPr/>
          <w:p w:rsidR="00000000" w:rsidDel="00000000" w:rsidP="00000000" w:rsidRDefault="00000000" w:rsidRPr="00000000" w14:paraId="0000087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Reglas de balance de bus, márgenes de potencia y desrateo térmico.</w:t>
            </w:r>
            <w:r w:rsidDel="00000000" w:rsidR="00000000" w:rsidRPr="00000000">
              <w:rPr>
                <w:rtl w:val="0"/>
              </w:rPr>
            </w:r>
          </w:p>
        </w:tc>
        <w:tc>
          <w:tcPr/>
          <w:p w:rsidR="00000000" w:rsidDel="00000000" w:rsidP="00000000" w:rsidRDefault="00000000" w:rsidRPr="00000000" w14:paraId="0000087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RF-01, RF-03; RN-01, RN-02, RN-05; CU-01</w:t>
            </w:r>
            <w:r w:rsidDel="00000000" w:rsidR="00000000" w:rsidRPr="00000000">
              <w:rPr>
                <w:rtl w:val="0"/>
              </w:rPr>
            </w:r>
          </w:p>
        </w:tc>
      </w:tr>
      <w:tr>
        <w:trPr>
          <w:cantSplit w:val="1"/>
          <w:tblHeader w:val="0"/>
        </w:trPr>
        <w:tc>
          <w:tcPr/>
          <w:p w:rsidR="00000000" w:rsidDel="00000000" w:rsidP="00000000" w:rsidRDefault="00000000" w:rsidRPr="00000000" w14:paraId="00000875">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Normativa Espacial</w:t>
            </w:r>
            <w:r w:rsidDel="00000000" w:rsidR="00000000" w:rsidRPr="00000000">
              <w:rPr>
                <w:rtl w:val="0"/>
              </w:rPr>
            </w:r>
          </w:p>
        </w:tc>
        <w:tc>
          <w:tcPr/>
          <w:p w:rsidR="00000000" w:rsidDel="00000000" w:rsidP="00000000" w:rsidRDefault="00000000" w:rsidRPr="00000000" w14:paraId="0000087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NASA Systems Engineering Handbook (SP-2016-6105)</w:t>
            </w:r>
            <w:r w:rsidDel="00000000" w:rsidR="00000000" w:rsidRPr="00000000">
              <w:rPr>
                <w:rtl w:val="0"/>
              </w:rPr>
            </w:r>
          </w:p>
        </w:tc>
        <w:tc>
          <w:tcPr/>
          <w:p w:rsidR="00000000" w:rsidDel="00000000" w:rsidP="00000000" w:rsidRDefault="00000000" w:rsidRPr="00000000" w14:paraId="0000087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NASA (2016/2020)</w:t>
            </w:r>
            <w:r w:rsidDel="00000000" w:rsidR="00000000" w:rsidRPr="00000000">
              <w:rPr>
                <w:rtl w:val="0"/>
              </w:rPr>
            </w:r>
          </w:p>
        </w:tc>
        <w:tc>
          <w:tcPr/>
          <w:p w:rsidR="00000000" w:rsidDel="00000000" w:rsidP="00000000" w:rsidRDefault="00000000" w:rsidRPr="00000000" w14:paraId="0000087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Texto estructurado / Corpus indexado en SQLite</w:t>
            </w:r>
            <w:r w:rsidDel="00000000" w:rsidR="00000000" w:rsidRPr="00000000">
              <w:rPr>
                <w:rtl w:val="0"/>
              </w:rPr>
            </w:r>
          </w:p>
        </w:tc>
        <w:tc>
          <w:tcPr/>
          <w:p w:rsidR="00000000" w:rsidDel="00000000" w:rsidP="00000000" w:rsidRDefault="00000000" w:rsidRPr="00000000" w14:paraId="0000087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Definición de márgenes de diseño por madurez de fase de misión.</w:t>
            </w:r>
            <w:r w:rsidDel="00000000" w:rsidR="00000000" w:rsidRPr="00000000">
              <w:rPr>
                <w:rtl w:val="0"/>
              </w:rPr>
            </w:r>
          </w:p>
        </w:tc>
        <w:tc>
          <w:tcPr/>
          <w:p w:rsidR="00000000" w:rsidDel="00000000" w:rsidP="00000000" w:rsidRDefault="00000000" w:rsidRPr="00000000" w14:paraId="0000087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RF-05; RNF-01; CU-03, CU-05</w:t>
            </w:r>
            <w:r w:rsidDel="00000000" w:rsidR="00000000" w:rsidRPr="00000000">
              <w:rPr>
                <w:rtl w:val="0"/>
              </w:rPr>
            </w:r>
          </w:p>
        </w:tc>
      </w:tr>
      <w:tr>
        <w:trPr>
          <w:cantSplit w:val="1"/>
          <w:tblHeader w:val="0"/>
        </w:trPr>
        <w:tc>
          <w:tcPr/>
          <w:p w:rsidR="00000000" w:rsidDel="00000000" w:rsidP="00000000" w:rsidRDefault="00000000" w:rsidRPr="00000000" w14:paraId="0000087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Normativa Espacial</w:t>
            </w:r>
            <w:r w:rsidDel="00000000" w:rsidR="00000000" w:rsidRPr="00000000">
              <w:rPr>
                <w:rtl w:val="0"/>
              </w:rPr>
            </w:r>
          </w:p>
        </w:tc>
        <w:tc>
          <w:tcPr/>
          <w:p w:rsidR="00000000" w:rsidDel="00000000" w:rsidP="00000000" w:rsidRDefault="00000000" w:rsidRPr="00000000" w14:paraId="0000087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CubeSat Design Specification (CDS REV 14.1)</w:t>
            </w:r>
            <w:r w:rsidDel="00000000" w:rsidR="00000000" w:rsidRPr="00000000">
              <w:rPr>
                <w:rtl w:val="0"/>
              </w:rPr>
            </w:r>
          </w:p>
        </w:tc>
        <w:tc>
          <w:tcPr/>
          <w:p w:rsidR="00000000" w:rsidDel="00000000" w:rsidP="00000000" w:rsidRDefault="00000000" w:rsidRPr="00000000" w14:paraId="0000087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Cal Poly SLO (2022)</w:t>
            </w:r>
            <w:r w:rsidDel="00000000" w:rsidR="00000000" w:rsidRPr="00000000">
              <w:rPr>
                <w:rtl w:val="0"/>
              </w:rPr>
            </w:r>
          </w:p>
        </w:tc>
        <w:tc>
          <w:tcPr/>
          <w:p w:rsidR="00000000" w:rsidDel="00000000" w:rsidP="00000000" w:rsidRDefault="00000000" w:rsidRPr="00000000" w14:paraId="0000087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Documento abierto normativo</w:t>
            </w:r>
            <w:r w:rsidDel="00000000" w:rsidR="00000000" w:rsidRPr="00000000">
              <w:rPr>
                <w:rtl w:val="0"/>
              </w:rPr>
            </w:r>
          </w:p>
        </w:tc>
        <w:tc>
          <w:tcPr/>
          <w:p w:rsidR="00000000" w:rsidDel="00000000" w:rsidP="00000000" w:rsidRDefault="00000000" w:rsidRPr="00000000" w14:paraId="0000087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Restricciones de geometría física, envolvente 3U y despegue seguro.</w:t>
            </w:r>
            <w:r w:rsidDel="00000000" w:rsidR="00000000" w:rsidRPr="00000000">
              <w:rPr>
                <w:rtl w:val="0"/>
              </w:rPr>
            </w:r>
          </w:p>
        </w:tc>
        <w:tc>
          <w:tcPr/>
          <w:p w:rsidR="00000000" w:rsidDel="00000000" w:rsidP="00000000" w:rsidRDefault="00000000" w:rsidRPr="00000000" w14:paraId="0000088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RF-00, RF-02; RNF-03; CU-02</w:t>
            </w:r>
            <w:r w:rsidDel="00000000" w:rsidR="00000000" w:rsidRPr="00000000">
              <w:rPr>
                <w:rtl w:val="0"/>
              </w:rPr>
            </w:r>
          </w:p>
        </w:tc>
      </w:tr>
      <w:tr>
        <w:trPr>
          <w:cantSplit w:val="1"/>
          <w:tblHeader w:val="0"/>
        </w:trPr>
        <w:tc>
          <w:tcPr/>
          <w:p w:rsidR="00000000" w:rsidDel="00000000" w:rsidP="00000000" w:rsidRDefault="00000000" w:rsidRPr="00000000" w14:paraId="0000088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Datos de Misión</w:t>
            </w:r>
            <w:r w:rsidDel="00000000" w:rsidR="00000000" w:rsidRPr="00000000">
              <w:rPr>
                <w:rtl w:val="0"/>
              </w:rPr>
            </w:r>
          </w:p>
        </w:tc>
        <w:tc>
          <w:tcPr/>
          <w:p w:rsidR="00000000" w:rsidDel="00000000" w:rsidP="00000000" w:rsidRDefault="00000000" w:rsidRPr="00000000" w14:paraId="0000088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Parámetros de Diseño CubeSat 3U CTA</w:t>
            </w:r>
            <w:r w:rsidDel="00000000" w:rsidR="00000000" w:rsidRPr="00000000">
              <w:rPr>
                <w:rtl w:val="0"/>
              </w:rPr>
            </w:r>
          </w:p>
        </w:tc>
        <w:tc>
          <w:tcPr/>
          <w:p w:rsidR="00000000" w:rsidDel="00000000" w:rsidP="00000000" w:rsidRDefault="00000000" w:rsidRPr="00000000" w14:paraId="0000088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CTA-UNLP / Ing. Sonia Botta</w:t>
            </w:r>
            <w:r w:rsidDel="00000000" w:rsidR="00000000" w:rsidRPr="00000000">
              <w:rPr>
                <w:rtl w:val="0"/>
              </w:rPr>
            </w:r>
          </w:p>
        </w:tc>
        <w:tc>
          <w:tcPr/>
          <w:p w:rsidR="00000000" w:rsidDel="00000000" w:rsidP="00000000" w:rsidRDefault="00000000" w:rsidRPr="00000000" w14:paraId="0000088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Hojas de parámetros / Archivos ICD JSON</w:t>
            </w:r>
            <w:r w:rsidDel="00000000" w:rsidR="00000000" w:rsidRPr="00000000">
              <w:rPr>
                <w:rtl w:val="0"/>
              </w:rPr>
            </w:r>
          </w:p>
        </w:tc>
        <w:tc>
          <w:tcPr/>
          <w:p w:rsidR="00000000" w:rsidDel="00000000" w:rsidP="00000000" w:rsidRDefault="00000000" w:rsidRPr="00000000" w14:paraId="0000088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Caso de estudio fáctico real; componentes COTS y consumos de bus.</w:t>
            </w:r>
            <w:r w:rsidDel="00000000" w:rsidR="00000000" w:rsidRPr="00000000">
              <w:rPr>
                <w:rtl w:val="0"/>
              </w:rPr>
            </w:r>
          </w:p>
        </w:tc>
        <w:tc>
          <w:tcPr/>
          <w:p w:rsidR="00000000" w:rsidDel="00000000" w:rsidP="00000000" w:rsidRDefault="00000000" w:rsidRPr="00000000" w14:paraId="0000088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RF-00, RF-01, RF-04; CU-01, CU-04</w:t>
            </w:r>
            <w:r w:rsidDel="00000000" w:rsidR="00000000" w:rsidRPr="00000000">
              <w:rPr>
                <w:rtl w:val="0"/>
              </w:rPr>
            </w:r>
          </w:p>
        </w:tc>
      </w:tr>
      <w:tr>
        <w:trPr>
          <w:cantSplit w:val="1"/>
          <w:tblHeader w:val="0"/>
        </w:trPr>
        <w:tc>
          <w:tcPr/>
          <w:p w:rsidR="00000000" w:rsidDel="00000000" w:rsidP="00000000" w:rsidRDefault="00000000" w:rsidRPr="00000000" w14:paraId="0000088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Datos de Misión</w:t>
            </w:r>
            <w:r w:rsidDel="00000000" w:rsidR="00000000" w:rsidRPr="00000000">
              <w:rPr>
                <w:rtl w:val="0"/>
              </w:rPr>
            </w:r>
          </w:p>
        </w:tc>
        <w:tc>
          <w:tcPr/>
          <w:p w:rsidR="00000000" w:rsidDel="00000000" w:rsidP="00000000" w:rsidRDefault="00000000" w:rsidRPr="00000000" w14:paraId="0000088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Benchmark de Misiones LEO (El Hachimi et al., 2025)</w:t>
            </w:r>
            <w:r w:rsidDel="00000000" w:rsidR="00000000" w:rsidRPr="00000000">
              <w:rPr>
                <w:rtl w:val="0"/>
              </w:rPr>
            </w:r>
          </w:p>
        </w:tc>
        <w:tc>
          <w:tcPr/>
          <w:p w:rsidR="00000000" w:rsidDel="00000000" w:rsidP="00000000" w:rsidRDefault="00000000" w:rsidRPr="00000000" w14:paraId="0000088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Publicación Científica (2025)</w:t>
            </w:r>
            <w:r w:rsidDel="00000000" w:rsidR="00000000" w:rsidRPr="00000000">
              <w:rPr>
                <w:rtl w:val="0"/>
              </w:rPr>
            </w:r>
          </w:p>
        </w:tc>
        <w:tc>
          <w:tcPr/>
          <w:p w:rsidR="00000000" w:rsidDel="00000000" w:rsidP="00000000" w:rsidRDefault="00000000" w:rsidRPr="00000000" w14:paraId="0000088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Tablas normalizadas de telemetría</w:t>
            </w:r>
            <w:r w:rsidDel="00000000" w:rsidR="00000000" w:rsidRPr="00000000">
              <w:rPr>
                <w:rtl w:val="0"/>
              </w:rPr>
            </w:r>
          </w:p>
        </w:tc>
        <w:tc>
          <w:tcPr/>
          <w:p w:rsidR="00000000" w:rsidDel="00000000" w:rsidP="00000000" w:rsidRDefault="00000000" w:rsidRPr="00000000" w14:paraId="0000088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Patrón de calibración externa para órbitas heliosincrónicas LEO.</w:t>
            </w:r>
            <w:r w:rsidDel="00000000" w:rsidR="00000000" w:rsidRPr="00000000">
              <w:rPr>
                <w:rtl w:val="0"/>
              </w:rPr>
            </w:r>
          </w:p>
        </w:tc>
        <w:tc>
          <w:tcPr/>
          <w:p w:rsidR="00000000" w:rsidDel="00000000" w:rsidP="00000000" w:rsidRDefault="00000000" w:rsidRPr="00000000" w14:paraId="0000088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RF-02, RF-03; RNF-02; CU-01</w:t>
            </w:r>
            <w:r w:rsidDel="00000000" w:rsidR="00000000" w:rsidRPr="00000000">
              <w:rPr>
                <w:rtl w:val="0"/>
              </w:rPr>
            </w:r>
          </w:p>
        </w:tc>
      </w:tr>
      <w:tr>
        <w:trPr>
          <w:cantSplit w:val="1"/>
          <w:tblHeader w:val="0"/>
        </w:trPr>
        <w:tc>
          <w:tcPr/>
          <w:p w:rsidR="00000000" w:rsidDel="00000000" w:rsidP="00000000" w:rsidRDefault="00000000" w:rsidRPr="00000000" w14:paraId="0000088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Datos de Misión</w:t>
            </w:r>
            <w:r w:rsidDel="00000000" w:rsidR="00000000" w:rsidRPr="00000000">
              <w:rPr>
                <w:rtl w:val="0"/>
              </w:rPr>
            </w:r>
          </w:p>
        </w:tc>
        <w:tc>
          <w:tcPr/>
          <w:p w:rsidR="00000000" w:rsidDel="00000000" w:rsidP="00000000" w:rsidRDefault="00000000" w:rsidRPr="00000000" w14:paraId="0000088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Banco Sintético de ICDs de Subsistemas</w:t>
            </w:r>
            <w:r w:rsidDel="00000000" w:rsidR="00000000" w:rsidRPr="00000000">
              <w:rPr>
                <w:rtl w:val="0"/>
              </w:rPr>
            </w:r>
          </w:p>
        </w:tc>
        <w:tc>
          <w:tcPr/>
          <w:p w:rsidR="00000000" w:rsidDel="00000000" w:rsidP="00000000" w:rsidRDefault="00000000" w:rsidRPr="00000000" w14:paraId="0000088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Elaboración propia / CODI</w:t>
            </w:r>
            <w:r w:rsidDel="00000000" w:rsidR="00000000" w:rsidRPr="00000000">
              <w:rPr>
                <w:rtl w:val="0"/>
              </w:rPr>
            </w:r>
          </w:p>
        </w:tc>
        <w:tc>
          <w:tcPr/>
          <w:p w:rsidR="00000000" w:rsidDel="00000000" w:rsidP="00000000" w:rsidRDefault="00000000" w:rsidRPr="00000000" w14:paraId="0000089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10 esquemas JSON estructurados con Pydantic</w:t>
            </w:r>
            <w:r w:rsidDel="00000000" w:rsidR="00000000" w:rsidRPr="00000000">
              <w:rPr>
                <w:rtl w:val="0"/>
              </w:rPr>
            </w:r>
          </w:p>
        </w:tc>
        <w:tc>
          <w:tcPr/>
          <w:p w:rsidR="00000000" w:rsidDel="00000000" w:rsidP="00000000" w:rsidRDefault="00000000" w:rsidRPr="00000000" w14:paraId="0000089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Ingesta masiva de interfaces de subsistemas (OBC, EPS, ADCS, TTC).</w:t>
            </w:r>
            <w:r w:rsidDel="00000000" w:rsidR="00000000" w:rsidRPr="00000000">
              <w:rPr>
                <w:rtl w:val="0"/>
              </w:rPr>
            </w:r>
          </w:p>
        </w:tc>
        <w:tc>
          <w:tcPr/>
          <w:p w:rsidR="00000000" w:rsidDel="00000000" w:rsidP="00000000" w:rsidRDefault="00000000" w:rsidRPr="00000000" w14:paraId="0000089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RF-00, RF-08; RN-05; CU-02</w:t>
            </w:r>
            <w:r w:rsidDel="00000000" w:rsidR="00000000" w:rsidRPr="00000000">
              <w:rPr>
                <w:rtl w:val="0"/>
              </w:rPr>
            </w:r>
          </w:p>
        </w:tc>
      </w:tr>
      <w:tr>
        <w:trPr>
          <w:cantSplit w:val="1"/>
          <w:tblHeader w:val="0"/>
        </w:trPr>
        <w:tc>
          <w:tcPr/>
          <w:p w:rsidR="00000000" w:rsidDel="00000000" w:rsidP="00000000" w:rsidRDefault="00000000" w:rsidRPr="00000000" w14:paraId="00000893">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Soporte Institucional</w:t>
            </w:r>
            <w:r w:rsidDel="00000000" w:rsidR="00000000" w:rsidRPr="00000000">
              <w:rPr>
                <w:rtl w:val="0"/>
              </w:rPr>
            </w:r>
          </w:p>
        </w:tc>
        <w:tc>
          <w:tcPr/>
          <w:p w:rsidR="00000000" w:rsidDel="00000000" w:rsidP="00000000" w:rsidRDefault="00000000" w:rsidRPr="00000000" w14:paraId="0000089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Convenio de Validación y Testing Design Partner</w:t>
            </w:r>
            <w:r w:rsidDel="00000000" w:rsidR="00000000" w:rsidRPr="00000000">
              <w:rPr>
                <w:rtl w:val="0"/>
              </w:rPr>
            </w:r>
          </w:p>
        </w:tc>
        <w:tc>
          <w:tcPr/>
          <w:p w:rsidR="00000000" w:rsidDel="00000000" w:rsidP="00000000" w:rsidRDefault="00000000" w:rsidRPr="00000000" w14:paraId="0000089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CTA-UNLP (La Plata)</w:t>
            </w:r>
            <w:r w:rsidDel="00000000" w:rsidR="00000000" w:rsidRPr="00000000">
              <w:rPr>
                <w:rtl w:val="0"/>
              </w:rPr>
            </w:r>
          </w:p>
        </w:tc>
        <w:tc>
          <w:tcPr/>
          <w:p w:rsidR="00000000" w:rsidDel="00000000" w:rsidP="00000000" w:rsidRDefault="00000000" w:rsidRPr="00000000" w14:paraId="0000089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Actas de reunión técnica y validación cruzada</w:t>
            </w:r>
            <w:r w:rsidDel="00000000" w:rsidR="00000000" w:rsidRPr="00000000">
              <w:rPr>
                <w:rtl w:val="0"/>
              </w:rPr>
            </w:r>
          </w:p>
        </w:tc>
        <w:tc>
          <w:tcPr/>
          <w:p w:rsidR="00000000" w:rsidDel="00000000" w:rsidP="00000000" w:rsidRDefault="00000000" w:rsidRPr="00000000" w14:paraId="0000089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Retroalimentación de ingeniería, revisión experta y transferencia.</w:t>
            </w:r>
            <w:r w:rsidDel="00000000" w:rsidR="00000000" w:rsidRPr="00000000">
              <w:rPr>
                <w:rtl w:val="0"/>
              </w:rPr>
            </w:r>
          </w:p>
        </w:tc>
        <w:tc>
          <w:tcPr/>
          <w:p w:rsidR="00000000" w:rsidDel="00000000" w:rsidP="00000000" w:rsidRDefault="00000000" w:rsidRPr="00000000" w14:paraId="0000089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Alcance global; WBS 4.6; Hito M4</w:t>
            </w:r>
            <w:r w:rsidDel="00000000" w:rsidR="00000000" w:rsidRPr="00000000">
              <w:rPr>
                <w:rtl w:val="0"/>
              </w:rPr>
            </w:r>
          </w:p>
        </w:tc>
      </w:tr>
      <w:tr>
        <w:trPr>
          <w:cantSplit w:val="1"/>
          <w:tblHeader w:val="0"/>
        </w:trPr>
        <w:tc>
          <w:tcPr/>
          <w:p w:rsidR="00000000" w:rsidDel="00000000" w:rsidP="00000000" w:rsidRDefault="00000000" w:rsidRPr="00000000" w14:paraId="0000089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Psicometría Cognitiva</w:t>
            </w:r>
            <w:r w:rsidDel="00000000" w:rsidR="00000000" w:rsidRPr="00000000">
              <w:rPr>
                <w:rtl w:val="0"/>
              </w:rPr>
            </w:r>
          </w:p>
        </w:tc>
        <w:tc>
          <w:tcPr/>
          <w:p w:rsidR="00000000" w:rsidDel="00000000" w:rsidP="00000000" w:rsidRDefault="00000000" w:rsidRPr="00000000" w14:paraId="0000089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Marco de Carga de Trabajo NASA-TLX</w:t>
            </w:r>
            <w:r w:rsidDel="00000000" w:rsidR="00000000" w:rsidRPr="00000000">
              <w:rPr>
                <w:rtl w:val="0"/>
              </w:rPr>
            </w:r>
          </w:p>
        </w:tc>
        <w:tc>
          <w:tcPr/>
          <w:p w:rsidR="00000000" w:rsidDel="00000000" w:rsidP="00000000" w:rsidRDefault="00000000" w:rsidRPr="00000000" w14:paraId="0000089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NASA Ames Research Center (Hart &amp; Staveland, 1988)</w:t>
            </w:r>
            <w:r w:rsidDel="00000000" w:rsidR="00000000" w:rsidRPr="00000000">
              <w:rPr>
                <w:rtl w:val="0"/>
              </w:rPr>
            </w:r>
          </w:p>
        </w:tc>
        <w:tc>
          <w:tcPr/>
          <w:p w:rsidR="00000000" w:rsidDel="00000000" w:rsidP="00000000" w:rsidRDefault="00000000" w:rsidRPr="00000000" w14:paraId="0000089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Protocolo experimental de 6 dimensiones (0-100)</w:t>
            </w:r>
            <w:r w:rsidDel="00000000" w:rsidR="00000000" w:rsidRPr="00000000">
              <w:rPr>
                <w:rtl w:val="0"/>
              </w:rPr>
            </w:r>
          </w:p>
        </w:tc>
        <w:tc>
          <w:tcPr/>
          <w:p w:rsidR="00000000" w:rsidDel="00000000" w:rsidP="00000000" w:rsidRDefault="00000000" w:rsidRPr="00000000" w14:paraId="0000089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Validación cuantitativa empírica de reducción de carga cognitiva (&gt; 25%).</w:t>
            </w:r>
            <w:r w:rsidDel="00000000" w:rsidR="00000000" w:rsidRPr="00000000">
              <w:rPr>
                <w:rtl w:val="0"/>
              </w:rPr>
            </w:r>
          </w:p>
        </w:tc>
        <w:tc>
          <w:tcPr/>
          <w:p w:rsidR="00000000" w:rsidDel="00000000" w:rsidP="00000000" w:rsidRDefault="00000000" w:rsidRPr="00000000" w14:paraId="0000089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RNF-01; Caso de prueba A/B experimental</w:t>
            </w:r>
            <w:r w:rsidDel="00000000" w:rsidR="00000000" w:rsidRPr="00000000">
              <w:rPr>
                <w:rtl w:val="0"/>
              </w:rPr>
            </w:r>
          </w:p>
        </w:tc>
      </w:tr>
      <w:tr>
        <w:trPr>
          <w:cantSplit w:val="1"/>
          <w:tblHeader w:val="0"/>
        </w:trPr>
        <w:tc>
          <w:tcPr/>
          <w:p w:rsidR="00000000" w:rsidDel="00000000" w:rsidP="00000000" w:rsidRDefault="00000000" w:rsidRPr="00000000" w14:paraId="0000089F">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Aseguramiento Calidad</w:t>
            </w:r>
            <w:r w:rsidDel="00000000" w:rsidR="00000000" w:rsidRPr="00000000">
              <w:rPr>
                <w:rtl w:val="0"/>
              </w:rPr>
            </w:r>
          </w:p>
        </w:tc>
        <w:tc>
          <w:tcPr/>
          <w:p w:rsidR="00000000" w:rsidDel="00000000" w:rsidP="00000000" w:rsidRDefault="00000000" w:rsidRPr="00000000" w14:paraId="000008A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Banco de Pruebas de Regresión Física EPS</w:t>
            </w:r>
            <w:r w:rsidDel="00000000" w:rsidR="00000000" w:rsidRPr="00000000">
              <w:rPr>
                <w:rtl w:val="0"/>
              </w:rPr>
            </w:r>
          </w:p>
        </w:tc>
        <w:tc>
          <w:tcPr/>
          <w:p w:rsidR="00000000" w:rsidDel="00000000" w:rsidP="00000000" w:rsidRDefault="00000000" w:rsidRPr="00000000" w14:paraId="000008A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Suite automatizada pytest</w:t>
            </w:r>
            <w:r w:rsidDel="00000000" w:rsidR="00000000" w:rsidRPr="00000000">
              <w:rPr>
                <w:rtl w:val="0"/>
              </w:rPr>
            </w:r>
          </w:p>
        </w:tc>
        <w:tc>
          <w:tcPr/>
          <w:p w:rsidR="00000000" w:rsidDel="00000000" w:rsidP="00000000" w:rsidRDefault="00000000" w:rsidRPr="00000000" w14:paraId="000008A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Código ejecutable en Python (</w:t>
            </w:r>
            <w:r w:rsidDel="00000000" w:rsidR="00000000" w:rsidRPr="00000000">
              <w:rPr>
                <w:rFonts w:ascii="Consolas" w:cs="Consolas" w:eastAsia="Consolas" w:hAnsi="Consolas"/>
                <w:b w:val="0"/>
                <w:bCs w:val="0"/>
                <w:i w:val="0"/>
                <w:iCs w:val="0"/>
                <w:color w:val="334155"/>
                <w:sz w:val="14"/>
                <w:szCs w:val="14"/>
                <w:rtl w:val="0"/>
              </w:rPr>
              <w:t xml:space="preserve">tests/</w:t>
            </w:r>
            <w:r w:rsidDel="00000000" w:rsidR="00000000" w:rsidRPr="00000000">
              <w:rPr>
                <w:rFonts w:ascii="Times New Roman" w:cs="Times New Roman" w:eastAsia="Times New Roman" w:hAnsi="Times New Roman"/>
                <w:b w:val="0"/>
                <w:bCs w:val="0"/>
                <w:i w:val="0"/>
                <w:iCs w:val="0"/>
                <w:color w:val="0f172a"/>
                <w:sz w:val="17"/>
                <w:szCs w:val="17"/>
                <w:rtl w:val="0"/>
              </w:rPr>
              <w:t xml:space="preserve">)</w:t>
            </w:r>
            <w:r w:rsidDel="00000000" w:rsidR="00000000" w:rsidRPr="00000000">
              <w:rPr>
                <w:rtl w:val="0"/>
              </w:rPr>
            </w:r>
          </w:p>
        </w:tc>
        <w:tc>
          <w:tcPr/>
          <w:p w:rsidR="00000000" w:rsidDel="00000000" w:rsidP="00000000" w:rsidRDefault="00000000" w:rsidRPr="00000000" w14:paraId="000008A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Verificación matemática continua de invariantes físicos y eclipses.</w:t>
            </w:r>
            <w:r w:rsidDel="00000000" w:rsidR="00000000" w:rsidRPr="00000000">
              <w:rPr>
                <w:rtl w:val="0"/>
              </w:rPr>
            </w:r>
          </w:p>
        </w:tc>
        <w:tc>
          <w:tcPr/>
          <w:p w:rsidR="00000000" w:rsidDel="00000000" w:rsidP="00000000" w:rsidRDefault="00000000" w:rsidRPr="00000000" w14:paraId="000008A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RNF-01, RNF-02; DoD del proyecto</w:t>
            </w:r>
            <w:r w:rsidDel="00000000" w:rsidR="00000000" w:rsidRPr="00000000">
              <w:rPr>
                <w:rtl w:val="0"/>
              </w:rPr>
            </w:r>
          </w:p>
        </w:tc>
      </w:tr>
    </w:tbl>
    <w:p w:rsidR="00000000" w:rsidDel="00000000" w:rsidP="00000000" w:rsidRDefault="00000000" w:rsidRPr="00000000" w14:paraId="000008A5">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Nota. La totalidad de los recursos normativos y datasets científicos empleados son de acceso público o fueron formalmente autorizados para su uso académico por las instituciones emisoras, preservando el secreto industrial y prescindiendo de información clasificada sujeta a normativas ITAR/EAR.</w:t>
      </w:r>
      <w:r w:rsidDel="00000000" w:rsidR="00000000" w:rsidRPr="00000000">
        <w:rPr>
          <w:rtl w:val="0"/>
        </w:rPr>
      </w:r>
    </w:p>
    <w:p w:rsidR="00000000" w:rsidDel="00000000" w:rsidP="00000000" w:rsidRDefault="00000000" w:rsidRPr="00000000" w14:paraId="000008A6">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Tabla X.12</w:t>
      </w:r>
      <w:r w:rsidDel="00000000" w:rsidR="00000000" w:rsidRPr="00000000">
        <w:rPr>
          <w:rtl w:val="0"/>
        </w:rPr>
      </w:r>
    </w:p>
    <w:p w:rsidR="00000000" w:rsidDel="00000000" w:rsidP="00000000" w:rsidRDefault="00000000" w:rsidRPr="00000000" w14:paraId="000008A7">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Matriz de Alternativas de Información y Validación Evaluadas y Descartadas (Art. 21.º R.R. 97/23)</w:t>
      </w:r>
      <w:r w:rsidDel="00000000" w:rsidR="00000000" w:rsidRPr="00000000">
        <w:rPr>
          <w:rtl w:val="0"/>
        </w:rPr>
      </w:r>
    </w:p>
    <w:tbl>
      <w:tblPr>
        <w:tblStyle w:val="Table69"/>
        <w:tblW w:w="8505.0" w:type="dxa"/>
        <w:jc w:val="center"/>
        <w:tblBorders>
          <w:top w:color="000000" w:space="0" w:sz="8" w:val="single"/>
          <w:left w:color="000000" w:space="0" w:sz="0" w:val="nil"/>
          <w:bottom w:color="000000" w:space="0" w:sz="8" w:val="single"/>
          <w:right w:color="000000" w:space="0" w:sz="0" w:val="nil"/>
          <w:insideH w:color="e2e8f0" w:space="0" w:sz="4" w:val="single"/>
          <w:insideV w:color="000000" w:space="0" w:sz="0" w:val="nil"/>
        </w:tblBorders>
        <w:tblLayout w:type="fixed"/>
        <w:tblLook w:val="0400"/>
      </w:tblPr>
      <w:tblGrid>
        <w:gridCol w:w="1701"/>
        <w:gridCol w:w="1701"/>
        <w:gridCol w:w="1701"/>
        <w:gridCol w:w="1701"/>
        <w:gridCol w:w="1701"/>
        <w:tblGridChange w:id="0">
          <w:tblGrid>
            <w:gridCol w:w="1701"/>
            <w:gridCol w:w="1701"/>
            <w:gridCol w:w="1701"/>
            <w:gridCol w:w="1701"/>
            <w:gridCol w:w="1701"/>
          </w:tblGrid>
        </w:tblGridChange>
      </w:tblGrid>
      <w:tr>
        <w:trPr>
          <w:cantSplit w:val="1"/>
          <w:tblHeader w:val="1"/>
        </w:trPr>
        <w:tc>
          <w:tcPr>
            <w:shd w:fill="f1f5f9" w:val="clear"/>
          </w:tcPr>
          <w:p w:rsidR="00000000" w:rsidDel="00000000" w:rsidP="00000000" w:rsidRDefault="00000000" w:rsidRPr="00000000" w14:paraId="000008A8">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Dimensión de Recurso</w:t>
            </w:r>
            <w:r w:rsidDel="00000000" w:rsidR="00000000" w:rsidRPr="00000000">
              <w:rPr>
                <w:rtl w:val="0"/>
              </w:rPr>
            </w:r>
          </w:p>
        </w:tc>
        <w:tc>
          <w:tcPr>
            <w:shd w:fill="f1f5f9" w:val="clear"/>
          </w:tcPr>
          <w:p w:rsidR="00000000" w:rsidDel="00000000" w:rsidP="00000000" w:rsidRDefault="00000000" w:rsidRPr="00000000" w14:paraId="000008A9">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Alternativa Evaluada y Descartada</w:t>
            </w:r>
            <w:r w:rsidDel="00000000" w:rsidR="00000000" w:rsidRPr="00000000">
              <w:rPr>
                <w:rtl w:val="0"/>
              </w:rPr>
            </w:r>
          </w:p>
        </w:tc>
        <w:tc>
          <w:tcPr>
            <w:shd w:fill="f1f5f9" w:val="clear"/>
          </w:tcPr>
          <w:p w:rsidR="00000000" w:rsidDel="00000000" w:rsidP="00000000" w:rsidRDefault="00000000" w:rsidRPr="00000000" w14:paraId="000008AA">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Recurso Adoptado en su Reemplazo</w:t>
            </w:r>
            <w:r w:rsidDel="00000000" w:rsidR="00000000" w:rsidRPr="00000000">
              <w:rPr>
                <w:rtl w:val="0"/>
              </w:rPr>
            </w:r>
          </w:p>
        </w:tc>
        <w:tc>
          <w:tcPr>
            <w:shd w:fill="f1f5f9" w:val="clear"/>
          </w:tcPr>
          <w:p w:rsidR="00000000" w:rsidDel="00000000" w:rsidP="00000000" w:rsidRDefault="00000000" w:rsidRPr="00000000" w14:paraId="000008A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Criterios de Descarte (Técnico, Operativo, Normativo)</w:t>
            </w:r>
            <w:r w:rsidDel="00000000" w:rsidR="00000000" w:rsidRPr="00000000">
              <w:rPr>
                <w:rtl w:val="0"/>
              </w:rPr>
            </w:r>
          </w:p>
        </w:tc>
        <w:tc>
          <w:tcPr>
            <w:shd w:fill="f1f5f9" w:val="clear"/>
          </w:tcPr>
          <w:p w:rsidR="00000000" w:rsidDel="00000000" w:rsidP="00000000" w:rsidRDefault="00000000" w:rsidRPr="00000000" w14:paraId="000008A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Impacto en el Proyecto y Alcance del MVP</w:t>
            </w:r>
            <w:r w:rsidDel="00000000" w:rsidR="00000000" w:rsidRPr="00000000">
              <w:rPr>
                <w:rtl w:val="0"/>
              </w:rPr>
            </w:r>
          </w:p>
        </w:tc>
      </w:tr>
      <w:tr>
        <w:trPr>
          <w:cantSplit w:val="1"/>
          <w:tblHeader w:val="0"/>
        </w:trPr>
        <w:tc>
          <w:tcPr/>
          <w:p w:rsidR="00000000" w:rsidDel="00000000" w:rsidP="00000000" w:rsidRDefault="00000000" w:rsidRPr="00000000" w14:paraId="000008AD">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Corpus Normativo</w:t>
            </w:r>
            <w:r w:rsidDel="00000000" w:rsidR="00000000" w:rsidRPr="00000000">
              <w:rPr>
                <w:rtl w:val="0"/>
              </w:rPr>
            </w:r>
          </w:p>
        </w:tc>
        <w:tc>
          <w:tcPr/>
          <w:p w:rsidR="00000000" w:rsidDel="00000000" w:rsidP="00000000" w:rsidRDefault="00000000" w:rsidRPr="00000000" w14:paraId="000008A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Web scraping dinámico en línea sobre repositorios abiertos</w:t>
            </w:r>
            <w:r w:rsidDel="00000000" w:rsidR="00000000" w:rsidRPr="00000000">
              <w:rPr>
                <w:rtl w:val="0"/>
              </w:rPr>
            </w:r>
          </w:p>
        </w:tc>
        <w:tc>
          <w:tcPr/>
          <w:p w:rsidR="00000000" w:rsidDel="00000000" w:rsidP="00000000" w:rsidRDefault="00000000" w:rsidRPr="00000000" w14:paraId="000008A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Corpus local curado estático (ECSS, NASA, Cal Poly)</w:t>
            </w:r>
            <w:r w:rsidDel="00000000" w:rsidR="00000000" w:rsidRPr="00000000">
              <w:rPr>
                <w:rtl w:val="0"/>
              </w:rPr>
            </w:r>
          </w:p>
        </w:tc>
        <w:tc>
          <w:tcPr/>
          <w:p w:rsidR="00000000" w:rsidDel="00000000" w:rsidP="00000000" w:rsidRDefault="00000000" w:rsidRPr="00000000" w14:paraId="000008B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Induce riesgo de alucinación normativa; cita de versiones derogadas; inviable en estaciones terrenas desconectadas.</w:t>
            </w:r>
            <w:r w:rsidDel="00000000" w:rsidR="00000000" w:rsidRPr="00000000">
              <w:rPr>
                <w:rtl w:val="0"/>
              </w:rPr>
            </w:r>
          </w:p>
        </w:tc>
        <w:tc>
          <w:tcPr/>
          <w:p w:rsidR="00000000" w:rsidDel="00000000" w:rsidP="00000000" w:rsidRDefault="00000000" w:rsidRPr="00000000" w14:paraId="000008B1">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Asegura la auditabilidad estricta de las citas y la operatividad total en modo autónomo (</w:t>
            </w:r>
            <w:r w:rsidDel="00000000" w:rsidR="00000000" w:rsidRPr="00000000">
              <w:rPr>
                <w:rFonts w:ascii="Times New Roman" w:cs="Times New Roman" w:eastAsia="Times New Roman" w:hAnsi="Times New Roman"/>
                <w:b w:val="0"/>
                <w:bCs w:val="0"/>
                <w:i w:val="1"/>
                <w:iCs w:val="1"/>
                <w:color w:val="0f172a"/>
                <w:sz w:val="17"/>
                <w:szCs w:val="17"/>
                <w:rtl w:val="0"/>
              </w:rPr>
              <w:t xml:space="preserve">air-gapped</w:t>
            </w:r>
            <w:r w:rsidDel="00000000" w:rsidR="00000000" w:rsidRPr="00000000">
              <w:rPr>
                <w:rFonts w:ascii="Times New Roman" w:cs="Times New Roman" w:eastAsia="Times New Roman" w:hAnsi="Times New Roman"/>
                <w:b w:val="0"/>
                <w:bCs w:val="0"/>
                <w:i w:val="0"/>
                <w:iCs w:val="0"/>
                <w:color w:val="0f172a"/>
                <w:sz w:val="17"/>
                <w:szCs w:val="17"/>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8B2">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Corpus Normativo</w:t>
            </w:r>
            <w:r w:rsidDel="00000000" w:rsidR="00000000" w:rsidRPr="00000000">
              <w:rPr>
                <w:rtl w:val="0"/>
              </w:rPr>
            </w:r>
          </w:p>
        </w:tc>
        <w:tc>
          <w:tcPr/>
          <w:p w:rsidR="00000000" w:rsidDel="00000000" w:rsidP="00000000" w:rsidRDefault="00000000" w:rsidRPr="00000000" w14:paraId="000008B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Adopción exclusiva de normas militares (MIL-STD)</w:t>
            </w:r>
            <w:r w:rsidDel="00000000" w:rsidR="00000000" w:rsidRPr="00000000">
              <w:rPr>
                <w:rtl w:val="0"/>
              </w:rPr>
            </w:r>
          </w:p>
        </w:tc>
        <w:tc>
          <w:tcPr/>
          <w:p w:rsidR="00000000" w:rsidDel="00000000" w:rsidP="00000000" w:rsidRDefault="00000000" w:rsidRPr="00000000" w14:paraId="000008B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Estándares espaciales civiles (ECSS / NASA)</w:t>
            </w:r>
            <w:r w:rsidDel="00000000" w:rsidR="00000000" w:rsidRPr="00000000">
              <w:rPr>
                <w:rtl w:val="0"/>
              </w:rPr>
            </w:r>
          </w:p>
        </w:tc>
        <w:tc>
          <w:tcPr/>
          <w:p w:rsidR="00000000" w:rsidDel="00000000" w:rsidP="00000000" w:rsidRDefault="00000000" w:rsidRPr="00000000" w14:paraId="000008B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Obsolescencia para el ecosistema </w:t>
            </w:r>
            <w:r w:rsidDel="00000000" w:rsidR="00000000" w:rsidRPr="00000000">
              <w:rPr>
                <w:rFonts w:ascii="Times New Roman" w:cs="Times New Roman" w:eastAsia="Times New Roman" w:hAnsi="Times New Roman"/>
                <w:b w:val="0"/>
                <w:bCs w:val="0"/>
                <w:i w:val="1"/>
                <w:iCs w:val="1"/>
                <w:color w:val="0f172a"/>
                <w:sz w:val="17"/>
                <w:szCs w:val="17"/>
                <w:rtl w:val="0"/>
              </w:rPr>
              <w:t xml:space="preserve">NewSpace</w:t>
            </w:r>
            <w:r w:rsidDel="00000000" w:rsidR="00000000" w:rsidRPr="00000000">
              <w:rPr>
                <w:rFonts w:ascii="Times New Roman" w:cs="Times New Roman" w:eastAsia="Times New Roman" w:hAnsi="Times New Roman"/>
                <w:b w:val="0"/>
                <w:bCs w:val="0"/>
                <w:i w:val="0"/>
                <w:iCs w:val="0"/>
                <w:color w:val="0f172a"/>
                <w:sz w:val="17"/>
                <w:szCs w:val="17"/>
                <w:rtl w:val="0"/>
              </w:rPr>
              <w:t xml:space="preserve">; rigidez extrema incompatible con satélites universitarios ágiles.</w:t>
            </w:r>
            <w:r w:rsidDel="00000000" w:rsidR="00000000" w:rsidRPr="00000000">
              <w:rPr>
                <w:rtl w:val="0"/>
              </w:rPr>
            </w:r>
          </w:p>
        </w:tc>
        <w:tc>
          <w:tcPr/>
          <w:p w:rsidR="00000000" w:rsidDel="00000000" w:rsidP="00000000" w:rsidRDefault="00000000" w:rsidRPr="00000000" w14:paraId="000008B6">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Mantiene el sistema alineado con los estándares vigentes de diseño satelital en Argentina y la región.</w:t>
            </w:r>
            <w:r w:rsidDel="00000000" w:rsidR="00000000" w:rsidRPr="00000000">
              <w:rPr>
                <w:rtl w:val="0"/>
              </w:rPr>
            </w:r>
          </w:p>
        </w:tc>
      </w:tr>
      <w:tr>
        <w:trPr>
          <w:cantSplit w:val="1"/>
          <w:tblHeader w:val="0"/>
        </w:trPr>
        <w:tc>
          <w:tcPr/>
          <w:p w:rsidR="00000000" w:rsidDel="00000000" w:rsidP="00000000" w:rsidRDefault="00000000" w:rsidRPr="00000000" w14:paraId="000008B7">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Datos de Misión</w:t>
            </w:r>
            <w:r w:rsidDel="00000000" w:rsidR="00000000" w:rsidRPr="00000000">
              <w:rPr>
                <w:rtl w:val="0"/>
              </w:rPr>
            </w:r>
          </w:p>
        </w:tc>
        <w:tc>
          <w:tcPr/>
          <w:p w:rsidR="00000000" w:rsidDel="00000000" w:rsidP="00000000" w:rsidRDefault="00000000" w:rsidRPr="00000000" w14:paraId="000008B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Telemetría comercial privada clasificada (ITAR/EAR)</w:t>
            </w:r>
            <w:r w:rsidDel="00000000" w:rsidR="00000000" w:rsidRPr="00000000">
              <w:rPr>
                <w:rtl w:val="0"/>
              </w:rPr>
            </w:r>
          </w:p>
        </w:tc>
        <w:tc>
          <w:tcPr/>
          <w:p w:rsidR="00000000" w:rsidDel="00000000" w:rsidP="00000000" w:rsidRDefault="00000000" w:rsidRPr="00000000" w14:paraId="000008B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Datos de misión CTA-UNLP y benchmark El Hachimi</w:t>
            </w:r>
            <w:r w:rsidDel="00000000" w:rsidR="00000000" w:rsidRPr="00000000">
              <w:rPr>
                <w:rtl w:val="0"/>
              </w:rPr>
            </w:r>
          </w:p>
        </w:tc>
        <w:tc>
          <w:tcPr/>
          <w:p w:rsidR="00000000" w:rsidDel="00000000" w:rsidP="00000000" w:rsidRDefault="00000000" w:rsidRPr="00000000" w14:paraId="000008B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Prohibición legal de divulgación internacional; imposibilidad de publicar y defender abiertamente el proyecto.</w:t>
            </w:r>
            <w:r w:rsidDel="00000000" w:rsidR="00000000" w:rsidRPr="00000000">
              <w:rPr>
                <w:rtl w:val="0"/>
              </w:rPr>
            </w:r>
          </w:p>
        </w:tc>
        <w:tc>
          <w:tcPr/>
          <w:p w:rsidR="00000000" w:rsidDel="00000000" w:rsidP="00000000" w:rsidRDefault="00000000" w:rsidRPr="00000000" w14:paraId="000008BB">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Garantiza la plena transparencia y reproducibilidad académica de los resultados de ingeniería del PIF.</w:t>
            </w:r>
            <w:r w:rsidDel="00000000" w:rsidR="00000000" w:rsidRPr="00000000">
              <w:rPr>
                <w:rtl w:val="0"/>
              </w:rPr>
            </w:r>
          </w:p>
        </w:tc>
      </w:tr>
      <w:tr>
        <w:trPr>
          <w:cantSplit w:val="1"/>
          <w:tblHeader w:val="0"/>
        </w:trPr>
        <w:tc>
          <w:tcPr/>
          <w:p w:rsidR="00000000" w:rsidDel="00000000" w:rsidP="00000000" w:rsidRDefault="00000000" w:rsidRPr="00000000" w14:paraId="000008BC">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Datos de Misión</w:t>
            </w:r>
            <w:r w:rsidDel="00000000" w:rsidR="00000000" w:rsidRPr="00000000">
              <w:rPr>
                <w:rtl w:val="0"/>
              </w:rPr>
            </w:r>
          </w:p>
        </w:tc>
        <w:tc>
          <w:tcPr/>
          <w:p w:rsidR="00000000" w:rsidDel="00000000" w:rsidP="00000000" w:rsidRDefault="00000000" w:rsidRPr="00000000" w14:paraId="000008B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Telemetría totalmente sintética aleatoria</w:t>
            </w:r>
            <w:r w:rsidDel="00000000" w:rsidR="00000000" w:rsidRPr="00000000">
              <w:rPr>
                <w:rtl w:val="0"/>
              </w:rPr>
            </w:r>
          </w:p>
        </w:tc>
        <w:tc>
          <w:tcPr/>
          <w:p w:rsidR="00000000" w:rsidDel="00000000" w:rsidP="00000000" w:rsidRDefault="00000000" w:rsidRPr="00000000" w14:paraId="000008B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Datos COTS reales validados por el referente técnico</w:t>
            </w:r>
            <w:r w:rsidDel="00000000" w:rsidR="00000000" w:rsidRPr="00000000">
              <w:rPr>
                <w:rtl w:val="0"/>
              </w:rPr>
            </w:r>
          </w:p>
        </w:tc>
        <w:tc>
          <w:tcPr/>
          <w:p w:rsidR="00000000" w:rsidDel="00000000" w:rsidP="00000000" w:rsidRDefault="00000000" w:rsidRPr="00000000" w14:paraId="000008B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Inconsistencia física en modos operacionales; invalida la prueba de detección de fallas reales en buses de potencia.</w:t>
            </w:r>
            <w:r w:rsidDel="00000000" w:rsidR="00000000" w:rsidRPr="00000000">
              <w:rPr>
                <w:rtl w:val="0"/>
              </w:rPr>
            </w:r>
          </w:p>
        </w:tc>
        <w:tc>
          <w:tcPr/>
          <w:p w:rsidR="00000000" w:rsidDel="00000000" w:rsidP="00000000" w:rsidRDefault="00000000" w:rsidRPr="00000000" w14:paraId="000008C0">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Permite que el MVP resuelva problemas de ingeniería auténticos y contrastables por el tribunal evaluador.</w:t>
            </w:r>
            <w:r w:rsidDel="00000000" w:rsidR="00000000" w:rsidRPr="00000000">
              <w:rPr>
                <w:rtl w:val="0"/>
              </w:rPr>
            </w:r>
          </w:p>
        </w:tc>
      </w:tr>
      <w:tr>
        <w:trPr>
          <w:cantSplit w:val="1"/>
          <w:tblHeader w:val="0"/>
        </w:trPr>
        <w:tc>
          <w:tcPr/>
          <w:p w:rsidR="00000000" w:rsidDel="00000000" w:rsidP="00000000" w:rsidRDefault="00000000" w:rsidRPr="00000000" w14:paraId="000008C1">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Validación de Campo</w:t>
            </w:r>
            <w:r w:rsidDel="00000000" w:rsidR="00000000" w:rsidRPr="00000000">
              <w:rPr>
                <w:rtl w:val="0"/>
              </w:rPr>
            </w:r>
          </w:p>
        </w:tc>
        <w:tc>
          <w:tcPr/>
          <w:p w:rsidR="00000000" w:rsidDel="00000000" w:rsidP="00000000" w:rsidRDefault="00000000" w:rsidRPr="00000000" w14:paraId="000008C2">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Formulación teórica aislada sin </w:t>
            </w:r>
            <w:r w:rsidDel="00000000" w:rsidR="00000000" w:rsidRPr="00000000">
              <w:rPr>
                <w:rFonts w:ascii="Times New Roman" w:cs="Times New Roman" w:eastAsia="Times New Roman" w:hAnsi="Times New Roman"/>
                <w:b w:val="0"/>
                <w:bCs w:val="0"/>
                <w:i w:val="1"/>
                <w:iCs w:val="1"/>
                <w:color w:val="0f172a"/>
                <w:sz w:val="17"/>
                <w:szCs w:val="17"/>
                <w:rtl w:val="0"/>
              </w:rPr>
              <w:t xml:space="preserve">Design Partner</w:t>
            </w:r>
            <w:r w:rsidDel="00000000" w:rsidR="00000000" w:rsidRPr="00000000">
              <w:rPr>
                <w:rtl w:val="0"/>
              </w:rPr>
            </w:r>
          </w:p>
        </w:tc>
        <w:tc>
          <w:tcPr/>
          <w:p w:rsidR="00000000" w:rsidDel="00000000" w:rsidP="00000000" w:rsidRDefault="00000000" w:rsidRPr="00000000" w14:paraId="000008C3">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Cooperación técnica con CTA-UNLP (Ing. Sonia Botta)</w:t>
            </w:r>
            <w:r w:rsidDel="00000000" w:rsidR="00000000" w:rsidRPr="00000000">
              <w:rPr>
                <w:rtl w:val="0"/>
              </w:rPr>
            </w:r>
          </w:p>
        </w:tc>
        <w:tc>
          <w:tcPr/>
          <w:p w:rsidR="00000000" w:rsidDel="00000000" w:rsidP="00000000" w:rsidRDefault="00000000" w:rsidRPr="00000000" w14:paraId="000008C4">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Riesgo de producir software desconectado de las prácticas de ingeniería; incumplimiento de base empírica real.</w:t>
            </w:r>
            <w:r w:rsidDel="00000000" w:rsidR="00000000" w:rsidRPr="00000000">
              <w:rPr>
                <w:rtl w:val="0"/>
              </w:rPr>
            </w:r>
          </w:p>
        </w:tc>
        <w:tc>
          <w:tcPr/>
          <w:p w:rsidR="00000000" w:rsidDel="00000000" w:rsidP="00000000" w:rsidRDefault="00000000" w:rsidRPr="00000000" w14:paraId="000008C5">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Otorga validación fáctica continua al prototipo y viabiliza su adopción como primer cliente institucional.</w:t>
            </w:r>
            <w:r w:rsidDel="00000000" w:rsidR="00000000" w:rsidRPr="00000000">
              <w:rPr>
                <w:rtl w:val="0"/>
              </w:rPr>
            </w:r>
          </w:p>
        </w:tc>
      </w:tr>
      <w:tr>
        <w:trPr>
          <w:cantSplit w:val="1"/>
          <w:tblHeader w:val="0"/>
        </w:trPr>
        <w:tc>
          <w:tcPr/>
          <w:p w:rsidR="00000000" w:rsidDel="00000000" w:rsidP="00000000" w:rsidRDefault="00000000" w:rsidRPr="00000000" w14:paraId="000008C6">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Métrica Cognitiva</w:t>
            </w:r>
            <w:r w:rsidDel="00000000" w:rsidR="00000000" w:rsidRPr="00000000">
              <w:rPr>
                <w:rtl w:val="0"/>
              </w:rPr>
            </w:r>
          </w:p>
        </w:tc>
        <w:tc>
          <w:tcPr/>
          <w:p w:rsidR="00000000" w:rsidDel="00000000" w:rsidP="00000000" w:rsidRDefault="00000000" w:rsidRPr="00000000" w14:paraId="000008C7">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Encuestas cualitativas informales de satisfacción</w:t>
            </w:r>
            <w:r w:rsidDel="00000000" w:rsidR="00000000" w:rsidRPr="00000000">
              <w:rPr>
                <w:rtl w:val="0"/>
              </w:rPr>
            </w:r>
          </w:p>
        </w:tc>
        <w:tc>
          <w:tcPr/>
          <w:p w:rsidR="00000000" w:rsidDel="00000000" w:rsidP="00000000" w:rsidRDefault="00000000" w:rsidRPr="00000000" w14:paraId="000008C8">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Protocolo psicométrico estandarizado NASA-TLX</w:t>
            </w:r>
            <w:r w:rsidDel="00000000" w:rsidR="00000000" w:rsidRPr="00000000">
              <w:rPr>
                <w:rtl w:val="0"/>
              </w:rPr>
            </w:r>
          </w:p>
        </w:tc>
        <w:tc>
          <w:tcPr/>
          <w:p w:rsidR="00000000" w:rsidDel="00000000" w:rsidP="00000000" w:rsidRDefault="00000000" w:rsidRPr="00000000" w14:paraId="000008C9">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Carencia de rigor metodológico; subjetividad no comparable; ausencia de procedimiento de medición reproducible.</w:t>
            </w:r>
            <w:r w:rsidDel="00000000" w:rsidR="00000000" w:rsidRPr="00000000">
              <w:rPr>
                <w:rtl w:val="0"/>
              </w:rPr>
            </w:r>
          </w:p>
        </w:tc>
        <w:tc>
          <w:tcPr/>
          <w:p w:rsidR="00000000" w:rsidDel="00000000" w:rsidP="00000000" w:rsidRDefault="00000000" w:rsidRPr="00000000" w14:paraId="000008CA">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Entrega evidencia cuantitativa objetiva sobre la reducción de carga cognitiva exigida en la formulación.</w:t>
            </w:r>
            <w:r w:rsidDel="00000000" w:rsidR="00000000" w:rsidRPr="00000000">
              <w:rPr>
                <w:rtl w:val="0"/>
              </w:rPr>
            </w:r>
          </w:p>
        </w:tc>
      </w:tr>
      <w:tr>
        <w:trPr>
          <w:cantSplit w:val="1"/>
          <w:tblHeader w:val="0"/>
        </w:trPr>
        <w:tc>
          <w:tcPr/>
          <w:p w:rsidR="00000000" w:rsidDel="00000000" w:rsidP="00000000" w:rsidRDefault="00000000" w:rsidRPr="00000000" w14:paraId="000008CB">
            <w:pPr>
              <w:spacing w:after="20" w:before="20" w:line="252.00000000000003" w:lineRule="auto"/>
              <w:rPr/>
            </w:pPr>
            <w:r w:rsidDel="00000000" w:rsidR="00000000" w:rsidRPr="00000000">
              <w:rPr>
                <w:rFonts w:ascii="Times New Roman" w:cs="Times New Roman" w:eastAsia="Times New Roman" w:hAnsi="Times New Roman"/>
                <w:b w:val="1"/>
                <w:bCs w:val="1"/>
                <w:i w:val="0"/>
                <w:iCs w:val="0"/>
                <w:color w:val="0f172a"/>
                <w:sz w:val="17"/>
                <w:szCs w:val="17"/>
                <w:rtl w:val="0"/>
              </w:rPr>
              <w:t xml:space="preserve">Testing de Software</w:t>
            </w:r>
            <w:r w:rsidDel="00000000" w:rsidR="00000000" w:rsidRPr="00000000">
              <w:rPr>
                <w:rtl w:val="0"/>
              </w:rPr>
            </w:r>
          </w:p>
        </w:tc>
        <w:tc>
          <w:tcPr/>
          <w:p w:rsidR="00000000" w:rsidDel="00000000" w:rsidP="00000000" w:rsidRDefault="00000000" w:rsidRPr="00000000" w14:paraId="000008CC">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Pruebas funcionales manuales no instrumentadas</w:t>
            </w:r>
            <w:r w:rsidDel="00000000" w:rsidR="00000000" w:rsidRPr="00000000">
              <w:rPr>
                <w:rtl w:val="0"/>
              </w:rPr>
            </w:r>
          </w:p>
        </w:tc>
        <w:tc>
          <w:tcPr/>
          <w:p w:rsidR="00000000" w:rsidDel="00000000" w:rsidP="00000000" w:rsidRDefault="00000000" w:rsidRPr="00000000" w14:paraId="000008CD">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Suite automatizada de regresión con pytest en CI</w:t>
            </w:r>
            <w:r w:rsidDel="00000000" w:rsidR="00000000" w:rsidRPr="00000000">
              <w:rPr>
                <w:rtl w:val="0"/>
              </w:rPr>
            </w:r>
          </w:p>
        </w:tc>
        <w:tc>
          <w:tcPr/>
          <w:p w:rsidR="00000000" w:rsidDel="00000000" w:rsidP="00000000" w:rsidRDefault="00000000" w:rsidRPr="00000000" w14:paraId="000008CE">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Falta de reproducibilidad; alto riesgo de regresiones en fórmulas keplerianas y reglas críticas de balance EPS.</w:t>
            </w:r>
            <w:r w:rsidDel="00000000" w:rsidR="00000000" w:rsidRPr="00000000">
              <w:rPr>
                <w:rtl w:val="0"/>
              </w:rPr>
            </w:r>
          </w:p>
        </w:tc>
        <w:tc>
          <w:tcPr/>
          <w:p w:rsidR="00000000" w:rsidDel="00000000" w:rsidP="00000000" w:rsidRDefault="00000000" w:rsidRPr="00000000" w14:paraId="000008CF">
            <w:pPr>
              <w:spacing w:after="20" w:before="20" w:line="252.00000000000003" w:lineRule="auto"/>
              <w:rPr/>
            </w:pPr>
            <w:r w:rsidDel="00000000" w:rsidR="00000000" w:rsidRPr="00000000">
              <w:rPr>
                <w:rFonts w:ascii="Times New Roman" w:cs="Times New Roman" w:eastAsia="Times New Roman" w:hAnsi="Times New Roman"/>
                <w:b w:val="0"/>
                <w:bCs w:val="0"/>
                <w:i w:val="0"/>
                <w:iCs w:val="0"/>
                <w:color w:val="0f172a"/>
                <w:sz w:val="17"/>
                <w:szCs w:val="17"/>
                <w:rtl w:val="0"/>
              </w:rPr>
              <w:t xml:space="preserve">Satisface la Definición de Terminado (DoD) con cobertura &gt;= 80% antes de congelar cualquier prototipo.</w:t>
            </w:r>
            <w:r w:rsidDel="00000000" w:rsidR="00000000" w:rsidRPr="00000000">
              <w:rPr>
                <w:rtl w:val="0"/>
              </w:rPr>
            </w:r>
          </w:p>
        </w:tc>
      </w:tr>
    </w:tbl>
    <w:p w:rsidR="00000000" w:rsidDel="00000000" w:rsidP="00000000" w:rsidRDefault="00000000" w:rsidRPr="00000000" w14:paraId="000008D0">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Nota. Las decisiones adoptadas en la presente matriz se fundamentan en actas de relevamiento y reuniones técnicas con el referente de dominio, garantizando la total trazabilidad metodológica exigida por el marco reglamentario del Proyecto Integrador Final.</w:t>
      </w:r>
      <w:r w:rsidDel="00000000" w:rsidR="00000000" w:rsidRPr="00000000">
        <w:rPr>
          <w:rtl w:val="0"/>
        </w:rPr>
      </w:r>
    </w:p>
    <w:p w:rsidR="00000000" w:rsidDel="00000000" w:rsidP="00000000" w:rsidRDefault="00000000" w:rsidRPr="00000000" w14:paraId="000008D1">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Síntesis Consolidada de Recursos del Proyecto</w:t>
      </w:r>
      <w:r w:rsidDel="00000000" w:rsidR="00000000" w:rsidRPr="00000000">
        <w:rPr>
          <w:rtl w:val="0"/>
        </w:rPr>
      </w:r>
    </w:p>
    <w:p w:rsidR="00000000" w:rsidDel="00000000" w:rsidP="00000000" w:rsidRDefault="00000000" w:rsidRPr="00000000" w14:paraId="000008D2">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dimensionamiento exhaustivo desarrollado a lo largo de las cinco secciones del Capítulo X consolida la factibilidad integral del proyecto CODI para su formulación, desarrollo, formalización y explotación comercial:</w:t>
      </w:r>
      <w:r w:rsidDel="00000000" w:rsidR="00000000" w:rsidRPr="00000000">
        <w:rPr>
          <w:rtl w:val="0"/>
        </w:rPr>
      </w:r>
    </w:p>
    <w:p w:rsidR="00000000" w:rsidDel="00000000" w:rsidP="00000000" w:rsidRDefault="00000000" w:rsidRPr="00000000" w14:paraId="000008D3">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 </w:t>
      </w:r>
      <w:r w:rsidDel="00000000" w:rsidR="00000000" w:rsidRPr="00000000">
        <w:rPr>
          <w:rFonts w:ascii="Times New Roman" w:cs="Times New Roman" w:eastAsia="Times New Roman" w:hAnsi="Times New Roman"/>
          <w:b w:val="1"/>
          <w:bCs w:val="1"/>
          <w:i w:val="0"/>
          <w:iCs w:val="0"/>
          <w:color w:val="0f172a"/>
          <w:sz w:val="23"/>
          <w:szCs w:val="23"/>
          <w:rtl w:val="0"/>
        </w:rPr>
        <w:t xml:space="preserve">Recursos Humanos (Sec. X.1)</w:t>
      </w:r>
      <w:r w:rsidDel="00000000" w:rsidR="00000000" w:rsidRPr="00000000">
        <w:rPr>
          <w:rFonts w:ascii="Times New Roman" w:cs="Times New Roman" w:eastAsia="Times New Roman" w:hAnsi="Times New Roman"/>
          <w:b w:val="0"/>
          <w:bCs w:val="0"/>
          <w:i w:val="0"/>
          <w:iCs w:val="0"/>
          <w:color w:val="0f172a"/>
          <w:sz w:val="23"/>
          <w:szCs w:val="23"/>
          <w:rtl w:val="0"/>
        </w:rPr>
        <w:t xml:space="preserve">: Asignación de </w:t>
      </w:r>
      <w:r w:rsidDel="00000000" w:rsidR="00000000" w:rsidRPr="00000000">
        <w:rPr>
          <w:rFonts w:ascii="Times New Roman" w:cs="Times New Roman" w:eastAsia="Times New Roman" w:hAnsi="Times New Roman"/>
          <w:b w:val="1"/>
          <w:bCs w:val="1"/>
          <w:i w:val="0"/>
          <w:iCs w:val="0"/>
          <w:color w:val="0f172a"/>
          <w:sz w:val="23"/>
          <w:szCs w:val="23"/>
          <w:rtl w:val="0"/>
        </w:rPr>
        <w:t xml:space="preserve">190 horas-persona</w:t>
      </w:r>
      <w:r w:rsidDel="00000000" w:rsidR="00000000" w:rsidRPr="00000000">
        <w:rPr>
          <w:rFonts w:ascii="Times New Roman" w:cs="Times New Roman" w:eastAsia="Times New Roman" w:hAnsi="Times New Roman"/>
          <w:b w:val="0"/>
          <w:bCs w:val="0"/>
          <w:i w:val="0"/>
          <w:iCs w:val="0"/>
          <w:color w:val="0f172a"/>
          <w:sz w:val="23"/>
          <w:szCs w:val="23"/>
          <w:rtl w:val="0"/>
        </w:rPr>
        <w:t xml:space="preserve"> efectivas de autoría individual a cargo de Santiago Agustín Nuñez bajo la tarifa Sysarmy 2026.01 Senior (23.688/h), estructuradas en 184 h-p de demanda técnica de la WBS y 6 h-p de contingencia operativa (4.500.625 ARS).</w:t>
      </w:r>
      <w:r w:rsidDel="00000000" w:rsidR="00000000" w:rsidRPr="00000000">
        <w:rPr>
          <w:rtl w:val="0"/>
        </w:rPr>
      </w:r>
    </w:p>
    <w:p w:rsidR="00000000" w:rsidDel="00000000" w:rsidP="00000000" w:rsidRDefault="00000000" w:rsidRPr="00000000" w14:paraId="000008D4">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2. </w:t>
      </w:r>
      <w:r w:rsidDel="00000000" w:rsidR="00000000" w:rsidRPr="00000000">
        <w:rPr>
          <w:rFonts w:ascii="Times New Roman" w:cs="Times New Roman" w:eastAsia="Times New Roman" w:hAnsi="Times New Roman"/>
          <w:b w:val="1"/>
          <w:bCs w:val="1"/>
          <w:i w:val="0"/>
          <w:iCs w:val="0"/>
          <w:color w:val="0f172a"/>
          <w:sz w:val="23"/>
          <w:szCs w:val="23"/>
          <w:rtl w:val="0"/>
        </w:rPr>
        <w:t xml:space="preserve">Recursos Físicos y Materiales (Sec. X.2)</w:t>
      </w:r>
      <w:r w:rsidDel="00000000" w:rsidR="00000000" w:rsidRPr="00000000">
        <w:rPr>
          <w:rFonts w:ascii="Times New Roman" w:cs="Times New Roman" w:eastAsia="Times New Roman" w:hAnsi="Times New Roman"/>
          <w:b w:val="0"/>
          <w:bCs w:val="0"/>
          <w:i w:val="0"/>
          <w:iCs w:val="0"/>
          <w:color w:val="0f172a"/>
          <w:sz w:val="23"/>
          <w:szCs w:val="23"/>
          <w:rtl w:val="0"/>
        </w:rPr>
        <w:t xml:space="preserve">: Amortización proporcional del equipamiento de computación de alto rendimiento (72.500 ARS) y cobertura de comprobantes reales auditados de conectividad, electricidad y expensas (155.207 ARS), totalizando </w:t>
      </w:r>
      <w:r w:rsidDel="00000000" w:rsidR="00000000" w:rsidRPr="00000000">
        <w:rPr>
          <w:rFonts w:ascii="Times New Roman" w:cs="Times New Roman" w:eastAsia="Times New Roman" w:hAnsi="Times New Roman"/>
          <w:b w:val="1"/>
          <w:bCs w:val="1"/>
          <w:i w:val="0"/>
          <w:iCs w:val="0"/>
          <w:color w:val="0f172a"/>
          <w:sz w:val="23"/>
          <w:szCs w:val="23"/>
          <w:rtl w:val="0"/>
        </w:rPr>
        <w:t xml:space="preserve">227.707 ARS</w:t>
      </w:r>
      <w:r w:rsidDel="00000000" w:rsidR="00000000" w:rsidRPr="00000000">
        <w:rPr>
          <w:rFonts w:ascii="Times New Roman" w:cs="Times New Roman" w:eastAsia="Times New Roman" w:hAnsi="Times New Roman"/>
          <w:b w:val="0"/>
          <w:bCs w:val="0"/>
          <w:i w:val="0"/>
          <w:iCs w:val="0"/>
          <w:color w:val="0f172a"/>
          <w:sz w:val="23"/>
          <w:szCs w:val="23"/>
          <w:rtl w:val="0"/>
        </w:rPr>
        <w:t xml:space="preserve">.</w:t>
      </w:r>
      <w:r w:rsidDel="00000000" w:rsidR="00000000" w:rsidRPr="00000000">
        <w:rPr>
          <w:rtl w:val="0"/>
        </w:rPr>
      </w:r>
    </w:p>
    <w:p w:rsidR="00000000" w:rsidDel="00000000" w:rsidP="00000000" w:rsidRDefault="00000000" w:rsidRPr="00000000" w14:paraId="000008D5">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3. </w:t>
      </w:r>
      <w:r w:rsidDel="00000000" w:rsidR="00000000" w:rsidRPr="00000000">
        <w:rPr>
          <w:rFonts w:ascii="Times New Roman" w:cs="Times New Roman" w:eastAsia="Times New Roman" w:hAnsi="Times New Roman"/>
          <w:b w:val="1"/>
          <w:bCs w:val="1"/>
          <w:i w:val="0"/>
          <w:iCs w:val="0"/>
          <w:color w:val="0f172a"/>
          <w:sz w:val="23"/>
          <w:szCs w:val="23"/>
          <w:rtl w:val="0"/>
        </w:rPr>
        <w:t xml:space="preserve">Recursos Financieros (Sec. X.3)</w:t>
      </w:r>
      <w:r w:rsidDel="00000000" w:rsidR="00000000" w:rsidRPr="00000000">
        <w:rPr>
          <w:rFonts w:ascii="Times New Roman" w:cs="Times New Roman" w:eastAsia="Times New Roman" w:hAnsi="Times New Roman"/>
          <w:b w:val="0"/>
          <w:bCs w:val="0"/>
          <w:i w:val="0"/>
          <w:iCs w:val="0"/>
          <w:color w:val="0f172a"/>
          <w:sz w:val="23"/>
          <w:szCs w:val="23"/>
          <w:rtl w:val="0"/>
        </w:rPr>
        <w:t xml:space="preserve">: Inversión inicial consolidada (I_0) de </w:t>
      </w:r>
      <w:r w:rsidDel="00000000" w:rsidR="00000000" w:rsidRPr="00000000">
        <w:rPr>
          <w:rFonts w:ascii="Times New Roman" w:cs="Times New Roman" w:eastAsia="Times New Roman" w:hAnsi="Times New Roman"/>
          <w:b w:val="1"/>
          <w:bCs w:val="1"/>
          <w:i w:val="0"/>
          <w:iCs w:val="0"/>
          <w:color w:val="0f172a"/>
          <w:sz w:val="23"/>
          <w:szCs w:val="23"/>
          <w:rtl w:val="0"/>
        </w:rPr>
        <w:t xml:space="preserve">5.247.429 ARS</w:t>
      </w:r>
      <w:r w:rsidDel="00000000" w:rsidR="00000000" w:rsidRPr="00000000">
        <w:rPr>
          <w:rFonts w:ascii="Times New Roman" w:cs="Times New Roman" w:eastAsia="Times New Roman" w:hAnsi="Times New Roman"/>
          <w:b w:val="0"/>
          <w:bCs w:val="0"/>
          <w:i w:val="0"/>
          <w:iCs w:val="0"/>
          <w:color w:val="0f172a"/>
          <w:sz w:val="23"/>
          <w:szCs w:val="23"/>
          <w:rtl w:val="0"/>
        </w:rPr>
        <w:t xml:space="preserve"> (</w:t>
      </w:r>
      <w:r w:rsidDel="00000000" w:rsidR="00000000" w:rsidRPr="00000000">
        <w:rPr>
          <w:rFonts w:ascii="Times New Roman" w:cs="Times New Roman" w:eastAsia="Times New Roman" w:hAnsi="Times New Roman"/>
          <w:b w:val="1"/>
          <w:bCs w:val="1"/>
          <w:i w:val="0"/>
          <w:iCs w:val="0"/>
          <w:color w:val="0f172a"/>
          <w:sz w:val="23"/>
          <w:szCs w:val="23"/>
          <w:rtl w:val="0"/>
        </w:rPr>
        <w:t xml:space="preserve">USD 3.398,68</w:t>
      </w:r>
      <w:r w:rsidDel="00000000" w:rsidR="00000000" w:rsidRPr="00000000">
        <w:rPr>
          <w:rFonts w:ascii="Times New Roman" w:cs="Times New Roman" w:eastAsia="Times New Roman" w:hAnsi="Times New Roman"/>
          <w:b w:val="0"/>
          <w:bCs w:val="0"/>
          <w:i w:val="0"/>
          <w:iCs w:val="0"/>
          <w:color w:val="0f172a"/>
          <w:sz w:val="23"/>
          <w:szCs w:val="23"/>
          <w:rtl w:val="0"/>
        </w:rPr>
        <w:t xml:space="preserve"> a 1.543,96 ARS/USD), complementada con519.097 ARS en activos intangibles (DNDA, INPI marcas, firma digital ONTI, dominio bienal DonWeb </w:t>
      </w:r>
      <w:r w:rsidDel="00000000" w:rsidR="00000000" w:rsidRPr="00000000">
        <w:rPr>
          <w:rFonts w:ascii="Consolas" w:cs="Consolas" w:eastAsia="Consolas" w:hAnsi="Consolas"/>
          <w:b w:val="0"/>
          <w:bCs w:val="0"/>
          <w:i w:val="0"/>
          <w:iCs w:val="0"/>
          <w:color w:val="334155"/>
          <w:sz w:val="20"/>
          <w:szCs w:val="20"/>
          <w:rtl w:val="0"/>
        </w:rPr>
        <w:t xml:space="preserve">codi-space.com</w:t>
      </w:r>
      <w:r w:rsidDel="00000000" w:rsidR="00000000" w:rsidRPr="00000000">
        <w:rPr>
          <w:rFonts w:ascii="Times New Roman" w:cs="Times New Roman" w:eastAsia="Times New Roman" w:hAnsi="Times New Roman"/>
          <w:b w:val="0"/>
          <w:bCs w:val="0"/>
          <w:i w:val="0"/>
          <w:iCs w:val="0"/>
          <w:color w:val="0f172a"/>
          <w:sz w:val="23"/>
          <w:szCs w:val="23"/>
          <w:rtl w:val="0"/>
        </w:rPr>
        <w:t xml:space="preserve">, infraestructura cloud y suscripciones a entornos de IA para desarrollo del autor por USD 35/mes). El modelo B2B Enterprise viabiliza el punto de equilibrio operativo con </w:t>
      </w:r>
      <w:r w:rsidDel="00000000" w:rsidR="00000000" w:rsidRPr="00000000">
        <w:rPr>
          <w:rFonts w:ascii="Times New Roman" w:cs="Times New Roman" w:eastAsia="Times New Roman" w:hAnsi="Times New Roman"/>
          <w:b w:val="1"/>
          <w:bCs w:val="1"/>
          <w:i w:val="0"/>
          <w:iCs w:val="0"/>
          <w:color w:val="0f172a"/>
          <w:sz w:val="23"/>
          <w:szCs w:val="23"/>
          <w:rtl w:val="0"/>
        </w:rPr>
        <w:t xml:space="preserve">una única licencia anual</w:t>
      </w:r>
      <w:r w:rsidDel="00000000" w:rsidR="00000000" w:rsidRPr="00000000">
        <w:rPr>
          <w:rFonts w:ascii="Times New Roman" w:cs="Times New Roman" w:eastAsia="Times New Roman" w:hAnsi="Times New Roman"/>
          <w:b w:val="0"/>
          <w:bCs w:val="0"/>
          <w:i w:val="0"/>
          <w:iCs w:val="0"/>
          <w:color w:val="0f172a"/>
          <w:sz w:val="23"/>
          <w:szCs w:val="23"/>
          <w:rtl w:val="0"/>
        </w:rPr>
        <w:t xml:space="preserve"> (Q_op = 0,81) y el recupero del 100% del capital inicial en </w:t>
      </w:r>
      <w:r w:rsidDel="00000000" w:rsidR="00000000" w:rsidRPr="00000000">
        <w:rPr>
          <w:rFonts w:ascii="Times New Roman" w:cs="Times New Roman" w:eastAsia="Times New Roman" w:hAnsi="Times New Roman"/>
          <w:b w:val="1"/>
          <w:bCs w:val="1"/>
          <w:i w:val="0"/>
          <w:iCs w:val="0"/>
          <w:color w:val="0f172a"/>
          <w:sz w:val="23"/>
          <w:szCs w:val="23"/>
          <w:rtl w:val="0"/>
        </w:rPr>
        <w:t xml:space="preserve">5,5 meses</w:t>
      </w:r>
      <w:r w:rsidDel="00000000" w:rsidR="00000000" w:rsidRPr="00000000">
        <w:rPr>
          <w:rFonts w:ascii="Times New Roman" w:cs="Times New Roman" w:eastAsia="Times New Roman" w:hAnsi="Times New Roman"/>
          <w:b w:val="0"/>
          <w:bCs w:val="0"/>
          <w:i w:val="0"/>
          <w:iCs w:val="0"/>
          <w:color w:val="0f172a"/>
          <w:sz w:val="23"/>
          <w:szCs w:val="23"/>
          <w:rtl w:val="0"/>
        </w:rPr>
        <w:t xml:space="preserve"> con tres licencias colocadas (Escenario Base).</w:t>
      </w:r>
      <w:r w:rsidDel="00000000" w:rsidR="00000000" w:rsidRPr="00000000">
        <w:rPr>
          <w:rtl w:val="0"/>
        </w:rPr>
      </w:r>
    </w:p>
    <w:p w:rsidR="00000000" w:rsidDel="00000000" w:rsidP="00000000" w:rsidRDefault="00000000" w:rsidRPr="00000000" w14:paraId="000008D6">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4. </w:t>
      </w:r>
      <w:r w:rsidDel="00000000" w:rsidR="00000000" w:rsidRPr="00000000">
        <w:rPr>
          <w:rFonts w:ascii="Times New Roman" w:cs="Times New Roman" w:eastAsia="Times New Roman" w:hAnsi="Times New Roman"/>
          <w:b w:val="1"/>
          <w:bCs w:val="1"/>
          <w:i w:val="0"/>
          <w:iCs w:val="0"/>
          <w:color w:val="0f172a"/>
          <w:sz w:val="23"/>
          <w:szCs w:val="23"/>
          <w:rtl w:val="0"/>
        </w:rPr>
        <w:t xml:space="preserve">Recursos Tecnológicos (Sec. X.4)</w:t>
      </w:r>
      <w:r w:rsidDel="00000000" w:rsidR="00000000" w:rsidRPr="00000000">
        <w:rPr>
          <w:rFonts w:ascii="Times New Roman" w:cs="Times New Roman" w:eastAsia="Times New Roman" w:hAnsi="Times New Roman"/>
          <w:b w:val="0"/>
          <w:bCs w:val="0"/>
          <w:i w:val="0"/>
          <w:iCs w:val="0"/>
          <w:color w:val="0f172a"/>
          <w:sz w:val="23"/>
          <w:szCs w:val="23"/>
          <w:rtl w:val="0"/>
        </w:rPr>
        <w:t xml:space="preserve">: Ecosistema basado en Python 3.12, FastAPI, NumPy/SciPy/SymPy, Poliastro, Pydantic v2, SQLite WAL/PostgreSQL, arquitectura neuro-simbólica híbrida desacoplada (Ollama local / BYOK), React 18, Vite, TypeScript, shadcn/ui con Tailwind CSS y contenedores Docker Compose, con descarte explícito de software privativo costoso (Ansys STK, MATLAB) y monolitos pesados.</w:t>
      </w:r>
      <w:r w:rsidDel="00000000" w:rsidR="00000000" w:rsidRPr="00000000">
        <w:rPr>
          <w:rtl w:val="0"/>
        </w:rPr>
      </w:r>
    </w:p>
    <w:p w:rsidR="00000000" w:rsidDel="00000000" w:rsidP="00000000" w:rsidRDefault="00000000" w:rsidRPr="00000000" w14:paraId="000008D7">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5. </w:t>
      </w:r>
      <w:r w:rsidDel="00000000" w:rsidR="00000000" w:rsidRPr="00000000">
        <w:rPr>
          <w:rFonts w:ascii="Times New Roman" w:cs="Times New Roman" w:eastAsia="Times New Roman" w:hAnsi="Times New Roman"/>
          <w:b w:val="1"/>
          <w:bCs w:val="1"/>
          <w:i w:val="0"/>
          <w:iCs w:val="0"/>
          <w:color w:val="0f172a"/>
          <w:sz w:val="23"/>
          <w:szCs w:val="23"/>
          <w:rtl w:val="0"/>
        </w:rPr>
        <w:t xml:space="preserve">Otros Recursos (Sec. X.5)</w:t>
      </w:r>
      <w:r w:rsidDel="00000000" w:rsidR="00000000" w:rsidRPr="00000000">
        <w:rPr>
          <w:rFonts w:ascii="Times New Roman" w:cs="Times New Roman" w:eastAsia="Times New Roman" w:hAnsi="Times New Roman"/>
          <w:b w:val="0"/>
          <w:bCs w:val="0"/>
          <w:i w:val="0"/>
          <w:iCs w:val="0"/>
          <w:color w:val="0f172a"/>
          <w:sz w:val="23"/>
          <w:szCs w:val="23"/>
          <w:rtl w:val="0"/>
        </w:rPr>
        <w:t xml:space="preserve">: Corpus normativo curado de estándares internacionales (ECSS, NASA, Cal Poly), datasets reales de satélites CubeSat 3U del CTA-UNLP y benchmark científico, validación de diseño institucional con la Ing. Sonia Botta, medición psicométrica rigurosa de carga de trabajo mediante NASA-TLX y suites de regresión automatizadas sobre pytest.</w:t>
      </w:r>
      <w:r w:rsidDel="00000000" w:rsidR="00000000" w:rsidRPr="00000000">
        <w:rPr>
          <w:rtl w:val="0"/>
        </w:rPr>
      </w:r>
    </w:p>
    <w:p w:rsidR="00000000" w:rsidDel="00000000" w:rsidP="00000000" w:rsidRDefault="00000000" w:rsidRPr="00000000" w14:paraId="000008D8">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La articulación armónica de estos cinco pilares asegura que el proyecto CODI cuente con un respaldo metodológico, técnico, económico y experimental inatacable para la culminación exitosa de la formulación de proyecto.</w:t>
      </w:r>
      <w:r w:rsidDel="00000000" w:rsidR="00000000" w:rsidRPr="00000000">
        <w:rPr>
          <w:rtl w:val="0"/>
        </w:rPr>
      </w:r>
    </w:p>
    <w:p w:rsidR="00000000" w:rsidDel="00000000" w:rsidP="00000000" w:rsidRDefault="00000000" w:rsidRPr="00000000" w14:paraId="000008D9">
      <w:pPr>
        <w:pStyle w:val="Heading1"/>
        <w:keepNext w:val="1"/>
        <w:pageBreakBefore w:val="1"/>
        <w:rPr/>
      </w:pPr>
      <w:r w:rsidDel="00000000" w:rsidR="00000000" w:rsidRPr="00000000">
        <w:rPr>
          <w:rFonts w:ascii="Times New Roman" w:cs="Times New Roman" w:eastAsia="Times New Roman" w:hAnsi="Times New Roman"/>
          <w:b w:val="1"/>
          <w:bCs w:val="1"/>
          <w:i w:val="0"/>
          <w:iCs w:val="0"/>
          <w:color w:val="0f172a"/>
          <w:sz w:val="32"/>
          <w:szCs w:val="32"/>
          <w:rtl w:val="0"/>
        </w:rPr>
        <w:t xml:space="preserve">BIBLIOGRAFÍA</w:t>
      </w:r>
      <w:r w:rsidDel="00000000" w:rsidR="00000000" w:rsidRPr="00000000">
        <w:rPr>
          <w:rtl w:val="0"/>
        </w:rPr>
      </w:r>
    </w:p>
    <w:p w:rsidR="00000000" w:rsidDel="00000000" w:rsidP="00000000" w:rsidRDefault="00000000" w:rsidRPr="00000000" w14:paraId="000008DA">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Ali, A., Khan, M. A., &amp; Rehman, S. (2026). Battery depth of discharge and thermal modeling for low Earth orbit nanosatellites: A comprehensive review. </w:t>
      </w:r>
      <w:r w:rsidDel="00000000" w:rsidR="00000000" w:rsidRPr="00000000">
        <w:rPr>
          <w:rFonts w:ascii="Times New Roman" w:cs="Times New Roman" w:eastAsia="Times New Roman" w:hAnsi="Times New Roman"/>
          <w:b w:val="0"/>
          <w:bCs w:val="0"/>
          <w:i w:val="1"/>
          <w:iCs w:val="1"/>
          <w:color w:val="0f172a"/>
          <w:sz w:val="24"/>
          <w:szCs w:val="24"/>
          <w:rtl w:val="0"/>
        </w:rPr>
        <w:t xml:space="preserve">Journal of Energy Storage</w:t>
      </w:r>
      <w:r w:rsidDel="00000000" w:rsidR="00000000" w:rsidRPr="00000000">
        <w:rPr>
          <w:rFonts w:ascii="Times New Roman" w:cs="Times New Roman" w:eastAsia="Times New Roman" w:hAnsi="Times New Roman"/>
          <w:b w:val="0"/>
          <w:bCs w:val="0"/>
          <w:i w:val="0"/>
          <w:iCs w:val="0"/>
          <w:color w:val="0f172a"/>
          <w:sz w:val="24"/>
          <w:szCs w:val="24"/>
          <w:rtl w:val="0"/>
        </w:rPr>
        <w:t xml:space="preserve">, 82, Artículo 110452. https://doi.org/10.1016/j.est.2026.110452</w:t>
      </w:r>
      <w:r w:rsidDel="00000000" w:rsidR="00000000" w:rsidRPr="00000000">
        <w:rPr>
          <w:rtl w:val="0"/>
        </w:rPr>
      </w:r>
    </w:p>
    <w:p w:rsidR="00000000" w:rsidDel="00000000" w:rsidP="00000000" w:rsidRDefault="00000000" w:rsidRPr="00000000" w14:paraId="000008DB">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Altair Engineering. (2026). </w:t>
      </w:r>
      <w:r w:rsidDel="00000000" w:rsidR="00000000" w:rsidRPr="00000000">
        <w:rPr>
          <w:rFonts w:ascii="Times New Roman" w:cs="Times New Roman" w:eastAsia="Times New Roman" w:hAnsi="Times New Roman"/>
          <w:b w:val="0"/>
          <w:bCs w:val="0"/>
          <w:i w:val="1"/>
          <w:iCs w:val="1"/>
          <w:color w:val="0f172a"/>
          <w:sz w:val="24"/>
          <w:szCs w:val="24"/>
          <w:rtl w:val="0"/>
        </w:rPr>
        <w:t xml:space="preserve">Altair Monarch &amp; HyperWorks simulation suite</w:t>
      </w:r>
      <w:r w:rsidDel="00000000" w:rsidR="00000000" w:rsidRPr="00000000">
        <w:rPr>
          <w:rFonts w:ascii="Times New Roman" w:cs="Times New Roman" w:eastAsia="Times New Roman" w:hAnsi="Times New Roman"/>
          <w:b w:val="0"/>
          <w:bCs w:val="0"/>
          <w:i w:val="0"/>
          <w:iCs w:val="0"/>
          <w:color w:val="0f172a"/>
          <w:sz w:val="24"/>
          <w:szCs w:val="24"/>
          <w:rtl w:val="0"/>
        </w:rPr>
        <w:t xml:space="preserve"> (Versión 2026). Altair Engineering Inc. https://www.altair.com/</w:t>
      </w:r>
      <w:r w:rsidDel="00000000" w:rsidR="00000000" w:rsidRPr="00000000">
        <w:rPr>
          <w:rtl w:val="0"/>
        </w:rPr>
      </w:r>
    </w:p>
    <w:p w:rsidR="00000000" w:rsidDel="00000000" w:rsidP="00000000" w:rsidRDefault="00000000" w:rsidRPr="00000000" w14:paraId="000008DC">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Altium Limited. (2026). </w:t>
      </w:r>
      <w:r w:rsidDel="00000000" w:rsidR="00000000" w:rsidRPr="00000000">
        <w:rPr>
          <w:rFonts w:ascii="Times New Roman" w:cs="Times New Roman" w:eastAsia="Times New Roman" w:hAnsi="Times New Roman"/>
          <w:b w:val="0"/>
          <w:bCs w:val="0"/>
          <w:i w:val="1"/>
          <w:iCs w:val="1"/>
          <w:color w:val="0f172a"/>
          <w:sz w:val="24"/>
          <w:szCs w:val="24"/>
          <w:rtl w:val="0"/>
        </w:rPr>
        <w:t xml:space="preserve">Valispace: Smart hardware engineering and data-driven systems engineering</w:t>
      </w:r>
      <w:r w:rsidDel="00000000" w:rsidR="00000000" w:rsidRPr="00000000">
        <w:rPr>
          <w:rFonts w:ascii="Times New Roman" w:cs="Times New Roman" w:eastAsia="Times New Roman" w:hAnsi="Times New Roman"/>
          <w:b w:val="0"/>
          <w:bCs w:val="0"/>
          <w:i w:val="0"/>
          <w:iCs w:val="0"/>
          <w:color w:val="0f172a"/>
          <w:sz w:val="24"/>
          <w:szCs w:val="24"/>
          <w:rtl w:val="0"/>
        </w:rPr>
        <w:t xml:space="preserve"> (Versión 2026.1). Altium Limited. https://www.valispace.com/</w:t>
      </w:r>
      <w:r w:rsidDel="00000000" w:rsidR="00000000" w:rsidRPr="00000000">
        <w:rPr>
          <w:rtl w:val="0"/>
        </w:rPr>
      </w:r>
    </w:p>
    <w:p w:rsidR="00000000" w:rsidDel="00000000" w:rsidP="00000000" w:rsidRDefault="00000000" w:rsidRPr="00000000" w14:paraId="000008DD">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Ansys. (2026). </w:t>
      </w:r>
      <w:r w:rsidDel="00000000" w:rsidR="00000000" w:rsidRPr="00000000">
        <w:rPr>
          <w:rFonts w:ascii="Times New Roman" w:cs="Times New Roman" w:eastAsia="Times New Roman" w:hAnsi="Times New Roman"/>
          <w:b w:val="0"/>
          <w:bCs w:val="0"/>
          <w:i w:val="1"/>
          <w:iCs w:val="1"/>
          <w:color w:val="0f172a"/>
          <w:sz w:val="24"/>
          <w:szCs w:val="24"/>
          <w:rtl w:val="0"/>
        </w:rPr>
        <w:t xml:space="preserve">Ansys Systems Tool Kit (STK)</w:t>
      </w:r>
      <w:r w:rsidDel="00000000" w:rsidR="00000000" w:rsidRPr="00000000">
        <w:rPr>
          <w:rFonts w:ascii="Times New Roman" w:cs="Times New Roman" w:eastAsia="Times New Roman" w:hAnsi="Times New Roman"/>
          <w:b w:val="0"/>
          <w:bCs w:val="0"/>
          <w:i w:val="0"/>
          <w:iCs w:val="0"/>
          <w:color w:val="0f172a"/>
          <w:sz w:val="24"/>
          <w:szCs w:val="24"/>
          <w:rtl w:val="0"/>
        </w:rPr>
        <w:t xml:space="preserve"> (Versión 12.8). Ansys Inc. https://www.ansys.com/products/missions/ansys-stk</w:t>
      </w:r>
      <w:r w:rsidDel="00000000" w:rsidR="00000000" w:rsidRPr="00000000">
        <w:rPr>
          <w:rtl w:val="0"/>
        </w:rPr>
      </w:r>
    </w:p>
    <w:p w:rsidR="00000000" w:rsidDel="00000000" w:rsidP="00000000" w:rsidRDefault="00000000" w:rsidRPr="00000000" w14:paraId="000008DE">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California Polytechnic State University. (2024). </w:t>
      </w:r>
      <w:r w:rsidDel="00000000" w:rsidR="00000000" w:rsidRPr="00000000">
        <w:rPr>
          <w:rFonts w:ascii="Times New Roman" w:cs="Times New Roman" w:eastAsia="Times New Roman" w:hAnsi="Times New Roman"/>
          <w:b w:val="0"/>
          <w:bCs w:val="0"/>
          <w:i w:val="1"/>
          <w:iCs w:val="1"/>
          <w:color w:val="0f172a"/>
          <w:sz w:val="24"/>
          <w:szCs w:val="24"/>
          <w:rtl w:val="0"/>
        </w:rPr>
        <w:t xml:space="preserve">CubeSat design specification (1U–12U)</w:t>
      </w:r>
      <w:r w:rsidDel="00000000" w:rsidR="00000000" w:rsidRPr="00000000">
        <w:rPr>
          <w:rFonts w:ascii="Times New Roman" w:cs="Times New Roman" w:eastAsia="Times New Roman" w:hAnsi="Times New Roman"/>
          <w:b w:val="0"/>
          <w:bCs w:val="0"/>
          <w:i w:val="0"/>
          <w:iCs w:val="0"/>
          <w:color w:val="0f172a"/>
          <w:sz w:val="24"/>
          <w:szCs w:val="24"/>
          <w:rtl w:val="0"/>
        </w:rPr>
        <w:t xml:space="preserve"> (REV 14.1 CP-CDS-R14.1). Cal Poly San Luis Obispo. https://www.cubesat.org/cubesatinfo</w:t>
      </w:r>
      <w:r w:rsidDel="00000000" w:rsidR="00000000" w:rsidRPr="00000000">
        <w:rPr>
          <w:rtl w:val="0"/>
        </w:rPr>
      </w:r>
    </w:p>
    <w:p w:rsidR="00000000" w:rsidDel="00000000" w:rsidP="00000000" w:rsidRDefault="00000000" w:rsidRPr="00000000" w14:paraId="000008DF">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Dassault Systèmes. (2026). </w:t>
      </w:r>
      <w:r w:rsidDel="00000000" w:rsidR="00000000" w:rsidRPr="00000000">
        <w:rPr>
          <w:rFonts w:ascii="Times New Roman" w:cs="Times New Roman" w:eastAsia="Times New Roman" w:hAnsi="Times New Roman"/>
          <w:b w:val="0"/>
          <w:bCs w:val="0"/>
          <w:i w:val="1"/>
          <w:iCs w:val="1"/>
          <w:color w:val="0f172a"/>
          <w:sz w:val="24"/>
          <w:szCs w:val="24"/>
          <w:rtl w:val="0"/>
        </w:rPr>
        <w:t xml:space="preserve">Cameo Systems Modeler &amp; CATIA No Magic</w:t>
      </w:r>
      <w:r w:rsidDel="00000000" w:rsidR="00000000" w:rsidRPr="00000000">
        <w:rPr>
          <w:rFonts w:ascii="Times New Roman" w:cs="Times New Roman" w:eastAsia="Times New Roman" w:hAnsi="Times New Roman"/>
          <w:b w:val="0"/>
          <w:bCs w:val="0"/>
          <w:i w:val="0"/>
          <w:iCs w:val="0"/>
          <w:color w:val="0f172a"/>
          <w:sz w:val="24"/>
          <w:szCs w:val="24"/>
          <w:rtl w:val="0"/>
        </w:rPr>
        <w:t xml:space="preserve"> (Versión 2026x). Dassault Systèmes. https://www.3ds.com/</w:t>
      </w:r>
      <w:r w:rsidDel="00000000" w:rsidR="00000000" w:rsidRPr="00000000">
        <w:rPr>
          <w:rtl w:val="0"/>
        </w:rPr>
      </w:r>
    </w:p>
    <w:p w:rsidR="00000000" w:rsidDel="00000000" w:rsidP="00000000" w:rsidRDefault="00000000" w:rsidRPr="00000000" w14:paraId="000008E0">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Deckers, R., &amp; Lago, P. (2026). Engineering a cognition-based specification method. </w:t>
      </w:r>
      <w:r w:rsidDel="00000000" w:rsidR="00000000" w:rsidRPr="00000000">
        <w:rPr>
          <w:rFonts w:ascii="Times New Roman" w:cs="Times New Roman" w:eastAsia="Times New Roman" w:hAnsi="Times New Roman"/>
          <w:b w:val="0"/>
          <w:bCs w:val="0"/>
          <w:i w:val="1"/>
          <w:iCs w:val="1"/>
          <w:color w:val="0f172a"/>
          <w:sz w:val="24"/>
          <w:szCs w:val="24"/>
          <w:rtl w:val="0"/>
        </w:rPr>
        <w:t xml:space="preserve">Software and Systems Modeling</w:t>
      </w:r>
      <w:r w:rsidDel="00000000" w:rsidR="00000000" w:rsidRPr="00000000">
        <w:rPr>
          <w:rFonts w:ascii="Times New Roman" w:cs="Times New Roman" w:eastAsia="Times New Roman" w:hAnsi="Times New Roman"/>
          <w:b w:val="0"/>
          <w:bCs w:val="0"/>
          <w:i w:val="0"/>
          <w:iCs w:val="0"/>
          <w:color w:val="0f172a"/>
          <w:sz w:val="24"/>
          <w:szCs w:val="24"/>
          <w:rtl w:val="0"/>
        </w:rPr>
        <w:t xml:space="preserve">, 25(3), 1145–1168. https://doi.org/10.1007/s10270-025-01248-1</w:t>
      </w:r>
      <w:r w:rsidDel="00000000" w:rsidR="00000000" w:rsidRPr="00000000">
        <w:rPr>
          <w:rtl w:val="0"/>
        </w:rPr>
      </w:r>
    </w:p>
    <w:p w:rsidR="00000000" w:rsidDel="00000000" w:rsidP="00000000" w:rsidRDefault="00000000" w:rsidRPr="00000000" w14:paraId="000008E1">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Delp, C., Lam, D., Graf, P., &amp; Mandutianu, S. (2013). Model based engineering environment (MBEE). En </w:t>
      </w:r>
      <w:r w:rsidDel="00000000" w:rsidR="00000000" w:rsidRPr="00000000">
        <w:rPr>
          <w:rFonts w:ascii="Times New Roman" w:cs="Times New Roman" w:eastAsia="Times New Roman" w:hAnsi="Times New Roman"/>
          <w:b w:val="0"/>
          <w:bCs w:val="0"/>
          <w:i w:val="1"/>
          <w:iCs w:val="1"/>
          <w:color w:val="0f172a"/>
          <w:sz w:val="24"/>
          <w:szCs w:val="24"/>
          <w:rtl w:val="0"/>
        </w:rPr>
        <w:t xml:space="preserve">2013 IEEE Aerospace Conference</w:t>
      </w:r>
      <w:r w:rsidDel="00000000" w:rsidR="00000000" w:rsidRPr="00000000">
        <w:rPr>
          <w:rFonts w:ascii="Times New Roman" w:cs="Times New Roman" w:eastAsia="Times New Roman" w:hAnsi="Times New Roman"/>
          <w:b w:val="0"/>
          <w:bCs w:val="0"/>
          <w:i w:val="0"/>
          <w:iCs w:val="0"/>
          <w:color w:val="0f172a"/>
          <w:sz w:val="24"/>
          <w:szCs w:val="24"/>
          <w:rtl w:val="0"/>
        </w:rPr>
        <w:t xml:space="preserve"> (pp. 1–10). IEEE. https://doi.org/10.1109/AERO.2013.6496924</w:t>
      </w:r>
      <w:r w:rsidDel="00000000" w:rsidR="00000000" w:rsidRPr="00000000">
        <w:rPr>
          <w:rtl w:val="0"/>
        </w:rPr>
      </w:r>
    </w:p>
    <w:p w:rsidR="00000000" w:rsidDel="00000000" w:rsidP="00000000" w:rsidRDefault="00000000" w:rsidRPr="00000000" w14:paraId="000008E2">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Eclipse Foundation. (2026). </w:t>
      </w:r>
      <w:r w:rsidDel="00000000" w:rsidR="00000000" w:rsidRPr="00000000">
        <w:rPr>
          <w:rFonts w:ascii="Times New Roman" w:cs="Times New Roman" w:eastAsia="Times New Roman" w:hAnsi="Times New Roman"/>
          <w:b w:val="0"/>
          <w:bCs w:val="0"/>
          <w:i w:val="1"/>
          <w:iCs w:val="1"/>
          <w:color w:val="0f172a"/>
          <w:sz w:val="24"/>
          <w:szCs w:val="24"/>
          <w:rtl w:val="0"/>
        </w:rPr>
        <w:t xml:space="preserve">Eclipse Capella: Open source MBSE solution</w:t>
      </w:r>
      <w:r w:rsidDel="00000000" w:rsidR="00000000" w:rsidRPr="00000000">
        <w:rPr>
          <w:rFonts w:ascii="Times New Roman" w:cs="Times New Roman" w:eastAsia="Times New Roman" w:hAnsi="Times New Roman"/>
          <w:b w:val="0"/>
          <w:bCs w:val="0"/>
          <w:i w:val="0"/>
          <w:iCs w:val="0"/>
          <w:color w:val="0f172a"/>
          <w:sz w:val="24"/>
          <w:szCs w:val="24"/>
          <w:rtl w:val="0"/>
        </w:rPr>
        <w:t xml:space="preserve"> (Versión 7.0). Eclipse Foundation. https://www.eclipse.org/capella/</w:t>
      </w:r>
      <w:r w:rsidDel="00000000" w:rsidR="00000000" w:rsidRPr="00000000">
        <w:rPr>
          <w:rtl w:val="0"/>
        </w:rPr>
      </w:r>
    </w:p>
    <w:p w:rsidR="00000000" w:rsidDel="00000000" w:rsidP="00000000" w:rsidRDefault="00000000" w:rsidRPr="00000000" w14:paraId="000008E3">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Hachimi, Y., Daghouri, A., Mahmoudi, H., Ouhammam, A., &amp; El Hani, S. (2025). A framework for sizing, designing, and testing of electrical power system for nanosatellites: A case study of a 3U university CubeSat. </w:t>
      </w:r>
      <w:r w:rsidDel="00000000" w:rsidR="00000000" w:rsidRPr="00000000">
        <w:rPr>
          <w:rFonts w:ascii="Times New Roman" w:cs="Times New Roman" w:eastAsia="Times New Roman" w:hAnsi="Times New Roman"/>
          <w:b w:val="0"/>
          <w:bCs w:val="0"/>
          <w:i w:val="1"/>
          <w:iCs w:val="1"/>
          <w:color w:val="0f172a"/>
          <w:sz w:val="24"/>
          <w:szCs w:val="24"/>
          <w:rtl w:val="0"/>
        </w:rPr>
        <w:t xml:space="preserve">Results in Engineering</w:t>
      </w:r>
      <w:r w:rsidDel="00000000" w:rsidR="00000000" w:rsidRPr="00000000">
        <w:rPr>
          <w:rFonts w:ascii="Times New Roman" w:cs="Times New Roman" w:eastAsia="Times New Roman" w:hAnsi="Times New Roman"/>
          <w:b w:val="0"/>
          <w:bCs w:val="0"/>
          <w:i w:val="0"/>
          <w:iCs w:val="0"/>
          <w:color w:val="0f172a"/>
          <w:sz w:val="24"/>
          <w:szCs w:val="24"/>
          <w:rtl w:val="0"/>
        </w:rPr>
        <w:t xml:space="preserve">, 25, Artículo 100125. https://doi.org/10.1016/j.rineng.2024.100125</w:t>
      </w:r>
      <w:r w:rsidDel="00000000" w:rsidR="00000000" w:rsidRPr="00000000">
        <w:rPr>
          <w:rtl w:val="0"/>
        </w:rPr>
      </w:r>
    </w:p>
    <w:p w:rsidR="00000000" w:rsidDel="00000000" w:rsidP="00000000" w:rsidRDefault="00000000" w:rsidRPr="00000000" w14:paraId="000008E4">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European Cooperation for Space Standardization. (2009a). </w:t>
      </w:r>
      <w:r w:rsidDel="00000000" w:rsidR="00000000" w:rsidRPr="00000000">
        <w:rPr>
          <w:rFonts w:ascii="Times New Roman" w:cs="Times New Roman" w:eastAsia="Times New Roman" w:hAnsi="Times New Roman"/>
          <w:b w:val="0"/>
          <w:bCs w:val="0"/>
          <w:i w:val="1"/>
          <w:iCs w:val="1"/>
          <w:color w:val="0f172a"/>
          <w:sz w:val="24"/>
          <w:szCs w:val="24"/>
          <w:rtl w:val="0"/>
        </w:rPr>
        <w:t xml:space="preserve">Space engineering: System engineering general requirements</w:t>
      </w:r>
      <w:r w:rsidDel="00000000" w:rsidR="00000000" w:rsidRPr="00000000">
        <w:rPr>
          <w:rFonts w:ascii="Times New Roman" w:cs="Times New Roman" w:eastAsia="Times New Roman" w:hAnsi="Times New Roman"/>
          <w:b w:val="0"/>
          <w:bCs w:val="0"/>
          <w:i w:val="0"/>
          <w:iCs w:val="0"/>
          <w:color w:val="0f172a"/>
          <w:sz w:val="24"/>
          <w:szCs w:val="24"/>
          <w:rtl w:val="0"/>
        </w:rPr>
        <w:t xml:space="preserve"> (ECSS-E-ST-10C). ESA-ESTEC.</w:t>
      </w:r>
      <w:r w:rsidDel="00000000" w:rsidR="00000000" w:rsidRPr="00000000">
        <w:rPr>
          <w:rtl w:val="0"/>
        </w:rPr>
      </w:r>
    </w:p>
    <w:p w:rsidR="00000000" w:rsidDel="00000000" w:rsidP="00000000" w:rsidRDefault="00000000" w:rsidRPr="00000000" w14:paraId="000008E5">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European Cooperation for Space Standardization. (2009b). </w:t>
      </w:r>
      <w:r w:rsidDel="00000000" w:rsidR="00000000" w:rsidRPr="00000000">
        <w:rPr>
          <w:rFonts w:ascii="Times New Roman" w:cs="Times New Roman" w:eastAsia="Times New Roman" w:hAnsi="Times New Roman"/>
          <w:b w:val="0"/>
          <w:bCs w:val="0"/>
          <w:i w:val="1"/>
          <w:iCs w:val="1"/>
          <w:color w:val="0f172a"/>
          <w:sz w:val="24"/>
          <w:szCs w:val="24"/>
          <w:rtl w:val="0"/>
        </w:rPr>
        <w:t xml:space="preserve">Space engineering: Space environment</w:t>
      </w:r>
      <w:r w:rsidDel="00000000" w:rsidR="00000000" w:rsidRPr="00000000">
        <w:rPr>
          <w:rFonts w:ascii="Times New Roman" w:cs="Times New Roman" w:eastAsia="Times New Roman" w:hAnsi="Times New Roman"/>
          <w:b w:val="0"/>
          <w:bCs w:val="0"/>
          <w:i w:val="0"/>
          <w:iCs w:val="0"/>
          <w:color w:val="0f172a"/>
          <w:sz w:val="24"/>
          <w:szCs w:val="24"/>
          <w:rtl w:val="0"/>
        </w:rPr>
        <w:t xml:space="preserve"> (ECSS-E-ST-10-04C). ESA-ESTEC.</w:t>
      </w:r>
      <w:r w:rsidDel="00000000" w:rsidR="00000000" w:rsidRPr="00000000">
        <w:rPr>
          <w:rtl w:val="0"/>
        </w:rPr>
      </w:r>
    </w:p>
    <w:p w:rsidR="00000000" w:rsidDel="00000000" w:rsidP="00000000" w:rsidRDefault="00000000" w:rsidRPr="00000000" w14:paraId="000008E6">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European Cooperation for Space Standardization. (2017). </w:t>
      </w:r>
      <w:r w:rsidDel="00000000" w:rsidR="00000000" w:rsidRPr="00000000">
        <w:rPr>
          <w:rFonts w:ascii="Times New Roman" w:cs="Times New Roman" w:eastAsia="Times New Roman" w:hAnsi="Times New Roman"/>
          <w:b w:val="0"/>
          <w:bCs w:val="0"/>
          <w:i w:val="1"/>
          <w:iCs w:val="1"/>
          <w:color w:val="0f172a"/>
          <w:sz w:val="24"/>
          <w:szCs w:val="24"/>
          <w:rtl w:val="0"/>
        </w:rPr>
        <w:t xml:space="preserve">Space product assurance: Software product assurance</w:t>
      </w:r>
      <w:r w:rsidDel="00000000" w:rsidR="00000000" w:rsidRPr="00000000">
        <w:rPr>
          <w:rFonts w:ascii="Times New Roman" w:cs="Times New Roman" w:eastAsia="Times New Roman" w:hAnsi="Times New Roman"/>
          <w:b w:val="0"/>
          <w:bCs w:val="0"/>
          <w:i w:val="0"/>
          <w:iCs w:val="0"/>
          <w:color w:val="0f172a"/>
          <w:sz w:val="24"/>
          <w:szCs w:val="24"/>
          <w:rtl w:val="0"/>
        </w:rPr>
        <w:t xml:space="preserve"> (ECSS-Q-ST-80C). ESA-ESTEC.</w:t>
      </w:r>
      <w:r w:rsidDel="00000000" w:rsidR="00000000" w:rsidRPr="00000000">
        <w:rPr>
          <w:rtl w:val="0"/>
        </w:rPr>
      </w:r>
    </w:p>
    <w:p w:rsidR="00000000" w:rsidDel="00000000" w:rsidP="00000000" w:rsidRDefault="00000000" w:rsidRPr="00000000" w14:paraId="000008E7">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European Cooperation for Space Standardization. (2020). </w:t>
      </w:r>
      <w:r w:rsidDel="00000000" w:rsidR="00000000" w:rsidRPr="00000000">
        <w:rPr>
          <w:rFonts w:ascii="Times New Roman" w:cs="Times New Roman" w:eastAsia="Times New Roman" w:hAnsi="Times New Roman"/>
          <w:b w:val="0"/>
          <w:bCs w:val="0"/>
          <w:i w:val="1"/>
          <w:iCs w:val="1"/>
          <w:color w:val="0f172a"/>
          <w:sz w:val="24"/>
          <w:szCs w:val="24"/>
          <w:rtl w:val="0"/>
        </w:rPr>
        <w:t xml:space="preserve">Space engineering: Electrical and electronic</w:t>
      </w:r>
      <w:r w:rsidDel="00000000" w:rsidR="00000000" w:rsidRPr="00000000">
        <w:rPr>
          <w:rFonts w:ascii="Times New Roman" w:cs="Times New Roman" w:eastAsia="Times New Roman" w:hAnsi="Times New Roman"/>
          <w:b w:val="0"/>
          <w:bCs w:val="0"/>
          <w:i w:val="0"/>
          <w:iCs w:val="0"/>
          <w:color w:val="0f172a"/>
          <w:sz w:val="24"/>
          <w:szCs w:val="24"/>
          <w:rtl w:val="0"/>
        </w:rPr>
        <w:t xml:space="preserve"> (ECSS-E-ST-20C Rev. 1). ESA-ESTEC.</w:t>
      </w:r>
      <w:r w:rsidDel="00000000" w:rsidR="00000000" w:rsidRPr="00000000">
        <w:rPr>
          <w:rtl w:val="0"/>
        </w:rPr>
      </w:r>
    </w:p>
    <w:p w:rsidR="00000000" w:rsidDel="00000000" w:rsidP="00000000" w:rsidRDefault="00000000" w:rsidRPr="00000000" w14:paraId="000008E8">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García Alarcia, R. M., &amp; Golkar, A. (2025). Generative AI for the design of complex systems: Roadmap and space mission case study. </w:t>
      </w:r>
      <w:r w:rsidDel="00000000" w:rsidR="00000000" w:rsidRPr="00000000">
        <w:rPr>
          <w:rFonts w:ascii="Times New Roman" w:cs="Times New Roman" w:eastAsia="Times New Roman" w:hAnsi="Times New Roman"/>
          <w:b w:val="0"/>
          <w:bCs w:val="0"/>
          <w:i w:val="1"/>
          <w:iCs w:val="1"/>
          <w:color w:val="0f172a"/>
          <w:sz w:val="24"/>
          <w:szCs w:val="24"/>
          <w:rtl w:val="0"/>
        </w:rPr>
        <w:t xml:space="preserve">Procedia Computer Science</w:t>
      </w:r>
      <w:r w:rsidDel="00000000" w:rsidR="00000000" w:rsidRPr="00000000">
        <w:rPr>
          <w:rFonts w:ascii="Times New Roman" w:cs="Times New Roman" w:eastAsia="Times New Roman" w:hAnsi="Times New Roman"/>
          <w:b w:val="0"/>
          <w:bCs w:val="0"/>
          <w:i w:val="0"/>
          <w:iCs w:val="0"/>
          <w:color w:val="0f172a"/>
          <w:sz w:val="24"/>
          <w:szCs w:val="24"/>
          <w:rtl w:val="0"/>
        </w:rPr>
        <w:t xml:space="preserve">, 268, 348–356. https://doi.org/10.1016/j.procs.2025.01.042</w:t>
      </w:r>
      <w:r w:rsidDel="00000000" w:rsidR="00000000" w:rsidRPr="00000000">
        <w:rPr>
          <w:rtl w:val="0"/>
        </w:rPr>
      </w:r>
    </w:p>
    <w:p w:rsidR="00000000" w:rsidDel="00000000" w:rsidP="00000000" w:rsidRDefault="00000000" w:rsidRPr="00000000" w14:paraId="000008E9">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Hart, S. G., &amp; Staveland, L. E. (1988). Development of NASA-TLX (Task Load Index): Results of empirical and theoretical research. En P. A. Hancock &amp; N. Meshkati (Eds.), </w:t>
      </w:r>
      <w:r w:rsidDel="00000000" w:rsidR="00000000" w:rsidRPr="00000000">
        <w:rPr>
          <w:rFonts w:ascii="Times New Roman" w:cs="Times New Roman" w:eastAsia="Times New Roman" w:hAnsi="Times New Roman"/>
          <w:b w:val="0"/>
          <w:bCs w:val="0"/>
          <w:i w:val="1"/>
          <w:iCs w:val="1"/>
          <w:color w:val="0f172a"/>
          <w:sz w:val="24"/>
          <w:szCs w:val="24"/>
          <w:rtl w:val="0"/>
        </w:rPr>
        <w:t xml:space="preserve">Human Mental Workload</w:t>
      </w:r>
      <w:r w:rsidDel="00000000" w:rsidR="00000000" w:rsidRPr="00000000">
        <w:rPr>
          <w:rFonts w:ascii="Times New Roman" w:cs="Times New Roman" w:eastAsia="Times New Roman" w:hAnsi="Times New Roman"/>
          <w:b w:val="0"/>
          <w:bCs w:val="0"/>
          <w:i w:val="0"/>
          <w:iCs w:val="0"/>
          <w:color w:val="0f172a"/>
          <w:sz w:val="24"/>
          <w:szCs w:val="24"/>
          <w:rtl w:val="0"/>
        </w:rPr>
        <w:t xml:space="preserve"> (Vol. 52, pp. 139–183). North-Holland. https://doi.org/10.1016/S0166-4115(08)62386-9</w:t>
      </w:r>
      <w:r w:rsidDel="00000000" w:rsidR="00000000" w:rsidRPr="00000000">
        <w:rPr>
          <w:rtl w:val="0"/>
        </w:rPr>
      </w:r>
    </w:p>
    <w:p w:rsidR="00000000" w:rsidDel="00000000" w:rsidP="00000000" w:rsidRDefault="00000000" w:rsidRPr="00000000" w14:paraId="000008EA">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Instituto Nacional de Seguridad y Salud en el Trabajo. (2001). </w:t>
      </w:r>
      <w:r w:rsidDel="00000000" w:rsidR="00000000" w:rsidRPr="00000000">
        <w:rPr>
          <w:rFonts w:ascii="Times New Roman" w:cs="Times New Roman" w:eastAsia="Times New Roman" w:hAnsi="Times New Roman"/>
          <w:b w:val="0"/>
          <w:bCs w:val="0"/>
          <w:i w:val="1"/>
          <w:iCs w:val="1"/>
          <w:color w:val="0f172a"/>
          <w:sz w:val="24"/>
          <w:szCs w:val="24"/>
          <w:rtl w:val="0"/>
        </w:rPr>
        <w:t xml:space="preserve">NTP 544: Estimación de la carga mental de trabajo: el método NASA-TLX</w:t>
      </w:r>
      <w:r w:rsidDel="00000000" w:rsidR="00000000" w:rsidRPr="00000000">
        <w:rPr>
          <w:rFonts w:ascii="Times New Roman" w:cs="Times New Roman" w:eastAsia="Times New Roman" w:hAnsi="Times New Roman"/>
          <w:b w:val="0"/>
          <w:bCs w:val="0"/>
          <w:i w:val="0"/>
          <w:iCs w:val="0"/>
          <w:color w:val="0f172a"/>
          <w:sz w:val="24"/>
          <w:szCs w:val="24"/>
          <w:rtl w:val="0"/>
        </w:rPr>
        <w:t xml:space="preserve">. Ministerio de Trabajo y Asuntos Sociales de España.</w:t>
      </w:r>
      <w:r w:rsidDel="00000000" w:rsidR="00000000" w:rsidRPr="00000000">
        <w:rPr>
          <w:rtl w:val="0"/>
        </w:rPr>
      </w:r>
    </w:p>
    <w:p w:rsidR="00000000" w:rsidDel="00000000" w:rsidP="00000000" w:rsidRDefault="00000000" w:rsidRPr="00000000" w14:paraId="000008EB">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International Organization for Standardization. (2011). </w:t>
      </w:r>
      <w:r w:rsidDel="00000000" w:rsidR="00000000" w:rsidRPr="00000000">
        <w:rPr>
          <w:rFonts w:ascii="Times New Roman" w:cs="Times New Roman" w:eastAsia="Times New Roman" w:hAnsi="Times New Roman"/>
          <w:b w:val="0"/>
          <w:bCs w:val="0"/>
          <w:i w:val="1"/>
          <w:iCs w:val="1"/>
          <w:color w:val="0f172a"/>
          <w:sz w:val="24"/>
          <w:szCs w:val="24"/>
          <w:rtl w:val="0"/>
        </w:rPr>
        <w:t xml:space="preserve">Systems and software engineering — Systems and software Quality Requirements and Evaluation (SQuaRE) — System and software quality models</w:t>
      </w:r>
      <w:r w:rsidDel="00000000" w:rsidR="00000000" w:rsidRPr="00000000">
        <w:rPr>
          <w:rFonts w:ascii="Times New Roman" w:cs="Times New Roman" w:eastAsia="Times New Roman" w:hAnsi="Times New Roman"/>
          <w:b w:val="0"/>
          <w:bCs w:val="0"/>
          <w:i w:val="0"/>
          <w:iCs w:val="0"/>
          <w:color w:val="0f172a"/>
          <w:sz w:val="24"/>
          <w:szCs w:val="24"/>
          <w:rtl w:val="0"/>
        </w:rPr>
        <w:t xml:space="preserve"> (ISO/IEC 25010:2011). ISO.</w:t>
      </w:r>
      <w:r w:rsidDel="00000000" w:rsidR="00000000" w:rsidRPr="00000000">
        <w:rPr>
          <w:rtl w:val="0"/>
        </w:rPr>
      </w:r>
    </w:p>
    <w:p w:rsidR="00000000" w:rsidDel="00000000" w:rsidP="00000000" w:rsidRDefault="00000000" w:rsidRPr="00000000" w14:paraId="000008EC">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International Organization for Standardization. (2018). </w:t>
      </w:r>
      <w:r w:rsidDel="00000000" w:rsidR="00000000" w:rsidRPr="00000000">
        <w:rPr>
          <w:rFonts w:ascii="Times New Roman" w:cs="Times New Roman" w:eastAsia="Times New Roman" w:hAnsi="Times New Roman"/>
          <w:b w:val="0"/>
          <w:bCs w:val="0"/>
          <w:i w:val="1"/>
          <w:iCs w:val="1"/>
          <w:color w:val="0f172a"/>
          <w:sz w:val="24"/>
          <w:szCs w:val="24"/>
          <w:rtl w:val="0"/>
        </w:rPr>
        <w:t xml:space="preserve">Systems and software engineering — Life cycle processes — Requirements engineering</w:t>
      </w:r>
      <w:r w:rsidDel="00000000" w:rsidR="00000000" w:rsidRPr="00000000">
        <w:rPr>
          <w:rFonts w:ascii="Times New Roman" w:cs="Times New Roman" w:eastAsia="Times New Roman" w:hAnsi="Times New Roman"/>
          <w:b w:val="0"/>
          <w:bCs w:val="0"/>
          <w:i w:val="0"/>
          <w:iCs w:val="0"/>
          <w:color w:val="0f172a"/>
          <w:sz w:val="24"/>
          <w:szCs w:val="24"/>
          <w:rtl w:val="0"/>
        </w:rPr>
        <w:t xml:space="preserve"> (ISO/IEC/IEEE 29148:2018). ISO.</w:t>
      </w:r>
      <w:r w:rsidDel="00000000" w:rsidR="00000000" w:rsidRPr="00000000">
        <w:rPr>
          <w:rtl w:val="0"/>
        </w:rPr>
      </w:r>
    </w:p>
    <w:p w:rsidR="00000000" w:rsidDel="00000000" w:rsidP="00000000" w:rsidRDefault="00000000" w:rsidRPr="00000000" w14:paraId="000008ED">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International Organization for Standardization. (2019). </w:t>
      </w:r>
      <w:r w:rsidDel="00000000" w:rsidR="00000000" w:rsidRPr="00000000">
        <w:rPr>
          <w:rFonts w:ascii="Times New Roman" w:cs="Times New Roman" w:eastAsia="Times New Roman" w:hAnsi="Times New Roman"/>
          <w:b w:val="0"/>
          <w:bCs w:val="0"/>
          <w:i w:val="1"/>
          <w:iCs w:val="1"/>
          <w:color w:val="0f172a"/>
          <w:sz w:val="24"/>
          <w:szCs w:val="24"/>
          <w:rtl w:val="0"/>
        </w:rPr>
        <w:t xml:space="preserve">Ergonomics of human-system interaction — Part 210: Human-centred design for interactive systems</w:t>
      </w:r>
      <w:r w:rsidDel="00000000" w:rsidR="00000000" w:rsidRPr="00000000">
        <w:rPr>
          <w:rFonts w:ascii="Times New Roman" w:cs="Times New Roman" w:eastAsia="Times New Roman" w:hAnsi="Times New Roman"/>
          <w:b w:val="0"/>
          <w:bCs w:val="0"/>
          <w:i w:val="0"/>
          <w:iCs w:val="0"/>
          <w:color w:val="0f172a"/>
          <w:sz w:val="24"/>
          <w:szCs w:val="24"/>
          <w:rtl w:val="0"/>
        </w:rPr>
        <w:t xml:space="preserve"> (ISO 9241-210:2019). ISO.</w:t>
      </w:r>
      <w:r w:rsidDel="00000000" w:rsidR="00000000" w:rsidRPr="00000000">
        <w:rPr>
          <w:rtl w:val="0"/>
        </w:rPr>
      </w:r>
    </w:p>
    <w:p w:rsidR="00000000" w:rsidDel="00000000" w:rsidP="00000000" w:rsidRDefault="00000000" w:rsidRPr="00000000" w14:paraId="000008EE">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Kanavouras, A. (2026). </w:t>
      </w:r>
      <w:r w:rsidDel="00000000" w:rsidR="00000000" w:rsidRPr="00000000">
        <w:rPr>
          <w:rFonts w:ascii="Times New Roman" w:cs="Times New Roman" w:eastAsia="Times New Roman" w:hAnsi="Times New Roman"/>
          <w:b w:val="0"/>
          <w:bCs w:val="0"/>
          <w:i w:val="1"/>
          <w:iCs w:val="1"/>
          <w:color w:val="0f172a"/>
          <w:sz w:val="24"/>
          <w:szCs w:val="24"/>
          <w:rtl w:val="0"/>
        </w:rPr>
        <w:t xml:space="preserve">Systems engineering for sub-CubeSat spacecraft</w:t>
      </w:r>
      <w:r w:rsidDel="00000000" w:rsidR="00000000" w:rsidRPr="00000000">
        <w:rPr>
          <w:rFonts w:ascii="Times New Roman" w:cs="Times New Roman" w:eastAsia="Times New Roman" w:hAnsi="Times New Roman"/>
          <w:b w:val="0"/>
          <w:bCs w:val="0"/>
          <w:i w:val="0"/>
          <w:iCs w:val="0"/>
          <w:color w:val="0f172a"/>
          <w:sz w:val="24"/>
          <w:szCs w:val="24"/>
          <w:rtl w:val="0"/>
        </w:rPr>
        <w:t xml:space="preserve"> [Tesis doctoral, Université du Luxembourg]. ORBilu.</w:t>
      </w:r>
      <w:r w:rsidDel="00000000" w:rsidR="00000000" w:rsidRPr="00000000">
        <w:rPr>
          <w:rtl w:val="0"/>
        </w:rPr>
      </w:r>
    </w:p>
    <w:p w:rsidR="00000000" w:rsidDel="00000000" w:rsidP="00000000" w:rsidRDefault="00000000" w:rsidRPr="00000000" w14:paraId="000008EF">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Kulu, E. (2026). </w:t>
      </w:r>
      <w:r w:rsidDel="00000000" w:rsidR="00000000" w:rsidRPr="00000000">
        <w:rPr>
          <w:rFonts w:ascii="Times New Roman" w:cs="Times New Roman" w:eastAsia="Times New Roman" w:hAnsi="Times New Roman"/>
          <w:b w:val="0"/>
          <w:bCs w:val="0"/>
          <w:i w:val="1"/>
          <w:iCs w:val="1"/>
          <w:color w:val="0f172a"/>
          <w:sz w:val="24"/>
          <w:szCs w:val="24"/>
          <w:rtl w:val="0"/>
        </w:rPr>
        <w:t xml:space="preserve">Nanosats Database: Constellations, companies, technologies and more</w:t>
      </w:r>
      <w:r w:rsidDel="00000000" w:rsidR="00000000" w:rsidRPr="00000000">
        <w:rPr>
          <w:rFonts w:ascii="Times New Roman" w:cs="Times New Roman" w:eastAsia="Times New Roman" w:hAnsi="Times New Roman"/>
          <w:b w:val="0"/>
          <w:bCs w:val="0"/>
          <w:i w:val="0"/>
          <w:iCs w:val="0"/>
          <w:color w:val="0f172a"/>
          <w:sz w:val="24"/>
          <w:szCs w:val="24"/>
          <w:rtl w:val="0"/>
        </w:rPr>
        <w:t xml:space="preserve">. Nanosats.eu. https://www.nanosats.eu/</w:t>
      </w:r>
      <w:r w:rsidDel="00000000" w:rsidR="00000000" w:rsidRPr="00000000">
        <w:rPr>
          <w:rtl w:val="0"/>
        </w:rPr>
      </w:r>
    </w:p>
    <w:p w:rsidR="00000000" w:rsidDel="00000000" w:rsidP="00000000" w:rsidRDefault="00000000" w:rsidRPr="00000000" w14:paraId="000008F0">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Li, Z. (2025). </w:t>
      </w:r>
      <w:r w:rsidDel="00000000" w:rsidR="00000000" w:rsidRPr="00000000">
        <w:rPr>
          <w:rFonts w:ascii="Times New Roman" w:cs="Times New Roman" w:eastAsia="Times New Roman" w:hAnsi="Times New Roman"/>
          <w:b w:val="0"/>
          <w:bCs w:val="0"/>
          <w:i w:val="1"/>
          <w:iCs w:val="1"/>
          <w:color w:val="0f172a"/>
          <w:sz w:val="24"/>
          <w:szCs w:val="24"/>
          <w:rtl w:val="0"/>
        </w:rPr>
        <w:t xml:space="preserve">Digital twins and AI agents for space missions</w:t>
      </w:r>
      <w:r w:rsidDel="00000000" w:rsidR="00000000" w:rsidRPr="00000000">
        <w:rPr>
          <w:rFonts w:ascii="Times New Roman" w:cs="Times New Roman" w:eastAsia="Times New Roman" w:hAnsi="Times New Roman"/>
          <w:b w:val="0"/>
          <w:bCs w:val="0"/>
          <w:i w:val="0"/>
          <w:iCs w:val="0"/>
          <w:color w:val="0f172a"/>
          <w:sz w:val="24"/>
          <w:szCs w:val="24"/>
          <w:rtl w:val="0"/>
        </w:rPr>
        <w:t xml:space="preserve"> [Preprint]. ResearchGate. https://doi.org/10.13140/RG.2.2.31425.88162</w:t>
      </w:r>
      <w:r w:rsidDel="00000000" w:rsidR="00000000" w:rsidRPr="00000000">
        <w:rPr>
          <w:rtl w:val="0"/>
        </w:rPr>
      </w:r>
    </w:p>
    <w:p w:rsidR="00000000" w:rsidDel="00000000" w:rsidP="00000000" w:rsidRDefault="00000000" w:rsidRPr="00000000" w14:paraId="000008F1">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Microsoft Corporation. (2026). </w:t>
      </w:r>
      <w:r w:rsidDel="00000000" w:rsidR="00000000" w:rsidRPr="00000000">
        <w:rPr>
          <w:rFonts w:ascii="Times New Roman" w:cs="Times New Roman" w:eastAsia="Times New Roman" w:hAnsi="Times New Roman"/>
          <w:b w:val="0"/>
          <w:bCs w:val="0"/>
          <w:i w:val="1"/>
          <w:iCs w:val="1"/>
          <w:color w:val="0f172a"/>
          <w:sz w:val="24"/>
          <w:szCs w:val="24"/>
          <w:rtl w:val="0"/>
        </w:rPr>
        <w:t xml:space="preserve">Microsoft Excel</w:t>
      </w:r>
      <w:r w:rsidDel="00000000" w:rsidR="00000000" w:rsidRPr="00000000">
        <w:rPr>
          <w:rFonts w:ascii="Times New Roman" w:cs="Times New Roman" w:eastAsia="Times New Roman" w:hAnsi="Times New Roman"/>
          <w:b w:val="0"/>
          <w:bCs w:val="0"/>
          <w:i w:val="0"/>
          <w:iCs w:val="0"/>
          <w:color w:val="0f172a"/>
          <w:sz w:val="24"/>
          <w:szCs w:val="24"/>
          <w:rtl w:val="0"/>
        </w:rPr>
        <w:t xml:space="preserve"> (Versión Microsoft 365). Microsoft Corporation. https://www.microsoft.com/microsoft-365/excel</w:t>
      </w:r>
      <w:r w:rsidDel="00000000" w:rsidR="00000000" w:rsidRPr="00000000">
        <w:rPr>
          <w:rtl w:val="0"/>
        </w:rPr>
      </w:r>
    </w:p>
    <w:p w:rsidR="00000000" w:rsidDel="00000000" w:rsidP="00000000" w:rsidRDefault="00000000" w:rsidRPr="00000000" w14:paraId="000008F2">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National Aeronautics and Space Administration. (2023). </w:t>
      </w:r>
      <w:r w:rsidDel="00000000" w:rsidR="00000000" w:rsidRPr="00000000">
        <w:rPr>
          <w:rFonts w:ascii="Times New Roman" w:cs="Times New Roman" w:eastAsia="Times New Roman" w:hAnsi="Times New Roman"/>
          <w:b w:val="0"/>
          <w:bCs w:val="0"/>
          <w:i w:val="1"/>
          <w:iCs w:val="1"/>
          <w:color w:val="0f172a"/>
          <w:sz w:val="24"/>
          <w:szCs w:val="24"/>
          <w:rtl w:val="0"/>
        </w:rPr>
        <w:t xml:space="preserve">NASA systems engineering handbook</w:t>
      </w:r>
      <w:r w:rsidDel="00000000" w:rsidR="00000000" w:rsidRPr="00000000">
        <w:rPr>
          <w:rFonts w:ascii="Times New Roman" w:cs="Times New Roman" w:eastAsia="Times New Roman" w:hAnsi="Times New Roman"/>
          <w:b w:val="0"/>
          <w:bCs w:val="0"/>
          <w:i w:val="0"/>
          <w:iCs w:val="0"/>
          <w:color w:val="0f172a"/>
          <w:sz w:val="24"/>
          <w:szCs w:val="24"/>
          <w:rtl w:val="0"/>
        </w:rPr>
        <w:t xml:space="preserve"> (NASA/SP-20230000806 Rev. 3). NASA Headquarters.</w:t>
      </w:r>
      <w:r w:rsidDel="00000000" w:rsidR="00000000" w:rsidRPr="00000000">
        <w:rPr>
          <w:rtl w:val="0"/>
        </w:rPr>
      </w:r>
    </w:p>
    <w:p w:rsidR="00000000" w:rsidDel="00000000" w:rsidP="00000000" w:rsidRDefault="00000000" w:rsidRPr="00000000" w14:paraId="000008F3">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National Aeronautics and Space Administration. (2024). </w:t>
      </w:r>
      <w:r w:rsidDel="00000000" w:rsidR="00000000" w:rsidRPr="00000000">
        <w:rPr>
          <w:rFonts w:ascii="Times New Roman" w:cs="Times New Roman" w:eastAsia="Times New Roman" w:hAnsi="Times New Roman"/>
          <w:b w:val="0"/>
          <w:bCs w:val="0"/>
          <w:i w:val="1"/>
          <w:iCs w:val="1"/>
          <w:color w:val="0f172a"/>
          <w:sz w:val="24"/>
          <w:szCs w:val="24"/>
          <w:rtl w:val="0"/>
        </w:rPr>
        <w:t xml:space="preserve">Small spacecraft technology state of the art report</w:t>
      </w:r>
      <w:r w:rsidDel="00000000" w:rsidR="00000000" w:rsidRPr="00000000">
        <w:rPr>
          <w:rFonts w:ascii="Times New Roman" w:cs="Times New Roman" w:eastAsia="Times New Roman" w:hAnsi="Times New Roman"/>
          <w:b w:val="0"/>
          <w:bCs w:val="0"/>
          <w:i w:val="0"/>
          <w:iCs w:val="0"/>
          <w:color w:val="0f172a"/>
          <w:sz w:val="24"/>
          <w:szCs w:val="24"/>
          <w:rtl w:val="0"/>
        </w:rPr>
        <w:t xml:space="preserve">. NASA Small Spacecraft Systems Virtual Institute (S3VI). https://www.nasa.gov/smallsat-institute/</w:t>
      </w:r>
      <w:r w:rsidDel="00000000" w:rsidR="00000000" w:rsidRPr="00000000">
        <w:rPr>
          <w:rtl w:val="0"/>
        </w:rPr>
      </w:r>
    </w:p>
    <w:p w:rsidR="00000000" w:rsidDel="00000000" w:rsidP="00000000" w:rsidRDefault="00000000" w:rsidRPr="00000000" w14:paraId="000008F4">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National Aeronautics and Space Administration. (2026). </w:t>
      </w:r>
      <w:r w:rsidDel="00000000" w:rsidR="00000000" w:rsidRPr="00000000">
        <w:rPr>
          <w:rFonts w:ascii="Times New Roman" w:cs="Times New Roman" w:eastAsia="Times New Roman" w:hAnsi="Times New Roman"/>
          <w:b w:val="0"/>
          <w:bCs w:val="0"/>
          <w:i w:val="1"/>
          <w:iCs w:val="1"/>
          <w:color w:val="0f172a"/>
          <w:sz w:val="24"/>
          <w:szCs w:val="24"/>
          <w:rtl w:val="0"/>
        </w:rPr>
        <w:t xml:space="preserve">NASA Task Load Index (NASA-TLX)</w:t>
      </w:r>
      <w:r w:rsidDel="00000000" w:rsidR="00000000" w:rsidRPr="00000000">
        <w:rPr>
          <w:rFonts w:ascii="Times New Roman" w:cs="Times New Roman" w:eastAsia="Times New Roman" w:hAnsi="Times New Roman"/>
          <w:b w:val="0"/>
          <w:bCs w:val="0"/>
          <w:i w:val="0"/>
          <w:iCs w:val="0"/>
          <w:color w:val="0f172a"/>
          <w:sz w:val="24"/>
          <w:szCs w:val="24"/>
          <w:rtl w:val="0"/>
        </w:rPr>
        <w:t xml:space="preserve">. Human Systems Integration Division. https://www.nasa.gov/human-systems-integration-division/nasa-task-load-index-tlx/</w:t>
      </w:r>
      <w:r w:rsidDel="00000000" w:rsidR="00000000" w:rsidRPr="00000000">
        <w:rPr>
          <w:rtl w:val="0"/>
        </w:rPr>
      </w:r>
    </w:p>
    <w:p w:rsidR="00000000" w:rsidDel="00000000" w:rsidP="00000000" w:rsidRDefault="00000000" w:rsidRPr="00000000" w14:paraId="000008F5">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Observatorio Permanente de la Industria de Software y Servicios Informáticos. (2026). </w:t>
      </w:r>
      <w:r w:rsidDel="00000000" w:rsidR="00000000" w:rsidRPr="00000000">
        <w:rPr>
          <w:rFonts w:ascii="Times New Roman" w:cs="Times New Roman" w:eastAsia="Times New Roman" w:hAnsi="Times New Roman"/>
          <w:b w:val="0"/>
          <w:bCs w:val="0"/>
          <w:i w:val="1"/>
          <w:iCs w:val="1"/>
          <w:color w:val="0f172a"/>
          <w:sz w:val="24"/>
          <w:szCs w:val="24"/>
          <w:rtl w:val="0"/>
        </w:rPr>
        <w:t xml:space="preserve">Reporte del estado de la industria del software y servicios informáticos en la República Argentina (2025/2026)</w:t>
      </w:r>
      <w:r w:rsidDel="00000000" w:rsidR="00000000" w:rsidRPr="00000000">
        <w:rPr>
          <w:rFonts w:ascii="Times New Roman" w:cs="Times New Roman" w:eastAsia="Times New Roman" w:hAnsi="Times New Roman"/>
          <w:b w:val="0"/>
          <w:bCs w:val="0"/>
          <w:i w:val="0"/>
          <w:iCs w:val="0"/>
          <w:color w:val="0f172a"/>
          <w:sz w:val="24"/>
          <w:szCs w:val="24"/>
          <w:rtl w:val="0"/>
        </w:rPr>
        <w:t xml:space="preserve">. Cámara de la Empresa de Software y Servicios Informáticos de la República Argentina (CESSI). https://www.cessi.org.ar/opssi/</w:t>
      </w:r>
      <w:r w:rsidDel="00000000" w:rsidR="00000000" w:rsidRPr="00000000">
        <w:rPr>
          <w:rtl w:val="0"/>
        </w:rPr>
      </w:r>
    </w:p>
    <w:p w:rsidR="00000000" w:rsidDel="00000000" w:rsidP="00000000" w:rsidRDefault="00000000" w:rsidRPr="00000000" w14:paraId="000008F6">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OpenMBEE. (2026). </w:t>
      </w:r>
      <w:r w:rsidDel="00000000" w:rsidR="00000000" w:rsidRPr="00000000">
        <w:rPr>
          <w:rFonts w:ascii="Times New Roman" w:cs="Times New Roman" w:eastAsia="Times New Roman" w:hAnsi="Times New Roman"/>
          <w:b w:val="0"/>
          <w:bCs w:val="0"/>
          <w:i w:val="1"/>
          <w:iCs w:val="1"/>
          <w:color w:val="0f172a"/>
          <w:sz w:val="24"/>
          <w:szCs w:val="24"/>
          <w:rtl w:val="0"/>
        </w:rPr>
        <w:t xml:space="preserve">Open Model Based Engineering Environment (OpenMBEE MMS)</w:t>
      </w:r>
      <w:r w:rsidDel="00000000" w:rsidR="00000000" w:rsidRPr="00000000">
        <w:rPr>
          <w:rFonts w:ascii="Times New Roman" w:cs="Times New Roman" w:eastAsia="Times New Roman" w:hAnsi="Times New Roman"/>
          <w:b w:val="0"/>
          <w:bCs w:val="0"/>
          <w:i w:val="0"/>
          <w:iCs w:val="0"/>
          <w:color w:val="0f172a"/>
          <w:sz w:val="24"/>
          <w:szCs w:val="24"/>
          <w:rtl w:val="0"/>
        </w:rPr>
        <w:t xml:space="preserve"> (Versión 2026). Jet Propulsion Laboratory / California Institute of Technology. https://www.openmbee.org/</w:t>
      </w:r>
      <w:r w:rsidDel="00000000" w:rsidR="00000000" w:rsidRPr="00000000">
        <w:rPr>
          <w:rtl w:val="0"/>
        </w:rPr>
      </w:r>
    </w:p>
    <w:p w:rsidR="00000000" w:rsidDel="00000000" w:rsidP="00000000" w:rsidRDefault="00000000" w:rsidRPr="00000000" w14:paraId="000008F7">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Osterwalder, A., &amp; Pigneur, Y. (2019). </w:t>
      </w:r>
      <w:r w:rsidDel="00000000" w:rsidR="00000000" w:rsidRPr="00000000">
        <w:rPr>
          <w:rFonts w:ascii="Times New Roman" w:cs="Times New Roman" w:eastAsia="Times New Roman" w:hAnsi="Times New Roman"/>
          <w:b w:val="0"/>
          <w:bCs w:val="0"/>
          <w:i w:val="1"/>
          <w:iCs w:val="1"/>
          <w:color w:val="0f172a"/>
          <w:sz w:val="24"/>
          <w:szCs w:val="24"/>
          <w:rtl w:val="0"/>
        </w:rPr>
        <w:t xml:space="preserve">Generación de modelos de negocio: Un manual para visionarios, revolucionarios y retadores</w:t>
      </w:r>
      <w:r w:rsidDel="00000000" w:rsidR="00000000" w:rsidRPr="00000000">
        <w:rPr>
          <w:rFonts w:ascii="Times New Roman" w:cs="Times New Roman" w:eastAsia="Times New Roman" w:hAnsi="Times New Roman"/>
          <w:b w:val="0"/>
          <w:bCs w:val="0"/>
          <w:i w:val="0"/>
          <w:iCs w:val="0"/>
          <w:color w:val="0f172a"/>
          <w:sz w:val="24"/>
          <w:szCs w:val="24"/>
          <w:rtl w:val="0"/>
        </w:rPr>
        <w:t xml:space="preserve"> (15.ª ed.). Deusto.</w:t>
      </w:r>
      <w:r w:rsidDel="00000000" w:rsidR="00000000" w:rsidRPr="00000000">
        <w:rPr>
          <w:rtl w:val="0"/>
        </w:rPr>
      </w:r>
    </w:p>
    <w:p w:rsidR="00000000" w:rsidDel="00000000" w:rsidP="00000000" w:rsidRDefault="00000000" w:rsidRPr="00000000" w14:paraId="000008F8">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Porter, M. E. (2008). The five competitive forces that shape strategy. </w:t>
      </w:r>
      <w:r w:rsidDel="00000000" w:rsidR="00000000" w:rsidRPr="00000000">
        <w:rPr>
          <w:rFonts w:ascii="Times New Roman" w:cs="Times New Roman" w:eastAsia="Times New Roman" w:hAnsi="Times New Roman"/>
          <w:b w:val="0"/>
          <w:bCs w:val="0"/>
          <w:i w:val="1"/>
          <w:iCs w:val="1"/>
          <w:color w:val="0f172a"/>
          <w:sz w:val="24"/>
          <w:szCs w:val="24"/>
          <w:rtl w:val="0"/>
        </w:rPr>
        <w:t xml:space="preserve">Harvard Business Review</w:t>
      </w:r>
      <w:r w:rsidDel="00000000" w:rsidR="00000000" w:rsidRPr="00000000">
        <w:rPr>
          <w:rFonts w:ascii="Times New Roman" w:cs="Times New Roman" w:eastAsia="Times New Roman" w:hAnsi="Times New Roman"/>
          <w:b w:val="0"/>
          <w:bCs w:val="0"/>
          <w:i w:val="0"/>
          <w:iCs w:val="0"/>
          <w:color w:val="0f172a"/>
          <w:sz w:val="24"/>
          <w:szCs w:val="24"/>
          <w:rtl w:val="0"/>
        </w:rPr>
        <w:t xml:space="preserve">, 86(1), 78–93.</w:t>
      </w:r>
      <w:r w:rsidDel="00000000" w:rsidR="00000000" w:rsidRPr="00000000">
        <w:rPr>
          <w:rtl w:val="0"/>
        </w:rPr>
      </w:r>
    </w:p>
    <w:p w:rsidR="00000000" w:rsidDel="00000000" w:rsidP="00000000" w:rsidRDefault="00000000" w:rsidRPr="00000000" w14:paraId="000008F9">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Rasmussen, J. (1983). Skills, rules, and knowledge; signals, signs, and symbols, and other distinctions in human performance models. </w:t>
      </w:r>
      <w:r w:rsidDel="00000000" w:rsidR="00000000" w:rsidRPr="00000000">
        <w:rPr>
          <w:rFonts w:ascii="Times New Roman" w:cs="Times New Roman" w:eastAsia="Times New Roman" w:hAnsi="Times New Roman"/>
          <w:b w:val="0"/>
          <w:bCs w:val="0"/>
          <w:i w:val="1"/>
          <w:iCs w:val="1"/>
          <w:color w:val="0f172a"/>
          <w:sz w:val="24"/>
          <w:szCs w:val="24"/>
          <w:rtl w:val="0"/>
        </w:rPr>
        <w:t xml:space="preserve">IEEE Transactions on Systems, Man, and Cybernetics</w:t>
      </w:r>
      <w:r w:rsidDel="00000000" w:rsidR="00000000" w:rsidRPr="00000000">
        <w:rPr>
          <w:rFonts w:ascii="Times New Roman" w:cs="Times New Roman" w:eastAsia="Times New Roman" w:hAnsi="Times New Roman"/>
          <w:b w:val="0"/>
          <w:bCs w:val="0"/>
          <w:i w:val="0"/>
          <w:iCs w:val="0"/>
          <w:color w:val="0f172a"/>
          <w:sz w:val="24"/>
          <w:szCs w:val="24"/>
          <w:rtl w:val="0"/>
        </w:rPr>
        <w:t xml:space="preserve">, SMC-13(3), 257–266. https://doi.org/10.1109/TSMC.1983.6313160</w:t>
      </w:r>
      <w:r w:rsidDel="00000000" w:rsidR="00000000" w:rsidRPr="00000000">
        <w:rPr>
          <w:rtl w:val="0"/>
        </w:rPr>
      </w:r>
    </w:p>
    <w:p w:rsidR="00000000" w:rsidDel="00000000" w:rsidP="00000000" w:rsidRDefault="00000000" w:rsidRPr="00000000" w14:paraId="000008FA">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Riedl, M. O., &amp; Ziemke, T. (2024). Human-centered artificial intelligence in intelligent engineering systems. </w:t>
      </w:r>
      <w:r w:rsidDel="00000000" w:rsidR="00000000" w:rsidRPr="00000000">
        <w:rPr>
          <w:rFonts w:ascii="Times New Roman" w:cs="Times New Roman" w:eastAsia="Times New Roman" w:hAnsi="Times New Roman"/>
          <w:b w:val="0"/>
          <w:bCs w:val="0"/>
          <w:i w:val="1"/>
          <w:iCs w:val="1"/>
          <w:color w:val="0f172a"/>
          <w:sz w:val="24"/>
          <w:szCs w:val="24"/>
          <w:rtl w:val="0"/>
        </w:rPr>
        <w:t xml:space="preserve">IEEE Transactions on Human-Machine Systems</w:t>
      </w:r>
      <w:r w:rsidDel="00000000" w:rsidR="00000000" w:rsidRPr="00000000">
        <w:rPr>
          <w:rFonts w:ascii="Times New Roman" w:cs="Times New Roman" w:eastAsia="Times New Roman" w:hAnsi="Times New Roman"/>
          <w:b w:val="0"/>
          <w:bCs w:val="0"/>
          <w:i w:val="0"/>
          <w:iCs w:val="0"/>
          <w:color w:val="0f172a"/>
          <w:sz w:val="24"/>
          <w:szCs w:val="24"/>
          <w:rtl w:val="0"/>
        </w:rPr>
        <w:t xml:space="preserve">, 54(2), 185–198. https://doi.org/10.1109/THMS.2024.3361245</w:t>
      </w:r>
      <w:r w:rsidDel="00000000" w:rsidR="00000000" w:rsidRPr="00000000">
        <w:rPr>
          <w:rtl w:val="0"/>
        </w:rPr>
      </w:r>
    </w:p>
    <w:p w:rsidR="00000000" w:rsidDel="00000000" w:rsidP="00000000" w:rsidRDefault="00000000" w:rsidRPr="00000000" w14:paraId="000008FB">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Sedaro Technologies. (2026). </w:t>
      </w:r>
      <w:r w:rsidDel="00000000" w:rsidR="00000000" w:rsidRPr="00000000">
        <w:rPr>
          <w:rFonts w:ascii="Times New Roman" w:cs="Times New Roman" w:eastAsia="Times New Roman" w:hAnsi="Times New Roman"/>
          <w:b w:val="0"/>
          <w:bCs w:val="0"/>
          <w:i w:val="1"/>
          <w:iCs w:val="1"/>
          <w:color w:val="0f172a"/>
          <w:sz w:val="24"/>
          <w:szCs w:val="24"/>
          <w:rtl w:val="0"/>
        </w:rPr>
        <w:t xml:space="preserve">Sedaro Satellite: Cloud-native digital twin co-simulation for space systems</w:t>
      </w:r>
      <w:r w:rsidDel="00000000" w:rsidR="00000000" w:rsidRPr="00000000">
        <w:rPr>
          <w:rFonts w:ascii="Times New Roman" w:cs="Times New Roman" w:eastAsia="Times New Roman" w:hAnsi="Times New Roman"/>
          <w:b w:val="0"/>
          <w:bCs w:val="0"/>
          <w:i w:val="0"/>
          <w:iCs w:val="0"/>
          <w:color w:val="0f172a"/>
          <w:sz w:val="24"/>
          <w:szCs w:val="24"/>
          <w:rtl w:val="0"/>
        </w:rPr>
        <w:t xml:space="preserve"> (Versión 2026.2). Sedaro Technologies LLC. https://sedarotech.com/</w:t>
      </w:r>
      <w:r w:rsidDel="00000000" w:rsidR="00000000" w:rsidRPr="00000000">
        <w:rPr>
          <w:rtl w:val="0"/>
        </w:rPr>
      </w:r>
    </w:p>
    <w:p w:rsidR="00000000" w:rsidDel="00000000" w:rsidP="00000000" w:rsidRDefault="00000000" w:rsidRPr="00000000" w14:paraId="000008FC">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Swartwout, M. (2024). </w:t>
      </w:r>
      <w:r w:rsidDel="00000000" w:rsidR="00000000" w:rsidRPr="00000000">
        <w:rPr>
          <w:rFonts w:ascii="Times New Roman" w:cs="Times New Roman" w:eastAsia="Times New Roman" w:hAnsi="Times New Roman"/>
          <w:b w:val="0"/>
          <w:bCs w:val="0"/>
          <w:i w:val="1"/>
          <w:iCs w:val="1"/>
          <w:color w:val="0f172a"/>
          <w:sz w:val="24"/>
          <w:szCs w:val="24"/>
          <w:rtl w:val="0"/>
        </w:rPr>
        <w:t xml:space="preserve">CubeSat database: Mission success and failure rates</w:t>
      </w:r>
      <w:r w:rsidDel="00000000" w:rsidR="00000000" w:rsidRPr="00000000">
        <w:rPr>
          <w:rFonts w:ascii="Times New Roman" w:cs="Times New Roman" w:eastAsia="Times New Roman" w:hAnsi="Times New Roman"/>
          <w:b w:val="0"/>
          <w:bCs w:val="0"/>
          <w:i w:val="0"/>
          <w:iCs w:val="0"/>
          <w:color w:val="0f172a"/>
          <w:sz w:val="24"/>
          <w:szCs w:val="24"/>
          <w:rtl w:val="0"/>
        </w:rPr>
        <w:t xml:space="preserve">. Saint Louis University. https://sites.google.com/a/slu.edu/swartwout/cubesat-database</w:t>
      </w:r>
      <w:r w:rsidDel="00000000" w:rsidR="00000000" w:rsidRPr="00000000">
        <w:rPr>
          <w:rtl w:val="0"/>
        </w:rPr>
      </w:r>
    </w:p>
    <w:p w:rsidR="00000000" w:rsidDel="00000000" w:rsidP="00000000" w:rsidRDefault="00000000" w:rsidRPr="00000000" w14:paraId="000008FD">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Sweller, J. (1988). Cognitive load during problem solving: Effects on learning. </w:t>
      </w:r>
      <w:r w:rsidDel="00000000" w:rsidR="00000000" w:rsidRPr="00000000">
        <w:rPr>
          <w:rFonts w:ascii="Times New Roman" w:cs="Times New Roman" w:eastAsia="Times New Roman" w:hAnsi="Times New Roman"/>
          <w:b w:val="0"/>
          <w:bCs w:val="0"/>
          <w:i w:val="1"/>
          <w:iCs w:val="1"/>
          <w:color w:val="0f172a"/>
          <w:sz w:val="24"/>
          <w:szCs w:val="24"/>
          <w:rtl w:val="0"/>
        </w:rPr>
        <w:t xml:space="preserve">Cognitive Science</w:t>
      </w:r>
      <w:r w:rsidDel="00000000" w:rsidR="00000000" w:rsidRPr="00000000">
        <w:rPr>
          <w:rFonts w:ascii="Times New Roman" w:cs="Times New Roman" w:eastAsia="Times New Roman" w:hAnsi="Times New Roman"/>
          <w:b w:val="0"/>
          <w:bCs w:val="0"/>
          <w:i w:val="0"/>
          <w:iCs w:val="0"/>
          <w:color w:val="0f172a"/>
          <w:sz w:val="24"/>
          <w:szCs w:val="24"/>
          <w:rtl w:val="0"/>
        </w:rPr>
        <w:t xml:space="preserve">, 12(2), 257–285. https://doi.org/10.1207/s15516709cog1202_4</w:t>
      </w:r>
      <w:r w:rsidDel="00000000" w:rsidR="00000000" w:rsidRPr="00000000">
        <w:rPr>
          <w:rtl w:val="0"/>
        </w:rPr>
      </w:r>
    </w:p>
    <w:p w:rsidR="00000000" w:rsidDel="00000000" w:rsidP="00000000" w:rsidRDefault="00000000" w:rsidRPr="00000000" w14:paraId="000008FE">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Sysarmy. (2026). </w:t>
      </w:r>
      <w:r w:rsidDel="00000000" w:rsidR="00000000" w:rsidRPr="00000000">
        <w:rPr>
          <w:rFonts w:ascii="Times New Roman" w:cs="Times New Roman" w:eastAsia="Times New Roman" w:hAnsi="Times New Roman"/>
          <w:b w:val="0"/>
          <w:bCs w:val="0"/>
          <w:i w:val="1"/>
          <w:iCs w:val="1"/>
          <w:color w:val="0f172a"/>
          <w:sz w:val="24"/>
          <w:szCs w:val="24"/>
          <w:rtl w:val="0"/>
        </w:rPr>
        <w:t xml:space="preserve">Resultados de la encuesta de sueldos Sysarmy 2026.01</w:t>
      </w:r>
      <w:r w:rsidDel="00000000" w:rsidR="00000000" w:rsidRPr="00000000">
        <w:rPr>
          <w:rFonts w:ascii="Times New Roman" w:cs="Times New Roman" w:eastAsia="Times New Roman" w:hAnsi="Times New Roman"/>
          <w:b w:val="0"/>
          <w:bCs w:val="0"/>
          <w:i w:val="0"/>
          <w:iCs w:val="0"/>
          <w:color w:val="0f172a"/>
          <w:sz w:val="24"/>
          <w:szCs w:val="24"/>
          <w:rtl w:val="0"/>
        </w:rPr>
        <w:t xml:space="preserve">. Sysarmy Argentina. https://sueldos.openqube.io/encuesta-sueldos-2026.01/</w:t>
      </w:r>
      <w:r w:rsidDel="00000000" w:rsidR="00000000" w:rsidRPr="00000000">
        <w:rPr>
          <w:rtl w:val="0"/>
        </w:rPr>
      </w:r>
    </w:p>
    <w:p w:rsidR="00000000" w:rsidDel="00000000" w:rsidP="00000000" w:rsidRDefault="00000000" w:rsidRPr="00000000" w14:paraId="000008FF">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Union of Concerned Scientists. (2026). </w:t>
      </w:r>
      <w:r w:rsidDel="00000000" w:rsidR="00000000" w:rsidRPr="00000000">
        <w:rPr>
          <w:rFonts w:ascii="Times New Roman" w:cs="Times New Roman" w:eastAsia="Times New Roman" w:hAnsi="Times New Roman"/>
          <w:b w:val="0"/>
          <w:bCs w:val="0"/>
          <w:i w:val="1"/>
          <w:iCs w:val="1"/>
          <w:color w:val="0f172a"/>
          <w:sz w:val="24"/>
          <w:szCs w:val="24"/>
          <w:rtl w:val="0"/>
        </w:rPr>
        <w:t xml:space="preserve">UCS Satellite Database: In-depth details on satellites orbiting Earth</w:t>
      </w:r>
      <w:r w:rsidDel="00000000" w:rsidR="00000000" w:rsidRPr="00000000">
        <w:rPr>
          <w:rFonts w:ascii="Times New Roman" w:cs="Times New Roman" w:eastAsia="Times New Roman" w:hAnsi="Times New Roman"/>
          <w:b w:val="0"/>
          <w:bCs w:val="0"/>
          <w:i w:val="0"/>
          <w:iCs w:val="0"/>
          <w:color w:val="0f172a"/>
          <w:sz w:val="24"/>
          <w:szCs w:val="24"/>
          <w:rtl w:val="0"/>
        </w:rPr>
        <w:t xml:space="preserve">. UCSUSA. https://www.ucsusa.org/resources/satellite-database</w:t>
      </w:r>
      <w:r w:rsidDel="00000000" w:rsidR="00000000" w:rsidRPr="00000000">
        <w:rPr>
          <w:rtl w:val="0"/>
        </w:rPr>
      </w:r>
    </w:p>
    <w:p w:rsidR="00000000" w:rsidDel="00000000" w:rsidP="00000000" w:rsidRDefault="00000000" w:rsidRPr="00000000" w14:paraId="00000900">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Universidad de la Cuenca del Plata. (2023). </w:t>
      </w:r>
      <w:r w:rsidDel="00000000" w:rsidR="00000000" w:rsidRPr="00000000">
        <w:rPr>
          <w:rFonts w:ascii="Times New Roman" w:cs="Times New Roman" w:eastAsia="Times New Roman" w:hAnsi="Times New Roman"/>
          <w:b w:val="0"/>
          <w:bCs w:val="0"/>
          <w:i w:val="1"/>
          <w:iCs w:val="1"/>
          <w:color w:val="0f172a"/>
          <w:sz w:val="24"/>
          <w:szCs w:val="24"/>
          <w:rtl w:val="0"/>
        </w:rPr>
        <w:t xml:space="preserve">Reglamento general del Proyecto Integrador Final de la carrera de Ingeniería en Sistemas de Información</w:t>
      </w:r>
      <w:r w:rsidDel="00000000" w:rsidR="00000000" w:rsidRPr="00000000">
        <w:rPr>
          <w:rFonts w:ascii="Times New Roman" w:cs="Times New Roman" w:eastAsia="Times New Roman" w:hAnsi="Times New Roman"/>
          <w:b w:val="0"/>
          <w:bCs w:val="0"/>
          <w:i w:val="0"/>
          <w:iCs w:val="0"/>
          <w:color w:val="0f172a"/>
          <w:sz w:val="24"/>
          <w:szCs w:val="24"/>
          <w:rtl w:val="0"/>
        </w:rPr>
        <w:t xml:space="preserve"> (Resolución Rectoral N.º 97/23). UCP.</w:t>
      </w:r>
      <w:r w:rsidDel="00000000" w:rsidR="00000000" w:rsidRPr="00000000">
        <w:rPr>
          <w:rtl w:val="0"/>
        </w:rPr>
      </w:r>
    </w:p>
    <w:p w:rsidR="00000000" w:rsidDel="00000000" w:rsidP="00000000" w:rsidRDefault="00000000" w:rsidRPr="00000000" w14:paraId="00000901">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Wertz, J. R., Everett, D. F., &amp; Puschell, J. J. (Eds.). (2011). </w:t>
      </w:r>
      <w:r w:rsidDel="00000000" w:rsidR="00000000" w:rsidRPr="00000000">
        <w:rPr>
          <w:rFonts w:ascii="Times New Roman" w:cs="Times New Roman" w:eastAsia="Times New Roman" w:hAnsi="Times New Roman"/>
          <w:b w:val="0"/>
          <w:bCs w:val="0"/>
          <w:i w:val="1"/>
          <w:iCs w:val="1"/>
          <w:color w:val="0f172a"/>
          <w:sz w:val="24"/>
          <w:szCs w:val="24"/>
          <w:rtl w:val="0"/>
        </w:rPr>
        <w:t xml:space="preserve">Space mission engineering: The new SMAD</w:t>
      </w:r>
      <w:r w:rsidDel="00000000" w:rsidR="00000000" w:rsidRPr="00000000">
        <w:rPr>
          <w:rFonts w:ascii="Times New Roman" w:cs="Times New Roman" w:eastAsia="Times New Roman" w:hAnsi="Times New Roman"/>
          <w:b w:val="0"/>
          <w:bCs w:val="0"/>
          <w:i w:val="0"/>
          <w:iCs w:val="0"/>
          <w:color w:val="0f172a"/>
          <w:sz w:val="24"/>
          <w:szCs w:val="24"/>
          <w:rtl w:val="0"/>
        </w:rPr>
        <w:t xml:space="preserve">. Microcosm Press.</w:t>
      </w:r>
      <w:r w:rsidDel="00000000" w:rsidR="00000000" w:rsidRPr="00000000">
        <w:rPr>
          <w:rtl w:val="0"/>
        </w:rPr>
      </w:r>
    </w:p>
    <w:p w:rsidR="00000000" w:rsidDel="00000000" w:rsidP="00000000" w:rsidRDefault="00000000" w:rsidRPr="00000000" w14:paraId="00000902">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Yin, R. K. (2018). </w:t>
      </w:r>
      <w:r w:rsidDel="00000000" w:rsidR="00000000" w:rsidRPr="00000000">
        <w:rPr>
          <w:rFonts w:ascii="Times New Roman" w:cs="Times New Roman" w:eastAsia="Times New Roman" w:hAnsi="Times New Roman"/>
          <w:b w:val="0"/>
          <w:bCs w:val="0"/>
          <w:i w:val="1"/>
          <w:iCs w:val="1"/>
          <w:color w:val="0f172a"/>
          <w:sz w:val="24"/>
          <w:szCs w:val="24"/>
          <w:rtl w:val="0"/>
        </w:rPr>
        <w:t xml:space="preserve">Case study research and applications: Design and methods</w:t>
      </w:r>
      <w:r w:rsidDel="00000000" w:rsidR="00000000" w:rsidRPr="00000000">
        <w:rPr>
          <w:rFonts w:ascii="Times New Roman" w:cs="Times New Roman" w:eastAsia="Times New Roman" w:hAnsi="Times New Roman"/>
          <w:b w:val="0"/>
          <w:bCs w:val="0"/>
          <w:i w:val="0"/>
          <w:iCs w:val="0"/>
          <w:color w:val="0f172a"/>
          <w:sz w:val="24"/>
          <w:szCs w:val="24"/>
          <w:rtl w:val="0"/>
        </w:rPr>
        <w:t xml:space="preserve"> (6.ª ed.). SAGE Publications.</w:t>
      </w:r>
      <w:r w:rsidDel="00000000" w:rsidR="00000000" w:rsidRPr="00000000">
        <w:rPr>
          <w:rtl w:val="0"/>
        </w:rPr>
      </w:r>
    </w:p>
    <w:p w:rsidR="00000000" w:rsidDel="00000000" w:rsidP="00000000" w:rsidRDefault="00000000" w:rsidRPr="00000000" w14:paraId="00000903">
      <w:pPr>
        <w:pStyle w:val="Heading1"/>
        <w:keepNext w:val="1"/>
        <w:pageBreakBefore w:val="1"/>
        <w:rPr/>
      </w:pPr>
      <w:r w:rsidDel="00000000" w:rsidR="00000000" w:rsidRPr="00000000">
        <w:rPr>
          <w:rFonts w:ascii="Times New Roman" w:cs="Times New Roman" w:eastAsia="Times New Roman" w:hAnsi="Times New Roman"/>
          <w:b w:val="1"/>
          <w:bCs w:val="1"/>
          <w:i w:val="0"/>
          <w:iCs w:val="0"/>
          <w:color w:val="0f172a"/>
          <w:sz w:val="32"/>
          <w:szCs w:val="32"/>
          <w:rtl w:val="0"/>
        </w:rPr>
        <w:t xml:space="preserve">ANEXOS TÉCNICOS</w:t>
      </w:r>
      <w:r w:rsidDel="00000000" w:rsidR="00000000" w:rsidRPr="00000000">
        <w:rPr>
          <w:rtl w:val="0"/>
        </w:rPr>
      </w:r>
    </w:p>
    <w:p w:rsidR="00000000" w:rsidDel="00000000" w:rsidP="00000000" w:rsidRDefault="00000000" w:rsidRPr="00000000" w14:paraId="00000904">
      <w:pPr>
        <w:pStyle w:val="Heading1"/>
        <w:keepNext w:val="1"/>
        <w:rPr/>
      </w:pPr>
      <w:r w:rsidDel="00000000" w:rsidR="00000000" w:rsidRPr="00000000">
        <w:rPr>
          <w:rFonts w:ascii="Times New Roman" w:cs="Times New Roman" w:eastAsia="Times New Roman" w:hAnsi="Times New Roman"/>
          <w:b w:val="1"/>
          <w:bCs w:val="1"/>
          <w:i w:val="0"/>
          <w:iCs w:val="0"/>
          <w:color w:val="0f172a"/>
          <w:sz w:val="32"/>
          <w:szCs w:val="32"/>
          <w:rtl w:val="0"/>
        </w:rPr>
        <w:t xml:space="preserve">ANEXO I — CÓDIGOS FUENTE MERMAID DE LAS FIGURAS TÉCNICAS</w:t>
      </w:r>
      <w:r w:rsidDel="00000000" w:rsidR="00000000" w:rsidRPr="00000000">
        <w:rPr>
          <w:rtl w:val="0"/>
        </w:rPr>
      </w:r>
    </w:p>
    <w:p w:rsidR="00000000" w:rsidDel="00000000" w:rsidP="00000000" w:rsidRDefault="00000000" w:rsidRPr="00000000" w14:paraId="00000905">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presente anexo consolida el código fuente ejecutable en sintaxis Mermaid de las tres figuras técnicas del informe, garantizando la plena auditabilidad, reproducibilidad y versionado en texto plano conforme a las pautas de ingeniería del proyecto.</w:t>
      </w:r>
      <w:r w:rsidDel="00000000" w:rsidR="00000000" w:rsidRPr="00000000">
        <w:rPr>
          <w:rtl w:val="0"/>
        </w:rPr>
      </w:r>
    </w:p>
    <w:p w:rsidR="00000000" w:rsidDel="00000000" w:rsidP="00000000" w:rsidRDefault="00000000" w:rsidRPr="00000000" w14:paraId="00000906">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Anexo I.1 · Código Fuente Mermaid de la Figura 1 (Modelo del Dominio de CODI)</w:t>
      </w:r>
      <w:r w:rsidDel="00000000" w:rsidR="00000000" w:rsidRPr="00000000">
        <w:rPr>
          <w:rtl w:val="0"/>
        </w:rPr>
      </w:r>
    </w:p>
    <w:p w:rsidR="00000000" w:rsidDel="00000000" w:rsidP="00000000" w:rsidRDefault="00000000" w:rsidRPr="00000000" w14:paraId="00000907">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Apartado de Referencia: Capítulo III, Sección III.2 (Dominio del Sistema de Información)</w:t>
      </w:r>
      <w:r w:rsidDel="00000000" w:rsidR="00000000" w:rsidRPr="00000000">
        <w:rPr>
          <w:rtl w:val="0"/>
        </w:rPr>
      </w:r>
    </w:p>
    <w:p w:rsidR="00000000" w:rsidDel="00000000" w:rsidP="00000000" w:rsidRDefault="00000000" w:rsidRPr="00000000" w14:paraId="00000908">
      <w:pPr>
        <w:spacing w:after="120" w:before="80" w:line="240" w:lineRule="auto"/>
        <w:ind w:left="567" w:right="567" w:firstLine="0"/>
        <w:rPr/>
      </w:pPr>
      <w:r w:rsidDel="00000000" w:rsidR="00000000" w:rsidRPr="00000000">
        <w:rPr>
          <w:rFonts w:ascii="Consolas" w:cs="Consolas" w:eastAsia="Consolas" w:hAnsi="Consolas"/>
          <w:color w:val="334155"/>
          <w:sz w:val="18"/>
          <w:szCs w:val="18"/>
          <w:rtl w:val="0"/>
        </w:rPr>
        <w:t xml:space="preserve">classDiagram</w:t>
        <w:br w:type="textWrapping"/>
        <w:t xml:space="preserve">    direction TB</w:t>
        <w:br w:type="textWrapping"/>
        <w:br w:type="textWrapping"/>
        <w:t xml:space="preserve">    class MisionEspacial {</w:t>
        <w:br w:type="textWrapping"/>
        <w:t xml:space="preserve">        +String codigoMision</w:t>
        <w:br w:type="textWrapping"/>
        <w:t xml:space="preserve">        +String nombreMision</w:t>
        <w:br w:type="textWrapping"/>
        <w:t xml:space="preserve">        +String orbitaTipo</w:t>
        <w:br w:type="textWrapping"/>
        <w:t xml:space="preserve">        +Float altitudKm</w:t>
        <w:br w:type="textWrapping"/>
        <w:t xml:space="preserve">        +Float inclinacionGrados</w:t>
        <w:br w:type="textWrapping"/>
        <w:t xml:space="preserve">        +Date fechaRevision</w:t>
        <w:br w:type="textWrapping"/>
        <w:t xml:space="preserve">    }</w:t>
        <w:br w:type="textWrapping"/>
        <w:br w:type="textWrapping"/>
        <w:t xml:space="preserve">    class RequisitoIngenieria {</w:t>
        <w:br w:type="textWrapping"/>
        <w:t xml:space="preserve">        +String idRequisito</w:t>
        <w:br w:type="textWrapping"/>
        <w:t xml:space="preserve">        +String enunciado</w:t>
        <w:br w:type="textWrapping"/>
        <w:t xml:space="preserve">        +String categoria</w:t>
        <w:br w:type="textWrapping"/>
        <w:t xml:space="preserve">        +String estadoValidacion</w:t>
        <w:br w:type="textWrapping"/>
        <w:t xml:space="preserve">        +String normaReferencia</w:t>
        <w:br w:type="textWrapping"/>
        <w:t xml:space="preserve">    }</w:t>
        <w:br w:type="textWrapping"/>
        <w:br w:type="textWrapping"/>
        <w:t xml:space="preserve">    class DocumentoICD {</w:t>
        <w:br w:type="textWrapping"/>
        <w:t xml:space="preserve">        +String codigoDocumento</w:t>
        <w:br w:type="textWrapping"/>
        <w:t xml:space="preserve">        +String version</w:t>
        <w:br w:type="textWrapping"/>
        <w:t xml:space="preserve">        +String subsistemaEmisor</w:t>
        <w:br w:type="textWrapping"/>
        <w:t xml:space="preserve">        +String proveedor</w:t>
        <w:br w:type="textWrapping"/>
        <w:t xml:space="preserve">        +Date fechaEmision</w:t>
        <w:br w:type="textWrapping"/>
        <w:t xml:space="preserve">        +String estadoRevision</w:t>
        <w:br w:type="textWrapping"/>
        <w:t xml:space="preserve">    }</w:t>
        <w:br w:type="textWrapping"/>
        <w:br w:type="textWrapping"/>
        <w:t xml:space="preserve">    class ParametroDiseno {</w:t>
        <w:br w:type="textWrapping"/>
        <w:t xml:space="preserve">        +String nombreParametro</w:t>
        <w:br w:type="textWrapping"/>
        <w:t xml:space="preserve">        +Float valorNominal</w:t>
        <w:br w:type="textWrapping"/>
        <w:t xml:space="preserve">        +String unidad</w:t>
        <w:br w:type="textWrapping"/>
        <w:t xml:space="preserve">        +Float margenTolerancia</w:t>
        <w:br w:type="textWrapping"/>
        <w:t xml:space="preserve">        +Boolean esNumeroTacito</w:t>
        <w:br w:type="textWrapping"/>
        <w:t xml:space="preserve">        +String origenDato</w:t>
        <w:br w:type="textWrapping"/>
        <w:t xml:space="preserve">    }</w:t>
        <w:br w:type="textWrapping"/>
        <w:br w:type="textWrapping"/>
        <w:t xml:space="preserve">    class BalancePotenciaEPS {</w:t>
        <w:br w:type="textWrapping"/>
        <w:t xml:space="preserve">        +String idBalance</w:t>
        <w:br w:type="textWrapping"/>
        <w:t xml:space="preserve">        +Float potenciaSolarEOL</w:t>
        <w:br w:type="textWrapping"/>
        <w:t xml:space="preserve">        +Float potenciaConsumoNominal</w:t>
        <w:br w:type="textWrapping"/>
        <w:t xml:space="preserve">        +Float fraccionEclipse</w:t>
        <w:br w:type="textWrapping"/>
        <w:t xml:space="preserve">        +Float profundidadDescargaDoD</w:t>
        <w:br w:type="textWrapping"/>
        <w:t xml:space="preserve">        +Float margenPotenciaPct</w:t>
        <w:br w:type="textWrapping"/>
        <w:t xml:space="preserve">        +Boolean cumpleNormaECSS</w:t>
        <w:br w:type="textWrapping"/>
        <w:t xml:space="preserve">    }</w:t>
        <w:br w:type="textWrapping"/>
        <w:br w:type="textWrapping"/>
        <w:t xml:space="preserve">    class DecisionLog {</w:t>
        <w:br w:type="textWrapping"/>
        <w:t xml:space="preserve">        +String idDecision</w:t>
        <w:br w:type="textWrapping"/>
        <w:t xml:space="preserve">        +Date fechaRegistro</w:t>
        <w:br w:type="textWrapping"/>
        <w:t xml:space="preserve">        +String alternativaSeleccionada</w:t>
        <w:br w:type="textWrapping"/>
        <w:t xml:space="preserve">        +String alternativasDescartadas</w:t>
        <w:br w:type="textWrapping"/>
        <w:t xml:space="preserve">        +String criterioDescarte</w:t>
        <w:br w:type="textWrapping"/>
        <w:t xml:space="preserve">        +String supuestosTecnicos</w:t>
        <w:br w:type="textWrapping"/>
        <w:t xml:space="preserve">    }</w:t>
        <w:br w:type="textWrapping"/>
        <w:br w:type="textWrapping"/>
        <w:t xml:space="preserve">    class SesionCargaCognitiva {</w:t>
        <w:br w:type="textWrapping"/>
        <w:t xml:space="preserve">        +String idSesion</w:t>
        <w:br w:type="textWrapping"/>
        <w:t xml:space="preserve">        +Float puntajeNasaTLX</w:t>
        <w:br w:type="textWrapping"/>
        <w:t xml:space="preserve">        +Int tiempoResolucionMin</w:t>
        <w:br w:type="textWrapping"/>
        <w:t xml:space="preserve">        +Int cambiosDeContexto</w:t>
        <w:br w:type="textWrapping"/>
        <w:t xml:space="preserve">        +Int fuentesConsultadas</w:t>
        <w:br w:type="textWrapping"/>
        <w:t xml:space="preserve">        +Boolean modoBajaCargaActivo</w:t>
        <w:br w:type="textWrapping"/>
        <w:t xml:space="preserve">    }</w:t>
        <w:br w:type="textWrapping"/>
        <w:br w:type="textWrapping"/>
        <w:t xml:space="preserve">    class PerfilIngeniero {</w:t>
        <w:br w:type="textWrapping"/>
        <w:t xml:space="preserve">        +String idIngeniero</w:t>
        <w:br w:type="textWrapping"/>
        <w:t xml:space="preserve">        +String nombreCompleto</w:t>
        <w:br w:type="textWrapping"/>
        <w:t xml:space="preserve">        +String rolEspecialidad</w:t>
        <w:br w:type="textWrapping"/>
        <w:t xml:space="preserve">        +String nivelPermisos</w:t>
        <w:br w:type="textWrapping"/>
        <w:t xml:space="preserve">        +Float cargaTLXPromedio</w:t>
        <w:br w:type="textWrapping"/>
        <w:t xml:space="preserve">    }</w:t>
        <w:br w:type="textWrapping"/>
        <w:br w:type="textWrapping"/>
        <w:t xml:space="preserve">    MisionEspacial "1" --&gt; "1..*" RequisitoIngenieria : define</w:t>
        <w:br w:type="textWrapping"/>
        <w:t xml:space="preserve">    MisionEspacial "1" --&gt; "1..*" DocumentoICD : gestiona</w:t>
        <w:br w:type="textWrapping"/>
        <w:t xml:space="preserve">    MisionEspacial "1" --&gt; "1..*" BalancePotenciaEPS : evalua</w:t>
        <w:br w:type="textWrapping"/>
        <w:t xml:space="preserve">    MisionEspacial "1..*" &lt;--&gt; "1..*" PerfilIngeniero : involucra</w:t>
        <w:br w:type="textWrapping"/>
        <w:t xml:space="preserve">    DocumentoICD "1" --&gt; "1..*" ParametroDiseno : especifica</w:t>
        <w:br w:type="textWrapping"/>
        <w:t xml:space="preserve">    RequisitoIngenieria "1" --&gt; "0..*" ParametroDiseno : restringe</w:t>
        <w:br w:type="textWrapping"/>
        <w:t xml:space="preserve">    BalancePotenciaEPS "1" --&gt; "1..*" ParametroDiseno : computa</w:t>
        <w:br w:type="textWrapping"/>
        <w:t xml:space="preserve">    BalancePotenciaEPS "1" --&gt; "1" DecisionLog : fundamenta</w:t>
        <w:br w:type="textWrapping"/>
        <w:t xml:space="preserve">    DecisionLog "1" --&gt; "1..*" RequisitoIngenieria : satisface</w:t>
        <w:br w:type="textWrapping"/>
        <w:t xml:space="preserve">    PerfilIngeniero "1" --&gt; "1..*" DecisionLog : autoriza</w:t>
        <w:br w:type="textWrapping"/>
        <w:t xml:space="preserve">    PerfilIngeniero "1" --&gt; "0..*" SesionCargaCognitiva : protagoniza</w:t>
        <w:br w:type="textWrapping"/>
        <w:t xml:space="preserve">    DecisionLog "1" --&gt; "0..1" SesionCargaCognitiva : contextualiza</w:t>
      </w:r>
      <w:r w:rsidDel="00000000" w:rsidR="00000000" w:rsidRPr="00000000">
        <w:rPr>
          <w:rtl w:val="0"/>
        </w:rPr>
      </w:r>
    </w:p>
    <w:p w:rsidR="00000000" w:rsidDel="00000000" w:rsidP="00000000" w:rsidRDefault="00000000" w:rsidRPr="00000000" w14:paraId="00000909">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Anexo I.2 · Código Fuente Mermaid de la Figura 2 (Mapeo de Competencia y Cuadrantes Estratégicos)</w:t>
      </w:r>
      <w:r w:rsidDel="00000000" w:rsidR="00000000" w:rsidRPr="00000000">
        <w:rPr>
          <w:rtl w:val="0"/>
        </w:rPr>
      </w:r>
    </w:p>
    <w:p w:rsidR="00000000" w:rsidDel="00000000" w:rsidP="00000000" w:rsidRDefault="00000000" w:rsidRPr="00000000" w14:paraId="0000090A">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Apartado de Referencia: Capítulo IV, Sección IV.4 (Mapeo de Competencia)</w:t>
      </w:r>
      <w:r w:rsidDel="00000000" w:rsidR="00000000" w:rsidRPr="00000000">
        <w:rPr>
          <w:rtl w:val="0"/>
        </w:rPr>
      </w:r>
    </w:p>
    <w:p w:rsidR="00000000" w:rsidDel="00000000" w:rsidP="00000000" w:rsidRDefault="00000000" w:rsidRPr="00000000" w14:paraId="0000090B">
      <w:pPr>
        <w:spacing w:after="120" w:before="80" w:line="240" w:lineRule="auto"/>
        <w:ind w:left="567" w:right="567" w:firstLine="0"/>
        <w:rPr/>
      </w:pPr>
      <w:r w:rsidDel="00000000" w:rsidR="00000000" w:rsidRPr="00000000">
        <w:rPr>
          <w:rFonts w:ascii="Consolas" w:cs="Consolas" w:eastAsia="Consolas" w:hAnsi="Consolas"/>
          <w:color w:val="334155"/>
          <w:sz w:val="18"/>
          <w:szCs w:val="18"/>
          <w:rtl w:val="0"/>
        </w:rPr>
        <w:t xml:space="preserve">quadrantChart</w:t>
        <w:br w:type="textWrapping"/>
        <w:t xml:space="preserve">    title Figura 2. Posicionamiento Estratégico y Cuadrantes Competitivos</w:t>
        <w:br w:type="textWrapping"/>
        <w:t xml:space="preserve">    x-axis "Baja Asistencia Determinística (Pasivo)" --&gt; "Alta Asistencia Cognitiva y Determinística (Activo)"</w:t>
        <w:br w:type="textWrapping"/>
        <w:t xml:space="preserve">    y-axis "Baja Accesibilidad y Soberanía (Servidumbre)" --&gt; "Alta Accesibilidad Operativa y Soberanía Local"</w:t>
        <w:br w:type="textWrapping"/>
        <w:t xml:space="preserve">    quadrant-1 "Cuadrante I: Soberano y Activo (CODI)"</w:t>
        <w:br w:type="textWrapping"/>
        <w:t xml:space="preserve">    quadrant-2 "Cuadrante II: Soberano y Pasivo"</w:t>
        <w:br w:type="textWrapping"/>
        <w:t xml:space="preserve">    quadrant-3 "Cuadrante III: Servidumbre y Pasivo"</w:t>
        <w:br w:type="textWrapping"/>
        <w:t xml:space="preserve">    quadrant-4 "Cuadrante IV: Servidumbre y Automatización Parcial"</w:t>
        <w:br w:type="textWrapping"/>
        <w:t xml:space="preserve">    CODI: [0.85, 0.85]</w:t>
        <w:br w:type="textWrapping"/>
        <w:t xml:space="preserve">    MS Excel: [0.18, 0.85]</w:t>
        <w:br w:type="textWrapping"/>
        <w:t xml:space="preserve">    Eclipse Capella: [0.25, 0.68]</w:t>
        <w:br w:type="textWrapping"/>
        <w:t xml:space="preserve">    Cameo Sys Modeler: [0.18, 0.25]</w:t>
        <w:br w:type="textWrapping"/>
        <w:t xml:space="preserve">    OpenMBEE NASA JPL: [0.35, 0.20]</w:t>
        <w:br w:type="textWrapping"/>
        <w:t xml:space="preserve">    Valispace Altium: [0.68, 0.38]</w:t>
        <w:br w:type="textWrapping"/>
        <w:t xml:space="preserve">    Sedaro Satellite: [0.72, 0.24]</w:t>
        <w:br w:type="textWrapping"/>
        <w:t xml:space="preserve">    Copilotos Genericos IA: [0.78, 0.12]</w:t>
      </w:r>
      <w:r w:rsidDel="00000000" w:rsidR="00000000" w:rsidRPr="00000000">
        <w:rPr>
          <w:rtl w:val="0"/>
        </w:rPr>
      </w:r>
    </w:p>
    <w:p w:rsidR="00000000" w:rsidDel="00000000" w:rsidP="00000000" w:rsidRDefault="00000000" w:rsidRPr="00000000" w14:paraId="0000090C">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Anexo I.3 · Código Fuente Mermaid de la Figura 3 (Cronograma de Tareas y Dependencias Gantt)</w:t>
      </w:r>
      <w:r w:rsidDel="00000000" w:rsidR="00000000" w:rsidRPr="00000000">
        <w:rPr>
          <w:rtl w:val="0"/>
        </w:rPr>
      </w:r>
    </w:p>
    <w:p w:rsidR="00000000" w:rsidDel="00000000" w:rsidP="00000000" w:rsidRDefault="00000000" w:rsidRPr="00000000" w14:paraId="0000090D">
      <w:pPr>
        <w:spacing w:after="80" w:before="0" w:line="480" w:lineRule="auto"/>
        <w:ind w:firstLine="720"/>
        <w:rPr/>
      </w:pPr>
      <w:r w:rsidDel="00000000" w:rsidR="00000000" w:rsidRPr="00000000">
        <w:rPr>
          <w:rFonts w:ascii="Times New Roman" w:cs="Times New Roman" w:eastAsia="Times New Roman" w:hAnsi="Times New Roman"/>
          <w:b w:val="0"/>
          <w:bCs w:val="0"/>
          <w:i w:val="1"/>
          <w:iCs w:val="1"/>
          <w:color w:val="0f172a"/>
          <w:sz w:val="24"/>
          <w:szCs w:val="24"/>
          <w:rtl w:val="0"/>
        </w:rPr>
        <w:t xml:space="preserve">Apartado de Referencia: Capítulo V, Sección V.4 (Cronograma y Presupuesto de Horas)</w:t>
      </w:r>
      <w:r w:rsidDel="00000000" w:rsidR="00000000" w:rsidRPr="00000000">
        <w:rPr>
          <w:rtl w:val="0"/>
        </w:rPr>
      </w:r>
    </w:p>
    <w:p w:rsidR="00000000" w:rsidDel="00000000" w:rsidP="00000000" w:rsidRDefault="00000000" w:rsidRPr="00000000" w14:paraId="0000090E">
      <w:pPr>
        <w:spacing w:after="120" w:before="80" w:line="240" w:lineRule="auto"/>
        <w:ind w:left="567" w:right="567" w:firstLine="0"/>
        <w:rPr/>
      </w:pPr>
      <w:r w:rsidDel="00000000" w:rsidR="00000000" w:rsidRPr="00000000">
        <w:rPr>
          <w:rFonts w:ascii="Consolas" w:cs="Consolas" w:eastAsia="Consolas" w:hAnsi="Consolas"/>
          <w:color w:val="334155"/>
          <w:sz w:val="18"/>
          <w:szCs w:val="18"/>
          <w:rtl w:val="0"/>
        </w:rPr>
        <w:t xml:space="preserve">gantt</w:t>
        <w:br w:type="textWrapping"/>
        <w:t xml:space="preserve">    title Figura 3. Cronograma del Proyecto CODI y Dependencias entre Tareas</w:t>
        <w:br w:type="textWrapping"/>
        <w:t xml:space="preserve">    dateFormat  YYYY-MM-DD</w:t>
        <w:br w:type="textWrapping"/>
        <w:t xml:space="preserve">    axisFormat  %d/%m</w:t>
        <w:br w:type="textWrapping"/>
        <w:t xml:space="preserve">    </w:t>
        <w:br w:type="textWrapping"/>
        <w:t xml:space="preserve">    section Sprint 2 (v1)</w:t>
        <w:br w:type="textWrapping"/>
        <w:t xml:space="preserve">    Especificación Requisitos y Dominio (WBS 2.1)       :done,    wbs21, 2026-09-07, 2026-09-15</w:t>
        <w:br w:type="textWrapping"/>
        <w:t xml:space="preserve">    Docker y Canal CI/CD en GitHub (WBS 2.2)            :done,    wbs22, 2026-09-12, 2026-09-18</w:t>
        <w:br w:type="textWrapping"/>
        <w:t xml:space="preserve">    Persistencia y Modelo de Datos (WBS 2.3)            :done,    wbs23, 2026-09-16, 2026-09-22</w:t>
        <w:br w:type="textWrapping"/>
        <w:t xml:space="preserve">    Lógica Kepleriana y RN-01 Batería (WBS 2.4)         :done,    wbs24, 2026-09-20, 2026-09-27</w:t>
        <w:br w:type="textWrapping"/>
        <w:t xml:space="preserve">    Pruebas Máquina Limpia y Tag v1 (WBS 2.5)          :active,  wbs25, 2026-09-26, 2026-10-01</w:t>
        <w:br w:type="textWrapping"/>
        <w:br w:type="textWrapping"/>
        <w:t xml:space="preserve">    section Sprint 3 (v2)</w:t>
        <w:br w:type="textWrapping"/>
        <w:t xml:space="preserve">    Parser de ICDs JSON/CSV (WBS 3.1)                   :crit,    wbs31, 2026-10-05, 2026-10-12</w:t>
        <w:br w:type="textWrapping"/>
        <w:t xml:space="preserve">    Motor Solar EOL y Margen RN-02 (WBS 3.2)            :crit,    wbs32, 2026-10-10, 2026-10-17</w:t>
        <w:br w:type="textWrapping"/>
        <w:t xml:space="preserve">    Envolvente Cal Poly y Bus (WBS 3.3/3.4)             :         wbs33, 2026-10-14, 2026-10-21</w:t>
        <w:br w:type="textWrapping"/>
        <w:t xml:space="preserve">    Suite Pruebas Automatizadas v2 (WBS 3.5)            :         wbs35, 2026-10-18, 2026-10-24</w:t>
        <w:br w:type="textWrapping"/>
        <w:br w:type="textWrapping"/>
        <w:t xml:space="preserve">    section Sprint 4 (v-final)</w:t>
        <w:br w:type="textWrapping"/>
        <w:t xml:space="preserve">    Arnés RAG Normativo (WBS 4.1)                       :crit,    wbs41, 2026-10-26, 2026-11-03</w:t>
        <w:br w:type="textWrapping"/>
        <w:t xml:space="preserve">    Chat Adaptativo Doble Agente RN-07 (WBS 4.2)        :crit,    wbs42, 2026-11-01, 2026-11-07</w:t>
        <w:br w:type="textWrapping"/>
        <w:t xml:space="preserve">    Módulo Psicométrico NASA-TLX (WBS 4.3)              :         wbs43, 2026-11-04, 2026-11-09</w:t>
        <w:br w:type="textWrapping"/>
        <w:t xml:space="preserve">    DecisionLog Criptográfico SHA-256 (WBS 4.4)         :         wbs44, 2026-11-06, 2026-11-10</w:t>
        <w:br w:type="textWrapping"/>
        <w:t xml:space="preserve">    Ensayos CTA-UNLP y Reducción TLX (WBS 4.5)          :crit,    wbs45, 2026-11-08, 2026-11-12</w:t>
        <w:br w:type="textWrapping"/>
        <w:t xml:space="preserve">    Consolidación Final y Code Freeze (WBS 4.6)         :crit,    wbs46, 2026-11-11, 2026-11-14</w:t>
      </w:r>
      <w:r w:rsidDel="00000000" w:rsidR="00000000" w:rsidRPr="00000000">
        <w:rPr>
          <w:rtl w:val="0"/>
        </w:rPr>
      </w:r>
    </w:p>
    <w:p w:rsidR="00000000" w:rsidDel="00000000" w:rsidP="00000000" w:rsidRDefault="00000000" w:rsidRPr="00000000" w14:paraId="0000090F">
      <w:pPr>
        <w:pStyle w:val="Heading1"/>
        <w:keepNext w:val="1"/>
        <w:rPr/>
      </w:pPr>
      <w:r w:rsidDel="00000000" w:rsidR="00000000" w:rsidRPr="00000000">
        <w:rPr>
          <w:rFonts w:ascii="Times New Roman" w:cs="Times New Roman" w:eastAsia="Times New Roman" w:hAnsi="Times New Roman"/>
          <w:b w:val="1"/>
          <w:bCs w:val="1"/>
          <w:i w:val="0"/>
          <w:iCs w:val="0"/>
          <w:color w:val="0f172a"/>
          <w:sz w:val="32"/>
          <w:szCs w:val="32"/>
          <w:rtl w:val="0"/>
        </w:rPr>
        <w:t xml:space="preserve">ANEXO II — REGISTROS DE RELEVAMIENTO EMPÍRICO Y EVIDENCIA DE CAMPO</w:t>
      </w:r>
      <w:r w:rsidDel="00000000" w:rsidR="00000000" w:rsidRPr="00000000">
        <w:rPr>
          <w:rtl w:val="0"/>
        </w:rPr>
      </w:r>
    </w:p>
    <w:p w:rsidR="00000000" w:rsidDel="00000000" w:rsidP="00000000" w:rsidRDefault="00000000" w:rsidRPr="00000000" w14:paraId="00000910">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Anexo II.1 · Ficha Técnica y Registro de la Consulta con la Referente de Dominio</w:t>
      </w:r>
      <w:r w:rsidDel="00000000" w:rsidR="00000000" w:rsidRPr="00000000">
        <w:rPr>
          <w:rtl w:val="0"/>
        </w:rPr>
      </w:r>
    </w:p>
    <w:p w:rsidR="00000000" w:rsidDel="00000000" w:rsidP="00000000" w:rsidRDefault="00000000" w:rsidRPr="00000000" w14:paraId="000009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Entidad</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Centro Tecnológico Aeroespacial — Universidad Nacional de La Plata (CTA-UNLP).</w:t>
      </w:r>
      <w:r w:rsidDel="00000000" w:rsidR="00000000" w:rsidRPr="00000000">
        <w:rPr>
          <w:rtl w:val="0"/>
        </w:rPr>
      </w:r>
    </w:p>
    <w:p w:rsidR="00000000" w:rsidDel="00000000" w:rsidP="00000000" w:rsidRDefault="00000000" w:rsidRPr="00000000" w14:paraId="000009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Referente Técnica Entrevistada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Ing. Sonia Botta.</w:t>
      </w:r>
      <w:r w:rsidDel="00000000" w:rsidR="00000000" w:rsidRPr="00000000">
        <w:rPr>
          <w:rtl w:val="0"/>
        </w:rPr>
      </w:r>
    </w:p>
    <w:p w:rsidR="00000000" w:rsidDel="00000000" w:rsidP="00000000" w:rsidRDefault="00000000" w:rsidRPr="00000000" w14:paraId="000009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Cargo / Rol Formal</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Coordinadora General de Proyectos Satelitales USAT / Docente Investigadora del Departamento de Ingeniería Aeroespacial.</w:t>
      </w:r>
      <w:r w:rsidDel="00000000" w:rsidR="00000000" w:rsidRPr="00000000">
        <w:rPr>
          <w:rtl w:val="0"/>
        </w:rPr>
      </w:r>
    </w:p>
    <w:p w:rsidR="00000000" w:rsidDel="00000000" w:rsidP="00000000" w:rsidRDefault="00000000" w:rsidRPr="00000000" w14:paraId="000009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Fecha y Duración</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14 de septiembre de 2026 — 82 minutos de sesión técnica de profundidad.</w:t>
      </w:r>
      <w:r w:rsidDel="00000000" w:rsidR="00000000" w:rsidRPr="00000000">
        <w:rPr>
          <w:rtl w:val="0"/>
        </w:rPr>
      </w:r>
    </w:p>
    <w:p w:rsidR="00000000" w:rsidDel="00000000" w:rsidP="00000000" w:rsidRDefault="00000000" w:rsidRPr="00000000" w14:paraId="000009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Modalidad</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Entrevista semiestructurada sincrónica con registro audiovisual y transcripción textual completa.</w:t>
      </w:r>
      <w:r w:rsidDel="00000000" w:rsidR="00000000" w:rsidRPr="00000000">
        <w:rPr>
          <w:rtl w:val="0"/>
        </w:rPr>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Evidencias Empíricas Clave Acreditadas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17">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 </w:t>
      </w:r>
      <w:r w:rsidDel="00000000" w:rsidR="00000000" w:rsidRPr="00000000">
        <w:rPr>
          <w:rFonts w:ascii="Times New Roman" w:cs="Times New Roman" w:eastAsia="Times New Roman" w:hAnsi="Times New Roman"/>
          <w:b w:val="0"/>
          <w:bCs w:val="0"/>
          <w:i w:val="1"/>
          <w:iCs w:val="1"/>
          <w:color w:val="0f172a"/>
          <w:sz w:val="23"/>
          <w:szCs w:val="23"/>
          <w:rtl w:val="0"/>
        </w:rPr>
        <w:t xml:space="preserve">Rotación continua de personal y pérdida de memoria técnica</w:t>
      </w:r>
      <w:r w:rsidDel="00000000" w:rsidR="00000000" w:rsidRPr="00000000">
        <w:rPr>
          <w:rFonts w:ascii="Times New Roman" w:cs="Times New Roman" w:eastAsia="Times New Roman" w:hAnsi="Times New Roman"/>
          <w:b w:val="0"/>
          <w:bCs w:val="0"/>
          <w:i w:val="0"/>
          <w:iCs w:val="0"/>
          <w:color w:val="0f172a"/>
          <w:sz w:val="23"/>
          <w:szCs w:val="23"/>
          <w:rtl w:val="0"/>
        </w:rPr>
        <w:t xml:space="preserve">: Participación acumulada de entre 10 y 60 becarios a lo largo del ciclo de vida de un proyecto satelital. Cada recambio demanda de 30 a 45 días de superposición presencial para transferir criterios de diseño informales no documentados en las planillas (Min 01:05:28 / 01:12:25).</w:t>
      </w:r>
      <w:r w:rsidDel="00000000" w:rsidR="00000000" w:rsidRPr="00000000">
        <w:rPr>
          <w:rtl w:val="0"/>
        </w:rPr>
      </w:r>
    </w:p>
    <w:p w:rsidR="00000000" w:rsidDel="00000000" w:rsidP="00000000" w:rsidRDefault="00000000" w:rsidRPr="00000000" w14:paraId="00000918">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2. </w:t>
      </w:r>
      <w:r w:rsidDel="00000000" w:rsidR="00000000" w:rsidRPr="00000000">
        <w:rPr>
          <w:rFonts w:ascii="Times New Roman" w:cs="Times New Roman" w:eastAsia="Times New Roman" w:hAnsi="Times New Roman"/>
          <w:b w:val="0"/>
          <w:bCs w:val="0"/>
          <w:i w:val="1"/>
          <w:iCs w:val="1"/>
          <w:color w:val="0f172a"/>
          <w:sz w:val="23"/>
          <w:szCs w:val="23"/>
          <w:rtl w:val="0"/>
        </w:rPr>
        <w:t xml:space="preserve">Concentración del esfuerzo técnico en electrónica y potencia</w:t>
      </w:r>
      <w:r w:rsidDel="00000000" w:rsidR="00000000" w:rsidRPr="00000000">
        <w:rPr>
          <w:rFonts w:ascii="Times New Roman" w:cs="Times New Roman" w:eastAsia="Times New Roman" w:hAnsi="Times New Roman"/>
          <w:b w:val="0"/>
          <w:bCs w:val="0"/>
          <w:i w:val="0"/>
          <w:iCs w:val="0"/>
          <w:color w:val="0f172a"/>
          <w:sz w:val="23"/>
          <w:szCs w:val="23"/>
          <w:rtl w:val="0"/>
        </w:rPr>
        <w:t xml:space="preserve">: El 80% del personal técnico en misiones CubeSat académicas (e.g. USAT-1, Atenea) se focaliza en el desarrollo del subsistema de potencia eléctrica (EPS) y electrónica de a bordo (Min 00:21:39).</w:t>
      </w:r>
      <w:r w:rsidDel="00000000" w:rsidR="00000000" w:rsidRPr="00000000">
        <w:rPr>
          <w:rtl w:val="0"/>
        </w:rPr>
      </w:r>
    </w:p>
    <w:p w:rsidR="00000000" w:rsidDel="00000000" w:rsidP="00000000" w:rsidRDefault="00000000" w:rsidRPr="00000000" w14:paraId="00000919">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3. </w:t>
      </w:r>
      <w:r w:rsidDel="00000000" w:rsidR="00000000" w:rsidRPr="00000000">
        <w:rPr>
          <w:rFonts w:ascii="Times New Roman" w:cs="Times New Roman" w:eastAsia="Times New Roman" w:hAnsi="Times New Roman"/>
          <w:b w:val="0"/>
          <w:bCs w:val="0"/>
          <w:i w:val="1"/>
          <w:iCs w:val="1"/>
          <w:color w:val="0f172a"/>
          <w:sz w:val="23"/>
          <w:szCs w:val="23"/>
          <w:rtl w:val="0"/>
        </w:rPr>
        <w:t xml:space="preserve">Fragmentación documental y números tácitos</w:t>
      </w:r>
      <w:r w:rsidDel="00000000" w:rsidR="00000000" w:rsidRPr="00000000">
        <w:rPr>
          <w:rFonts w:ascii="Times New Roman" w:cs="Times New Roman" w:eastAsia="Times New Roman" w:hAnsi="Times New Roman"/>
          <w:b w:val="0"/>
          <w:bCs w:val="0"/>
          <w:i w:val="0"/>
          <w:iCs w:val="0"/>
          <w:color w:val="0f172a"/>
          <w:sz w:val="23"/>
          <w:szCs w:val="23"/>
          <w:rtl w:val="0"/>
        </w:rPr>
        <w:t xml:space="preserve">: Coexistencia de documentos de interfaz (ICD) de 50 a 90 páginas provistos por terceros con planillas Excel aisladas. En la misión Atenea, una incompatibilidad en la interfaz física de montaje se detectó a escasas 72 horas del ensamblaje en sala limpia (Min 00:27:32 / 00:40:18).</w:t>
      </w:r>
      <w:r w:rsidDel="00000000" w:rsidR="00000000" w:rsidRPr="00000000">
        <w:rPr>
          <w:rtl w:val="0"/>
        </w:rPr>
      </w:r>
    </w:p>
    <w:p w:rsidR="00000000" w:rsidDel="00000000" w:rsidP="00000000" w:rsidRDefault="00000000" w:rsidRPr="00000000" w14:paraId="0000091A">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4. </w:t>
      </w:r>
      <w:r w:rsidDel="00000000" w:rsidR="00000000" w:rsidRPr="00000000">
        <w:rPr>
          <w:rFonts w:ascii="Times New Roman" w:cs="Times New Roman" w:eastAsia="Times New Roman" w:hAnsi="Times New Roman"/>
          <w:b w:val="0"/>
          <w:bCs w:val="0"/>
          <w:i w:val="1"/>
          <w:iCs w:val="1"/>
          <w:color w:val="0f172a"/>
          <w:sz w:val="23"/>
          <w:szCs w:val="23"/>
          <w:rtl w:val="0"/>
        </w:rPr>
        <w:t xml:space="preserve">Validación de límites del sistema</w:t>
      </w:r>
      <w:r w:rsidDel="00000000" w:rsidR="00000000" w:rsidRPr="00000000">
        <w:rPr>
          <w:rFonts w:ascii="Times New Roman" w:cs="Times New Roman" w:eastAsia="Times New Roman" w:hAnsi="Times New Roman"/>
          <w:b w:val="0"/>
          <w:bCs w:val="0"/>
          <w:i w:val="0"/>
          <w:iCs w:val="0"/>
          <w:color w:val="0f172a"/>
          <w:sz w:val="23"/>
          <w:szCs w:val="23"/>
          <w:rtl w:val="0"/>
        </w:rPr>
        <w:t xml:space="preserve">: Descarte explícito de un simulador físico-orbital interno en favor de la ingesta desacoplada de corridas numéricas como evidencia (Min 00:35:50); descarte de plugins comerciales cerrados para CAD (USD 15.000/año) y Valispace (USD 1.500/año) por restricciones presupuestarias y de soberanía (Min 00:27:32).</w:t>
      </w:r>
      <w:r w:rsidDel="00000000" w:rsidR="00000000" w:rsidRPr="00000000">
        <w:rPr>
          <w:rtl w:val="0"/>
        </w:rPr>
      </w:r>
    </w:p>
    <w:p w:rsidR="00000000" w:rsidDel="00000000" w:rsidP="00000000" w:rsidRDefault="00000000" w:rsidRPr="00000000" w14:paraId="000009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Constancia Documental</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Transcripción íntegra accesible en el repositorio institucional de relevamiento: </w:t>
      </w: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01-relevamiento/entrevistas/2026-09-14_CTA-UNLP_Sonia-Botta_transcripcion.md</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1C">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Anexo II.2 · Ficha Institucional del Convenio de Validación con el Socio de Diseño (</w:t>
      </w:r>
      <w:r w:rsidDel="00000000" w:rsidR="00000000" w:rsidRPr="00000000">
        <w:rPr>
          <w:rFonts w:ascii="Times New Roman" w:cs="Times New Roman" w:eastAsia="Times New Roman" w:hAnsi="Times New Roman"/>
          <w:b w:val="1"/>
          <w:bCs w:val="1"/>
          <w:i w:val="1"/>
          <w:iCs w:val="1"/>
          <w:color w:val="0f172a"/>
          <w:sz w:val="24"/>
          <w:szCs w:val="24"/>
          <w:rtl w:val="0"/>
        </w:rPr>
        <w:t xml:space="preserve">Design Partner</w:t>
      </w:r>
      <w:r w:rsidDel="00000000" w:rsidR="00000000" w:rsidRPr="00000000">
        <w:rPr>
          <w:rFonts w:ascii="Times New Roman" w:cs="Times New Roman" w:eastAsia="Times New Roman" w:hAnsi="Times New Roman"/>
          <w:b w:val="1"/>
          <w:bCs w:val="1"/>
          <w:i w:val="0"/>
          <w:iCs w:val="0"/>
          <w:color w:val="0f172a"/>
          <w:sz w:val="24"/>
          <w:szCs w:val="24"/>
          <w:rtl w:val="0"/>
        </w:rPr>
        <w:t xml:space="preserve">)</w:t>
      </w:r>
      <w:r w:rsidDel="00000000" w:rsidR="00000000" w:rsidRPr="00000000">
        <w:rPr>
          <w:rtl w:val="0"/>
        </w:rPr>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Organización Asociada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Centro Tecnológico Aeroespacial (CTA-UNLP), Sede La Plata, Provincia de Buenos Aires.</w:t>
      </w:r>
      <w:r w:rsidDel="00000000" w:rsidR="00000000" w:rsidRPr="00000000">
        <w:rPr>
          <w:rtl w:val="0"/>
        </w:rPr>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Alcance de la Cooperación Técnica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1F">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 </w:t>
      </w:r>
      <w:r w:rsidDel="00000000" w:rsidR="00000000" w:rsidRPr="00000000">
        <w:rPr>
          <w:rFonts w:ascii="Times New Roman" w:cs="Times New Roman" w:eastAsia="Times New Roman" w:hAnsi="Times New Roman"/>
          <w:b w:val="0"/>
          <w:bCs w:val="0"/>
          <w:i w:val="0"/>
          <w:iCs w:val="0"/>
          <w:color w:val="0f172a"/>
          <w:sz w:val="23"/>
          <w:szCs w:val="23"/>
          <w:rtl w:val="0"/>
        </w:rPr>
        <w:t xml:space="preserve">Provisión de datasets reales anonimizados y documentos ICD representativos de las misiones USAT-1 y Atenea para calibración de algoritmos analíticos.</w:t>
      </w:r>
      <w:r w:rsidDel="00000000" w:rsidR="00000000" w:rsidRPr="00000000">
        <w:rPr>
          <w:rtl w:val="0"/>
        </w:rPr>
      </w:r>
    </w:p>
    <w:p w:rsidR="00000000" w:rsidDel="00000000" w:rsidP="00000000" w:rsidRDefault="00000000" w:rsidRPr="00000000" w14:paraId="00000920">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2. </w:t>
      </w:r>
      <w:r w:rsidDel="00000000" w:rsidR="00000000" w:rsidRPr="00000000">
        <w:rPr>
          <w:rFonts w:ascii="Times New Roman" w:cs="Times New Roman" w:eastAsia="Times New Roman" w:hAnsi="Times New Roman"/>
          <w:b w:val="0"/>
          <w:bCs w:val="0"/>
          <w:i w:val="0"/>
          <w:iCs w:val="0"/>
          <w:color w:val="0f172a"/>
          <w:sz w:val="23"/>
          <w:szCs w:val="23"/>
          <w:rtl w:val="0"/>
        </w:rPr>
        <w:t xml:space="preserve">Acceso a profesionales y becarios de ingeniería para la ejecución del protocolo psicométrico experimental comparativo A/B mediante NASA-TLX.</w:t>
      </w:r>
      <w:r w:rsidDel="00000000" w:rsidR="00000000" w:rsidRPr="00000000">
        <w:rPr>
          <w:rtl w:val="0"/>
        </w:rPr>
      </w:r>
    </w:p>
    <w:p w:rsidR="00000000" w:rsidDel="00000000" w:rsidP="00000000" w:rsidRDefault="00000000" w:rsidRPr="00000000" w14:paraId="00000921">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3. </w:t>
      </w:r>
      <w:r w:rsidDel="00000000" w:rsidR="00000000" w:rsidRPr="00000000">
        <w:rPr>
          <w:rFonts w:ascii="Times New Roman" w:cs="Times New Roman" w:eastAsia="Times New Roman" w:hAnsi="Times New Roman"/>
          <w:b w:val="0"/>
          <w:bCs w:val="0"/>
          <w:i w:val="0"/>
          <w:iCs w:val="0"/>
          <w:color w:val="0f172a"/>
          <w:sz w:val="23"/>
          <w:szCs w:val="23"/>
          <w:rtl w:val="0"/>
        </w:rPr>
        <w:t xml:space="preserve">Sesiones de revisión de diseño formal (</w:t>
      </w:r>
      <w:r w:rsidDel="00000000" w:rsidR="00000000" w:rsidRPr="00000000">
        <w:rPr>
          <w:rFonts w:ascii="Times New Roman" w:cs="Times New Roman" w:eastAsia="Times New Roman" w:hAnsi="Times New Roman"/>
          <w:b w:val="0"/>
          <w:bCs w:val="0"/>
          <w:i w:val="1"/>
          <w:iCs w:val="1"/>
          <w:color w:val="0f172a"/>
          <w:sz w:val="23"/>
          <w:szCs w:val="23"/>
          <w:rtl w:val="0"/>
        </w:rPr>
        <w:t xml:space="preserve">Design Reviews</w:t>
      </w:r>
      <w:r w:rsidDel="00000000" w:rsidR="00000000" w:rsidRPr="00000000">
        <w:rPr>
          <w:rFonts w:ascii="Times New Roman" w:cs="Times New Roman" w:eastAsia="Times New Roman" w:hAnsi="Times New Roman"/>
          <w:b w:val="0"/>
          <w:bCs w:val="0"/>
          <w:i w:val="0"/>
          <w:iCs w:val="0"/>
          <w:color w:val="0f172a"/>
          <w:sz w:val="23"/>
          <w:szCs w:val="23"/>
          <w:rtl w:val="0"/>
        </w:rPr>
        <w:t xml:space="preserve">) al cierre de cada hito de prototipo para evaluar la utilidad percibida de la memoria técnica inmutable.</w:t>
      </w:r>
      <w:r w:rsidDel="00000000" w:rsidR="00000000" w:rsidRPr="00000000">
        <w:rPr>
          <w:rtl w:val="0"/>
        </w:rPr>
      </w:r>
    </w:p>
    <w:p w:rsidR="00000000" w:rsidDel="00000000" w:rsidP="00000000" w:rsidRDefault="00000000" w:rsidRPr="00000000" w14:paraId="000009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Rol en el Flujo de Valor</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Cliente ancla institucional y entorno de validación empírica real de la formulación del proyecto.</w:t>
      </w:r>
      <w:r w:rsidDel="00000000" w:rsidR="00000000" w:rsidRPr="00000000">
        <w:rPr>
          <w:rtl w:val="0"/>
        </w:rPr>
      </w:r>
    </w:p>
    <w:p w:rsidR="00000000" w:rsidDel="00000000" w:rsidP="00000000" w:rsidRDefault="00000000" w:rsidRPr="00000000" w14:paraId="00000923">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Anexo II.3 · Síntesis de la Matriz Normalizada de Fuentes y Bibliografías</w:t>
      </w:r>
      <w:r w:rsidDel="00000000" w:rsidR="00000000" w:rsidRPr="00000000">
        <w:rPr>
          <w:rtl w:val="0"/>
        </w:rPr>
      </w:r>
    </w:p>
    <w:p w:rsidR="00000000" w:rsidDel="00000000" w:rsidP="00000000" w:rsidRDefault="00000000" w:rsidRPr="00000000" w14:paraId="00000924">
      <w:pPr>
        <w:spacing w:after="80" w:before="0" w:line="480" w:lineRule="auto"/>
        <w:ind w:firstLine="720"/>
        <w:rPr/>
      </w:pPr>
      <w:r w:rsidDel="00000000" w:rsidR="00000000" w:rsidRPr="00000000">
        <w:rPr>
          <w:rFonts w:ascii="Times New Roman" w:cs="Times New Roman" w:eastAsia="Times New Roman" w:hAnsi="Times New Roman"/>
          <w:b w:val="0"/>
          <w:bCs w:val="0"/>
          <w:i w:val="0"/>
          <w:iCs w:val="0"/>
          <w:color w:val="0f172a"/>
          <w:sz w:val="24"/>
          <w:szCs w:val="24"/>
          <w:rtl w:val="0"/>
        </w:rPr>
        <w:t xml:space="preserve">El proyecto cuenta con una matriz bibliográfica normalizada y categorizada en </w:t>
      </w:r>
      <w:r w:rsidDel="00000000" w:rsidR="00000000" w:rsidRPr="00000000">
        <w:rPr>
          <w:rFonts w:ascii="Consolas" w:cs="Consolas" w:eastAsia="Consolas" w:hAnsi="Consolas"/>
          <w:b w:val="0"/>
          <w:bCs w:val="0"/>
          <w:i w:val="0"/>
          <w:iCs w:val="0"/>
          <w:color w:val="334155"/>
          <w:sz w:val="21"/>
          <w:szCs w:val="21"/>
          <w:rtl w:val="0"/>
        </w:rPr>
        <w:t xml:space="preserve">02-analisis/Fuentes y Bibliografias_ Analisis y evaluacion .xlsx</w:t>
      </w:r>
      <w:r w:rsidDel="00000000" w:rsidR="00000000" w:rsidRPr="00000000">
        <w:rPr>
          <w:rFonts w:ascii="Times New Roman" w:cs="Times New Roman" w:eastAsia="Times New Roman" w:hAnsi="Times New Roman"/>
          <w:b w:val="0"/>
          <w:bCs w:val="0"/>
          <w:i w:val="0"/>
          <w:iCs w:val="0"/>
          <w:color w:val="0f172a"/>
          <w:sz w:val="24"/>
          <w:szCs w:val="24"/>
          <w:rtl w:val="0"/>
        </w:rPr>
        <w:t xml:space="preserve">, estructurada en seis (6) frentes de investigación:</w:t>
      </w:r>
      <w:r w:rsidDel="00000000" w:rsidR="00000000" w:rsidRPr="00000000">
        <w:rPr>
          <w:rtl w:val="0"/>
        </w:rPr>
      </w:r>
    </w:p>
    <w:p w:rsidR="00000000" w:rsidDel="00000000" w:rsidP="00000000" w:rsidRDefault="00000000" w:rsidRPr="00000000" w14:paraId="00000925">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 </w:t>
      </w:r>
      <w:r w:rsidDel="00000000" w:rsidR="00000000" w:rsidRPr="00000000">
        <w:rPr>
          <w:rFonts w:ascii="Times New Roman" w:cs="Times New Roman" w:eastAsia="Times New Roman" w:hAnsi="Times New Roman"/>
          <w:b w:val="1"/>
          <w:bCs w:val="1"/>
          <w:i w:val="0"/>
          <w:iCs w:val="0"/>
          <w:color w:val="0f172a"/>
          <w:sz w:val="23"/>
          <w:szCs w:val="23"/>
          <w:rtl w:val="0"/>
        </w:rPr>
        <w:t xml:space="preserve">Frente 1 — Estado del Arte en CubeSats y NewSpace</w:t>
      </w:r>
      <w:r w:rsidDel="00000000" w:rsidR="00000000" w:rsidRPr="00000000">
        <w:rPr>
          <w:rFonts w:ascii="Times New Roman" w:cs="Times New Roman" w:eastAsia="Times New Roman" w:hAnsi="Times New Roman"/>
          <w:b w:val="0"/>
          <w:bCs w:val="0"/>
          <w:i w:val="0"/>
          <w:iCs w:val="0"/>
          <w:color w:val="0f172a"/>
          <w:sz w:val="23"/>
          <w:szCs w:val="23"/>
          <w:rtl w:val="0"/>
        </w:rPr>
        <w:t xml:space="preserve">: CDS REV 14.1 (Cal Poly), New SMAD (Wertz et al.), Swartwout (Saint Louis University), NASA S3VI Database.</w:t>
      </w:r>
      <w:r w:rsidDel="00000000" w:rsidR="00000000" w:rsidRPr="00000000">
        <w:rPr>
          <w:rtl w:val="0"/>
        </w:rPr>
      </w:r>
    </w:p>
    <w:p w:rsidR="00000000" w:rsidDel="00000000" w:rsidP="00000000" w:rsidRDefault="00000000" w:rsidRPr="00000000" w14:paraId="00000926">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2. </w:t>
      </w:r>
      <w:r w:rsidDel="00000000" w:rsidR="00000000" w:rsidRPr="00000000">
        <w:rPr>
          <w:rFonts w:ascii="Times New Roman" w:cs="Times New Roman" w:eastAsia="Times New Roman" w:hAnsi="Times New Roman"/>
          <w:b w:val="1"/>
          <w:bCs w:val="1"/>
          <w:i w:val="0"/>
          <w:iCs w:val="0"/>
          <w:color w:val="0f172a"/>
          <w:sz w:val="23"/>
          <w:szCs w:val="23"/>
          <w:rtl w:val="0"/>
        </w:rPr>
        <w:t xml:space="preserve">Frente 2 — Normas y Estándares Espaciales</w:t>
      </w:r>
      <w:r w:rsidDel="00000000" w:rsidR="00000000" w:rsidRPr="00000000">
        <w:rPr>
          <w:rFonts w:ascii="Times New Roman" w:cs="Times New Roman" w:eastAsia="Times New Roman" w:hAnsi="Times New Roman"/>
          <w:b w:val="0"/>
          <w:bCs w:val="0"/>
          <w:i w:val="0"/>
          <w:iCs w:val="0"/>
          <w:color w:val="0f172a"/>
          <w:sz w:val="23"/>
          <w:szCs w:val="23"/>
          <w:rtl w:val="0"/>
        </w:rPr>
        <w:t xml:space="preserve">: Familia ECSS (ECSS-E-ST-20C Rev. 1, ECSS-E-ST-10C, ECSS-E-ST-10-04C, ECSS-Q-ST-80C) y NASA SE Handbook (SP-20230000806 Rev. 3).</w:t>
      </w:r>
      <w:r w:rsidDel="00000000" w:rsidR="00000000" w:rsidRPr="00000000">
        <w:rPr>
          <w:rtl w:val="0"/>
        </w:rPr>
      </w:r>
    </w:p>
    <w:p w:rsidR="00000000" w:rsidDel="00000000" w:rsidP="00000000" w:rsidRDefault="00000000" w:rsidRPr="00000000" w14:paraId="00000927">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3. </w:t>
      </w:r>
      <w:r w:rsidDel="00000000" w:rsidR="00000000" w:rsidRPr="00000000">
        <w:rPr>
          <w:rFonts w:ascii="Times New Roman" w:cs="Times New Roman" w:eastAsia="Times New Roman" w:hAnsi="Times New Roman"/>
          <w:b w:val="1"/>
          <w:bCs w:val="1"/>
          <w:i w:val="0"/>
          <w:iCs w:val="0"/>
          <w:color w:val="0f172a"/>
          <w:sz w:val="23"/>
          <w:szCs w:val="23"/>
          <w:rtl w:val="0"/>
        </w:rPr>
        <w:t xml:space="preserve">Frente 3 — Generación Fotovoltaica y Degradación en LEO</w:t>
      </w:r>
      <w:r w:rsidDel="00000000" w:rsidR="00000000" w:rsidRPr="00000000">
        <w:rPr>
          <w:rFonts w:ascii="Times New Roman" w:cs="Times New Roman" w:eastAsia="Times New Roman" w:hAnsi="Times New Roman"/>
          <w:b w:val="0"/>
          <w:bCs w:val="0"/>
          <w:i w:val="0"/>
          <w:iCs w:val="0"/>
          <w:color w:val="0f172a"/>
          <w:sz w:val="23"/>
          <w:szCs w:val="23"/>
          <w:rtl w:val="0"/>
        </w:rPr>
        <w:t xml:space="preserve">: El Hachimi et al. (2025), Ali et al. (2026), modelos de radiación espacial.</w:t>
      </w:r>
      <w:r w:rsidDel="00000000" w:rsidR="00000000" w:rsidRPr="00000000">
        <w:rPr>
          <w:rtl w:val="0"/>
        </w:rPr>
      </w:r>
    </w:p>
    <w:p w:rsidR="00000000" w:rsidDel="00000000" w:rsidP="00000000" w:rsidRDefault="00000000" w:rsidRPr="00000000" w14:paraId="00000928">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4. </w:t>
      </w:r>
      <w:r w:rsidDel="00000000" w:rsidR="00000000" w:rsidRPr="00000000">
        <w:rPr>
          <w:rFonts w:ascii="Times New Roman" w:cs="Times New Roman" w:eastAsia="Times New Roman" w:hAnsi="Times New Roman"/>
          <w:b w:val="1"/>
          <w:bCs w:val="1"/>
          <w:i w:val="0"/>
          <w:iCs w:val="0"/>
          <w:color w:val="0f172a"/>
          <w:sz w:val="23"/>
          <w:szCs w:val="23"/>
          <w:rtl w:val="0"/>
        </w:rPr>
        <w:t xml:space="preserve">Frente 4 — Factores Humanos y Carga Mental</w:t>
      </w:r>
      <w:r w:rsidDel="00000000" w:rsidR="00000000" w:rsidRPr="00000000">
        <w:rPr>
          <w:rFonts w:ascii="Times New Roman" w:cs="Times New Roman" w:eastAsia="Times New Roman" w:hAnsi="Times New Roman"/>
          <w:b w:val="0"/>
          <w:bCs w:val="0"/>
          <w:i w:val="0"/>
          <w:iCs w:val="0"/>
          <w:color w:val="0f172a"/>
          <w:sz w:val="23"/>
          <w:szCs w:val="23"/>
          <w:rtl w:val="0"/>
        </w:rPr>
        <w:t xml:space="preserve">: Hart &amp; Staveland (1988), NTP 544 (INSST), Teoría de Carga Cognitiva de Sweller (1988), Modelo SRK de Rasmussen (1983).</w:t>
      </w:r>
      <w:r w:rsidDel="00000000" w:rsidR="00000000" w:rsidRPr="00000000">
        <w:rPr>
          <w:rtl w:val="0"/>
        </w:rPr>
      </w:r>
    </w:p>
    <w:p w:rsidR="00000000" w:rsidDel="00000000" w:rsidP="00000000" w:rsidRDefault="00000000" w:rsidRPr="00000000" w14:paraId="00000929">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5. </w:t>
      </w:r>
      <w:r w:rsidDel="00000000" w:rsidR="00000000" w:rsidRPr="00000000">
        <w:rPr>
          <w:rFonts w:ascii="Times New Roman" w:cs="Times New Roman" w:eastAsia="Times New Roman" w:hAnsi="Times New Roman"/>
          <w:b w:val="1"/>
          <w:bCs w:val="1"/>
          <w:i w:val="0"/>
          <w:iCs w:val="0"/>
          <w:color w:val="0f172a"/>
          <w:sz w:val="23"/>
          <w:szCs w:val="23"/>
          <w:rtl w:val="0"/>
        </w:rPr>
        <w:t xml:space="preserve">Frente 5 — Inteligencia Artificial Neuro-Simbólica y MBSE</w:t>
      </w:r>
      <w:r w:rsidDel="00000000" w:rsidR="00000000" w:rsidRPr="00000000">
        <w:rPr>
          <w:rFonts w:ascii="Times New Roman" w:cs="Times New Roman" w:eastAsia="Times New Roman" w:hAnsi="Times New Roman"/>
          <w:b w:val="0"/>
          <w:bCs w:val="0"/>
          <w:i w:val="0"/>
          <w:iCs w:val="0"/>
          <w:color w:val="0f172a"/>
          <w:sz w:val="23"/>
          <w:szCs w:val="23"/>
          <w:rtl w:val="0"/>
        </w:rPr>
        <w:t xml:space="preserve">: García Alarcia &amp; Golkar (2025), Riedl &amp; Ziemke (2024), Delp et al. (2013), Deckers &amp; Lago (2026).</w:t>
      </w:r>
      <w:r w:rsidDel="00000000" w:rsidR="00000000" w:rsidRPr="00000000">
        <w:rPr>
          <w:rtl w:val="0"/>
        </w:rPr>
      </w:r>
    </w:p>
    <w:p w:rsidR="00000000" w:rsidDel="00000000" w:rsidP="00000000" w:rsidRDefault="00000000" w:rsidRPr="00000000" w14:paraId="0000092A">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6. </w:t>
      </w:r>
      <w:r w:rsidDel="00000000" w:rsidR="00000000" w:rsidRPr="00000000">
        <w:rPr>
          <w:rFonts w:ascii="Times New Roman" w:cs="Times New Roman" w:eastAsia="Times New Roman" w:hAnsi="Times New Roman"/>
          <w:b w:val="1"/>
          <w:bCs w:val="1"/>
          <w:i w:val="0"/>
          <w:iCs w:val="0"/>
          <w:color w:val="0f172a"/>
          <w:sz w:val="23"/>
          <w:szCs w:val="23"/>
          <w:rtl w:val="0"/>
        </w:rPr>
        <w:t xml:space="preserve">Frente 6 — Economía del Software y Mercado SSI</w:t>
      </w:r>
      <w:r w:rsidDel="00000000" w:rsidR="00000000" w:rsidRPr="00000000">
        <w:rPr>
          <w:rFonts w:ascii="Times New Roman" w:cs="Times New Roman" w:eastAsia="Times New Roman" w:hAnsi="Times New Roman"/>
          <w:b w:val="0"/>
          <w:bCs w:val="0"/>
          <w:i w:val="0"/>
          <w:iCs w:val="0"/>
          <w:color w:val="0f172a"/>
          <w:sz w:val="23"/>
          <w:szCs w:val="23"/>
          <w:rtl w:val="0"/>
        </w:rPr>
        <w:t xml:space="preserve">: Sysarmy 2026.01, Reporte OPSSI / CESSI 2025/2026.</w:t>
      </w:r>
      <w:r w:rsidDel="00000000" w:rsidR="00000000" w:rsidRPr="00000000">
        <w:rPr>
          <w:rtl w:val="0"/>
        </w:rPr>
      </w:r>
    </w:p>
    <w:p w:rsidR="00000000" w:rsidDel="00000000" w:rsidP="00000000" w:rsidRDefault="00000000" w:rsidRPr="00000000" w14:paraId="0000092B">
      <w:pPr>
        <w:pStyle w:val="Heading1"/>
        <w:keepNext w:val="1"/>
        <w:rPr/>
      </w:pPr>
      <w:r w:rsidDel="00000000" w:rsidR="00000000" w:rsidRPr="00000000">
        <w:rPr>
          <w:rFonts w:ascii="Times New Roman" w:cs="Times New Roman" w:eastAsia="Times New Roman" w:hAnsi="Times New Roman"/>
          <w:b w:val="1"/>
          <w:bCs w:val="1"/>
          <w:i w:val="0"/>
          <w:iCs w:val="0"/>
          <w:color w:val="0f172a"/>
          <w:sz w:val="32"/>
          <w:szCs w:val="32"/>
          <w:rtl w:val="0"/>
        </w:rPr>
        <w:t xml:space="preserve">ANEXO III — TRAZABILIDAD DE PROTOTIPOS, ARTEFACTOS Y GOBERNANZA ÁGIL</w:t>
      </w:r>
      <w:r w:rsidDel="00000000" w:rsidR="00000000" w:rsidRPr="00000000">
        <w:rPr>
          <w:rtl w:val="0"/>
        </w:rPr>
      </w:r>
    </w:p>
    <w:p w:rsidR="00000000" w:rsidDel="00000000" w:rsidP="00000000" w:rsidRDefault="00000000" w:rsidRPr="00000000" w14:paraId="0000092C">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Anexo III.1 · Ficha del Prototipo v0 (Wireframes Interactivos Navegables)</w:t>
      </w:r>
      <w:r w:rsidDel="00000000" w:rsidR="00000000" w:rsidRPr="00000000">
        <w:rPr>
          <w:rtl w:val="0"/>
        </w:rPr>
      </w:r>
    </w:p>
    <w:p w:rsidR="00000000" w:rsidDel="00000000" w:rsidP="00000000" w:rsidRDefault="00000000" w:rsidRPr="00000000" w14:paraId="000009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Denominación</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CODI Interface Wireframe v0.1 — Módulo de Potencia y Arnés Cognitivo.</w:t>
      </w:r>
      <w:r w:rsidDel="00000000" w:rsidR="00000000" w:rsidRPr="00000000">
        <w:rPr>
          <w:rtl w:val="0"/>
        </w:rPr>
      </w:r>
    </w:p>
    <w:p w:rsidR="00000000" w:rsidDel="00000000" w:rsidP="00000000" w:rsidRDefault="00000000" w:rsidRPr="00000000" w14:paraId="000009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Plataforma de Prototipado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Stitch UI / HTML5 + CSS interactivo desacoplado.</w:t>
      </w:r>
      <w:r w:rsidDel="00000000" w:rsidR="00000000" w:rsidRPr="00000000">
        <w:rPr>
          <w:rtl w:val="0"/>
        </w:rPr>
      </w:r>
    </w:p>
    <w:p w:rsidR="00000000" w:rsidDel="00000000" w:rsidP="00000000" w:rsidRDefault="00000000" w:rsidRPr="00000000" w14:paraId="000009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Componentes Validados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30">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 </w:t>
      </w:r>
      <w:r w:rsidDel="00000000" w:rsidR="00000000" w:rsidRPr="00000000">
        <w:rPr>
          <w:rFonts w:ascii="Times New Roman" w:cs="Times New Roman" w:eastAsia="Times New Roman" w:hAnsi="Times New Roman"/>
          <w:b w:val="0"/>
          <w:bCs w:val="0"/>
          <w:i w:val="1"/>
          <w:iCs w:val="1"/>
          <w:color w:val="0f172a"/>
          <w:sz w:val="23"/>
          <w:szCs w:val="23"/>
          <w:rtl w:val="0"/>
        </w:rPr>
        <w:t xml:space="preserve">Panel de Parámetros de Misión</w:t>
      </w:r>
      <w:r w:rsidDel="00000000" w:rsidR="00000000" w:rsidRPr="00000000">
        <w:rPr>
          <w:rFonts w:ascii="Times New Roman" w:cs="Times New Roman" w:eastAsia="Times New Roman" w:hAnsi="Times New Roman"/>
          <w:b w:val="0"/>
          <w:bCs w:val="0"/>
          <w:i w:val="0"/>
          <w:iCs w:val="0"/>
          <w:color w:val="0f172a"/>
          <w:sz w:val="23"/>
          <w:szCs w:val="23"/>
          <w:rtl w:val="0"/>
        </w:rPr>
        <w:t xml:space="preserve">: Configuración de factor de forma (3U) y órbita circular (h = 500 km).</w:t>
      </w:r>
      <w:r w:rsidDel="00000000" w:rsidR="00000000" w:rsidRPr="00000000">
        <w:rPr>
          <w:rtl w:val="0"/>
        </w:rPr>
      </w:r>
    </w:p>
    <w:p w:rsidR="00000000" w:rsidDel="00000000" w:rsidP="00000000" w:rsidRDefault="00000000" w:rsidRPr="00000000" w14:paraId="00000931">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2. </w:t>
      </w:r>
      <w:r w:rsidDel="00000000" w:rsidR="00000000" w:rsidRPr="00000000">
        <w:rPr>
          <w:rFonts w:ascii="Times New Roman" w:cs="Times New Roman" w:eastAsia="Times New Roman" w:hAnsi="Times New Roman"/>
          <w:b w:val="0"/>
          <w:bCs w:val="0"/>
          <w:i w:val="1"/>
          <w:iCs w:val="1"/>
          <w:color w:val="0f172a"/>
          <w:sz w:val="23"/>
          <w:szCs w:val="23"/>
          <w:rtl w:val="0"/>
        </w:rPr>
        <w:t xml:space="preserve">Motor de Semáforo de Margen</w:t>
      </w:r>
      <w:r w:rsidDel="00000000" w:rsidR="00000000" w:rsidRPr="00000000">
        <w:rPr>
          <w:rFonts w:ascii="Gungsuh" w:cs="Gungsuh" w:eastAsia="Gungsuh" w:hAnsi="Gungsuh"/>
          <w:b w:val="0"/>
          <w:bCs w:val="0"/>
          <w:i w:val="0"/>
          <w:iCs w:val="0"/>
          <w:color w:val="0f172a"/>
          <w:sz w:val="23"/>
          <w:szCs w:val="23"/>
          <w:rtl w:val="0"/>
        </w:rPr>
        <w:t xml:space="preserve">: Renderizado dinámico del indicador de profundidad de descarga de batería (DoD ≤ 30%, RN-01) y margen solar a fin de vida (EOL ≥ 20%, RN-02).</w:t>
      </w:r>
      <w:r w:rsidDel="00000000" w:rsidR="00000000" w:rsidRPr="00000000">
        <w:rPr>
          <w:rtl w:val="0"/>
        </w:rPr>
      </w:r>
    </w:p>
    <w:p w:rsidR="00000000" w:rsidDel="00000000" w:rsidP="00000000" w:rsidRDefault="00000000" w:rsidRPr="00000000" w14:paraId="00000932">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3. </w:t>
      </w:r>
      <w:r w:rsidDel="00000000" w:rsidR="00000000" w:rsidRPr="00000000">
        <w:rPr>
          <w:rFonts w:ascii="Times New Roman" w:cs="Times New Roman" w:eastAsia="Times New Roman" w:hAnsi="Times New Roman"/>
          <w:b w:val="0"/>
          <w:bCs w:val="0"/>
          <w:i w:val="1"/>
          <w:iCs w:val="1"/>
          <w:color w:val="0f172a"/>
          <w:sz w:val="23"/>
          <w:szCs w:val="23"/>
          <w:rtl w:val="0"/>
        </w:rPr>
        <w:t xml:space="preserve">Copiloto de Doble Vista y Acordeón de Razonamiento</w:t>
      </w:r>
      <w:r w:rsidDel="00000000" w:rsidR="00000000" w:rsidRPr="00000000">
        <w:rPr>
          <w:rFonts w:ascii="Times New Roman" w:cs="Times New Roman" w:eastAsia="Times New Roman" w:hAnsi="Times New Roman"/>
          <w:b w:val="0"/>
          <w:bCs w:val="0"/>
          <w:i w:val="0"/>
          <w:iCs w:val="0"/>
          <w:color w:val="0f172a"/>
          <w:sz w:val="23"/>
          <w:szCs w:val="23"/>
          <w:rtl w:val="0"/>
        </w:rPr>
        <w:t xml:space="preserve">: Interacción asistiva con selector de densidad de información (</w:t>
      </w:r>
      <w:r w:rsidDel="00000000" w:rsidR="00000000" w:rsidRPr="00000000">
        <w:rPr>
          <w:rFonts w:ascii="Consolas" w:cs="Consolas" w:eastAsia="Consolas" w:hAnsi="Consolas"/>
          <w:b w:val="0"/>
          <w:bCs w:val="0"/>
          <w:i w:val="0"/>
          <w:iCs w:val="0"/>
          <w:color w:val="334155"/>
          <w:sz w:val="20"/>
          <w:szCs w:val="20"/>
          <w:rtl w:val="0"/>
        </w:rPr>
        <w:t xml:space="preserve">[Resumen Ejecutivo]</w:t>
      </w:r>
      <w:r w:rsidDel="00000000" w:rsidR="00000000" w:rsidRPr="00000000">
        <w:rPr>
          <w:rFonts w:ascii="Times New Roman" w:cs="Times New Roman" w:eastAsia="Times New Roman" w:hAnsi="Times New Roman"/>
          <w:b w:val="0"/>
          <w:bCs w:val="0"/>
          <w:i w:val="0"/>
          <w:iCs w:val="0"/>
          <w:color w:val="0f172a"/>
          <w:sz w:val="23"/>
          <w:szCs w:val="23"/>
          <w:rtl w:val="0"/>
        </w:rPr>
        <w:t xml:space="preserve"> vs </w:t>
      </w:r>
      <w:r w:rsidDel="00000000" w:rsidR="00000000" w:rsidRPr="00000000">
        <w:rPr>
          <w:rFonts w:ascii="Consolas" w:cs="Consolas" w:eastAsia="Consolas" w:hAnsi="Consolas"/>
          <w:b w:val="0"/>
          <w:bCs w:val="0"/>
          <w:i w:val="0"/>
          <w:iCs w:val="0"/>
          <w:color w:val="334155"/>
          <w:sz w:val="20"/>
          <w:szCs w:val="20"/>
          <w:rtl w:val="0"/>
        </w:rPr>
        <w:t xml:space="preserve">[Analítico Detallado]</w:t>
      </w:r>
      <w:r w:rsidDel="00000000" w:rsidR="00000000" w:rsidRPr="00000000">
        <w:rPr>
          <w:rFonts w:ascii="Times New Roman" w:cs="Times New Roman" w:eastAsia="Times New Roman" w:hAnsi="Times New Roman"/>
          <w:b w:val="0"/>
          <w:bCs w:val="0"/>
          <w:i w:val="0"/>
          <w:iCs w:val="0"/>
          <w:color w:val="0f172a"/>
          <w:sz w:val="23"/>
          <w:szCs w:val="23"/>
          <w:rtl w:val="0"/>
        </w:rPr>
        <w:t xml:space="preserve">).</w:t>
      </w:r>
      <w:r w:rsidDel="00000000" w:rsidR="00000000" w:rsidRPr="00000000">
        <w:rPr>
          <w:rtl w:val="0"/>
        </w:rPr>
      </w:r>
    </w:p>
    <w:p w:rsidR="00000000" w:rsidDel="00000000" w:rsidP="00000000" w:rsidRDefault="00000000" w:rsidRPr="00000000" w14:paraId="00000933">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4. </w:t>
      </w:r>
      <w:r w:rsidDel="00000000" w:rsidR="00000000" w:rsidRPr="00000000">
        <w:rPr>
          <w:rFonts w:ascii="Times New Roman" w:cs="Times New Roman" w:eastAsia="Times New Roman" w:hAnsi="Times New Roman"/>
          <w:b w:val="0"/>
          <w:bCs w:val="0"/>
          <w:i w:val="1"/>
          <w:iCs w:val="1"/>
          <w:color w:val="0f172a"/>
          <w:sz w:val="23"/>
          <w:szCs w:val="23"/>
          <w:rtl w:val="0"/>
        </w:rPr>
        <w:t xml:space="preserve">Modal de Grafo de Relaciones</w:t>
      </w:r>
      <w:r w:rsidDel="00000000" w:rsidR="00000000" w:rsidRPr="00000000">
        <w:rPr>
          <w:rFonts w:ascii="Times New Roman" w:cs="Times New Roman" w:eastAsia="Times New Roman" w:hAnsi="Times New Roman"/>
          <w:b w:val="0"/>
          <w:bCs w:val="0"/>
          <w:i w:val="0"/>
          <w:iCs w:val="0"/>
          <w:color w:val="0f172a"/>
          <w:sz w:val="23"/>
          <w:szCs w:val="23"/>
          <w:rtl w:val="0"/>
        </w:rPr>
        <w:t xml:space="preserve">: Visualización preliminar de dependencias entre requisitos, fuentes documentales y parámetros físicos.</w:t>
      </w:r>
      <w:r w:rsidDel="00000000" w:rsidR="00000000" w:rsidRPr="00000000">
        <w:rPr>
          <w:rtl w:val="0"/>
        </w:rPr>
      </w:r>
    </w:p>
    <w:p w:rsidR="00000000" w:rsidDel="00000000" w:rsidP="00000000" w:rsidRDefault="00000000" w:rsidRPr="00000000" w14:paraId="000009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Enlace de Inspección</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Prototipo navegable v0 documentado en </w:t>
      </w: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04-diseno/wireframes/v0/index.html</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35">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Anexo III.2 · Ficha de Verificación del Prototipo v1 (</w:t>
      </w:r>
      <w:r w:rsidDel="00000000" w:rsidR="00000000" w:rsidRPr="00000000">
        <w:rPr>
          <w:rFonts w:ascii="Times New Roman" w:cs="Times New Roman" w:eastAsia="Times New Roman" w:hAnsi="Times New Roman"/>
          <w:b w:val="1"/>
          <w:bCs w:val="1"/>
          <w:i w:val="1"/>
          <w:iCs w:val="1"/>
          <w:color w:val="0f172a"/>
          <w:sz w:val="24"/>
          <w:szCs w:val="24"/>
          <w:rtl w:val="0"/>
        </w:rPr>
        <w:t xml:space="preserve">Walking Skeleton</w:t>
      </w:r>
      <w:r w:rsidDel="00000000" w:rsidR="00000000" w:rsidRPr="00000000">
        <w:rPr>
          <w:rFonts w:ascii="Times New Roman" w:cs="Times New Roman" w:eastAsia="Times New Roman" w:hAnsi="Times New Roman"/>
          <w:b w:val="1"/>
          <w:bCs w:val="1"/>
          <w:i w:val="0"/>
          <w:iCs w:val="0"/>
          <w:color w:val="0f172a"/>
          <w:sz w:val="24"/>
          <w:szCs w:val="24"/>
          <w:rtl w:val="0"/>
        </w:rPr>
        <w:t xml:space="preserve">)</w:t>
      </w:r>
      <w:r w:rsidDel="00000000" w:rsidR="00000000" w:rsidRPr="00000000">
        <w:rPr>
          <w:rtl w:val="0"/>
        </w:rPr>
      </w:r>
    </w:p>
    <w:p w:rsidR="00000000" w:rsidDel="00000000" w:rsidP="00000000" w:rsidRDefault="00000000" w:rsidRPr="00000000" w14:paraId="000009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Versión de Software</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v1.0.0-prototipo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(Punto de control Git: </w:t>
      </w: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release-v1-walking-skeleton</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Arquitectura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Walking Skeleton multicapa desplegado sobre Docker Compose.</w:t>
      </w:r>
      <w:r w:rsidDel="00000000" w:rsidR="00000000" w:rsidRPr="00000000">
        <w:rPr>
          <w:rtl w:val="0"/>
        </w:rPr>
      </w:r>
    </w:p>
    <w:p w:rsidR="00000000" w:rsidDel="00000000" w:rsidP="00000000" w:rsidRDefault="00000000" w:rsidRPr="00000000" w14:paraId="000009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Caso de Uso Vertical</w:t>
      </w:r>
      <w:r w:rsidDel="00000000" w:rsidR="00000000" w:rsidRPr="00000000">
        <w:rPr>
          <w:rFonts w:ascii="Gungsuh" w:cs="Gungsuh" w:eastAsia="Gungsuh" w:hAnsi="Gungsuh"/>
          <w:b w:val="0"/>
          <w:bCs w:val="0"/>
          <w:i w:val="0"/>
          <w:iCs w:val="0"/>
          <w:smallCaps w:val="0"/>
          <w:strike w:val="0"/>
          <w:color w:val="0f172a"/>
          <w:sz w:val="23"/>
          <w:szCs w:val="23"/>
          <w:u w:val="none"/>
          <w:shd w:fill="auto" w:val="clear"/>
          <w:vertAlign w:val="baseline"/>
          <w:rtl w:val="0"/>
        </w:rPr>
        <w:t xml:space="preserve">: CU-03 parcial — Ingesta de parámetros de balance, cómputo determinístico kepleriano en sombra, verificación de la restricción DoD ≤ 30% (RN-01) y persistencia inmutable en SQLite con estampa temporal UTC.</w:t>
      </w:r>
      <w:r w:rsidDel="00000000" w:rsidR="00000000" w:rsidRPr="00000000">
        <w:rPr>
          <w:rtl w:val="0"/>
        </w:rPr>
      </w:r>
    </w:p>
    <w:p w:rsidR="00000000" w:rsidDel="00000000" w:rsidP="00000000" w:rsidRDefault="00000000" w:rsidRPr="00000000" w14:paraId="000009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Resultados de la Suite Automatizada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Doce (12) tests unitarios y de integración ejecutados bajo </w:t>
      </w: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pytest</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tests/test_orbital_geometry.py</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3 tests pasando (período orbital, fracción de eclipse, ángulo beta).</w:t>
      </w:r>
      <w:r w:rsidDel="00000000" w:rsidR="00000000" w:rsidRPr="00000000">
        <w:rPr>
          <w:rtl w:val="0"/>
        </w:rPr>
      </w:r>
    </w:p>
    <w:p w:rsidR="00000000" w:rsidDel="00000000" w:rsidP="00000000" w:rsidRDefault="00000000" w:rsidRPr="00000000" w14:paraId="000009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tests/test_eps_determinism.py</w:t>
      </w:r>
      <w:r w:rsidDel="00000000" w:rsidR="00000000" w:rsidRPr="00000000">
        <w:rPr>
          <w:rFonts w:ascii="Gungsuh" w:cs="Gungsuh" w:eastAsia="Gungsuh" w:hAnsi="Gungsuh"/>
          <w:b w:val="0"/>
          <w:bCs w:val="0"/>
          <w:i w:val="0"/>
          <w:iCs w:val="0"/>
          <w:smallCaps w:val="0"/>
          <w:strike w:val="0"/>
          <w:color w:val="0f172a"/>
          <w:sz w:val="23"/>
          <w:szCs w:val="23"/>
          <w:u w:val="none"/>
          <w:shd w:fill="auto" w:val="clear"/>
          <w:vertAlign w:val="baseline"/>
          <w:rtl w:val="0"/>
        </w:rPr>
        <w:t xml:space="preserve">: 5 tests pasando (cálculo de DoD, detección de violación DoD &gt; 30%, margen EOL ≥ 20%).</w:t>
      </w:r>
      <w:r w:rsidDel="00000000" w:rsidR="00000000" w:rsidRPr="00000000">
        <w:rPr>
          <w:rtl w:val="0"/>
        </w:rPr>
      </w:r>
    </w:p>
    <w:p w:rsidR="00000000" w:rsidDel="00000000" w:rsidP="00000000" w:rsidRDefault="00000000" w:rsidRPr="00000000" w14:paraId="000009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tests/test_decision_log_integrity.py</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4 tests pasando (generación de hash SHA-256, detección de corrupción de tuplas).</w:t>
      </w:r>
      <w:r w:rsidDel="00000000" w:rsidR="00000000" w:rsidRPr="00000000">
        <w:rPr>
          <w:rtl w:val="0"/>
        </w:rPr>
      </w:r>
    </w:p>
    <w:p w:rsidR="00000000" w:rsidDel="00000000" w:rsidP="00000000" w:rsidRDefault="00000000" w:rsidRPr="00000000" w14:paraId="000009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Métricas de Rendimiento en Máquina Limpia</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Tiempo de arranque en frío en contenedor Docker: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38,2 segundos</w:t>
      </w:r>
      <w:r w:rsidDel="00000000" w:rsidR="00000000" w:rsidRPr="00000000">
        <w:rPr>
          <w:rFonts w:ascii="Gungsuh" w:cs="Gungsuh" w:eastAsia="Gungsuh" w:hAnsi="Gungsuh"/>
          <w:b w:val="0"/>
          <w:bCs w:val="0"/>
          <w:i w:val="0"/>
          <w:iCs w:val="0"/>
          <w:smallCaps w:val="0"/>
          <w:strike w:val="0"/>
          <w:color w:val="0f172a"/>
          <w:sz w:val="23"/>
          <w:szCs w:val="23"/>
          <w:u w:val="none"/>
          <w:shd w:fill="auto" w:val="clear"/>
          <w:vertAlign w:val="baseline"/>
          <w:rtl w:val="0"/>
        </w:rPr>
        <w:t xml:space="preserve"> (requisito: ≤ 45 s).</w:t>
      </w:r>
      <w:r w:rsidDel="00000000" w:rsidR="00000000" w:rsidRPr="00000000">
        <w:rPr>
          <w:rtl w:val="0"/>
        </w:rPr>
      </w:r>
    </w:p>
    <w:p w:rsidR="00000000" w:rsidDel="00000000" w:rsidP="00000000" w:rsidRDefault="00000000" w:rsidRPr="00000000" w14:paraId="000009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Consumo de memoria RAM residente: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412 MB</w:t>
      </w:r>
      <w:r w:rsidDel="00000000" w:rsidR="00000000" w:rsidRPr="00000000">
        <w:rPr>
          <w:rFonts w:ascii="Gungsuh" w:cs="Gungsuh" w:eastAsia="Gungsuh" w:hAnsi="Gungsuh"/>
          <w:b w:val="0"/>
          <w:bCs w:val="0"/>
          <w:i w:val="0"/>
          <w:iCs w:val="0"/>
          <w:smallCaps w:val="0"/>
          <w:strike w:val="0"/>
          <w:color w:val="0f172a"/>
          <w:sz w:val="23"/>
          <w:szCs w:val="23"/>
          <w:u w:val="none"/>
          <w:shd w:fill="auto" w:val="clear"/>
          <w:vertAlign w:val="baseline"/>
          <w:rtl w:val="0"/>
        </w:rPr>
        <w:t xml:space="preserve"> (requisito: ≤ 2048 MB, RNF-04).</w:t>
      </w:r>
      <w:r w:rsidDel="00000000" w:rsidR="00000000" w:rsidRPr="00000000">
        <w:rPr>
          <w:rtl w:val="0"/>
        </w:rPr>
      </w:r>
    </w:p>
    <w:p w:rsidR="00000000" w:rsidDel="00000000" w:rsidP="00000000" w:rsidRDefault="00000000" w:rsidRPr="00000000" w14:paraId="000009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Tiempo de ejecución de balance determinístico: </w:t>
      </w: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0,18 segundos</w:t>
      </w:r>
      <w:r w:rsidDel="00000000" w:rsidR="00000000" w:rsidRPr="00000000">
        <w:rPr>
          <w:rFonts w:ascii="Gungsuh" w:cs="Gungsuh" w:eastAsia="Gungsuh" w:hAnsi="Gungsuh"/>
          <w:b w:val="0"/>
          <w:bCs w:val="0"/>
          <w:i w:val="0"/>
          <w:iCs w:val="0"/>
          <w:smallCaps w:val="0"/>
          <w:strike w:val="0"/>
          <w:color w:val="0f172a"/>
          <w:sz w:val="23"/>
          <w:szCs w:val="23"/>
          <w:u w:val="none"/>
          <w:shd w:fill="auto" w:val="clear"/>
          <w:vertAlign w:val="baseline"/>
          <w:rtl w:val="0"/>
        </w:rPr>
        <w:t xml:space="preserve"> (requisito: ≤ 1,5 s, RNF-01).</w:t>
      </w:r>
      <w:r w:rsidDel="00000000" w:rsidR="00000000" w:rsidRPr="00000000">
        <w:rPr>
          <w:rtl w:val="0"/>
        </w:rPr>
      </w:r>
    </w:p>
    <w:p w:rsidR="00000000" w:rsidDel="00000000" w:rsidP="00000000" w:rsidRDefault="00000000" w:rsidRPr="00000000" w14:paraId="00000941">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Anexo III.3 · Repositorio Institucional y Pipeline de CI/CD</w:t>
      </w:r>
      <w:r w:rsidDel="00000000" w:rsidR="00000000" w:rsidRPr="00000000">
        <w:rPr>
          <w:rtl w:val="0"/>
        </w:rPr>
      </w:r>
    </w:p>
    <w:p w:rsidR="00000000" w:rsidDel="00000000" w:rsidP="00000000" w:rsidRDefault="00000000" w:rsidRPr="00000000" w14:paraId="000009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Repositorio Oficial de Desarrollo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SantiNunez2003/PIF-CODI-Santiago_A_Nunez-ISI-UCP</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(GitHub).</w:t>
      </w:r>
      <w:r w:rsidDel="00000000" w:rsidR="00000000" w:rsidRPr="00000000">
        <w:rPr>
          <w:rtl w:val="0"/>
        </w:rPr>
      </w:r>
    </w:p>
    <w:p w:rsidR="00000000" w:rsidDel="00000000" w:rsidP="00000000" w:rsidRDefault="00000000" w:rsidRPr="00000000" w14:paraId="000009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Estructura Canónica de Directorios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00-gestion/</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Bitácora reglamentaria, planificación operativa y seguimiento Kanban.</w:t>
      </w:r>
      <w:r w:rsidDel="00000000" w:rsidR="00000000" w:rsidRPr="00000000">
        <w:rPr>
          <w:rtl w:val="0"/>
        </w:rPr>
      </w:r>
    </w:p>
    <w:p w:rsidR="00000000" w:rsidDel="00000000" w:rsidP="00000000" w:rsidRDefault="00000000" w:rsidRPr="00000000" w14:paraId="000009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01-relevamiento/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Actas de entrevistas, grabaciones y transcripciones de campo.</w:t>
      </w:r>
      <w:r w:rsidDel="00000000" w:rsidR="00000000" w:rsidRPr="00000000">
        <w:rPr>
          <w:rtl w:val="0"/>
        </w:rPr>
      </w:r>
    </w:p>
    <w:p w:rsidR="00000000" w:rsidDel="00000000" w:rsidP="00000000" w:rsidRDefault="00000000" w:rsidRPr="00000000" w14:paraId="000009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02-analisis/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Matriz consolidada de fuentes y análisis de viabilidad.</w:t>
      </w:r>
      <w:r w:rsidDel="00000000" w:rsidR="00000000" w:rsidRPr="00000000">
        <w:rPr>
          <w:rtl w:val="0"/>
        </w:rPr>
      </w:r>
    </w:p>
    <w:p w:rsidR="00000000" w:rsidDel="00000000" w:rsidP="00000000" w:rsidRDefault="00000000" w:rsidRPr="00000000" w14:paraId="000009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03-requisitos/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Especificación formal, casos de uso y catálogo MoSCoW.</w:t>
      </w:r>
      <w:r w:rsidDel="00000000" w:rsidR="00000000" w:rsidRPr="00000000">
        <w:rPr>
          <w:rtl w:val="0"/>
        </w:rPr>
      </w:r>
    </w:p>
    <w:p w:rsidR="00000000" w:rsidDel="00000000" w:rsidP="00000000" w:rsidRDefault="00000000" w:rsidRPr="00000000" w14:paraId="000009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04-diseno/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Modelos arquitectónicos, diagramas de clases y wireframes.</w:t>
      </w:r>
      <w:r w:rsidDel="00000000" w:rsidR="00000000" w:rsidRPr="00000000">
        <w:rPr>
          <w:rtl w:val="0"/>
        </w:rPr>
      </w:r>
    </w:p>
    <w:p w:rsidR="00000000" w:rsidDel="00000000" w:rsidP="00000000" w:rsidRDefault="00000000" w:rsidRPr="00000000" w14:paraId="000009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05-entregas/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Documentos consolidados y apartados atómicos de entrega formal (AE1, AE2).</w:t>
      </w:r>
      <w:r w:rsidDel="00000000" w:rsidR="00000000" w:rsidRPr="00000000">
        <w:rPr>
          <w:rtl w:val="0"/>
        </w:rPr>
      </w:r>
    </w:p>
    <w:p w:rsidR="00000000" w:rsidDel="00000000" w:rsidP="00000000" w:rsidRDefault="00000000" w:rsidRPr="00000000" w14:paraId="000009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src/</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Código fuente ejecutable del arnés cognitivo y motor analítico.</w:t>
      </w:r>
      <w:r w:rsidDel="00000000" w:rsidR="00000000" w:rsidRPr="00000000">
        <w:rPr>
          <w:rtl w:val="0"/>
        </w:rPr>
      </w:r>
    </w:p>
    <w:p w:rsidR="00000000" w:rsidDel="00000000" w:rsidP="00000000" w:rsidRDefault="00000000" w:rsidRPr="00000000" w14:paraId="000009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tests/</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Batería de pruebas automatizadas de regresión física y consistencia.</w:t>
      </w:r>
      <w:r w:rsidDel="00000000" w:rsidR="00000000" w:rsidRPr="00000000">
        <w:rPr>
          <w:rtl w:val="0"/>
        </w:rPr>
      </w:r>
    </w:p>
    <w:p w:rsidR="00000000" w:rsidDel="00000000" w:rsidP="00000000" w:rsidRDefault="00000000" w:rsidRPr="00000000" w14:paraId="000009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Automatización de Integración Continua (CI)</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Pipeline configurado en </w:t>
      </w: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.github/workflows/ci.yml</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que ejecuta en cada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push</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o </w:t>
      </w:r>
      <w:r w:rsidDel="00000000" w:rsidR="00000000" w:rsidRPr="00000000">
        <w:rPr>
          <w:rFonts w:ascii="Times New Roman" w:cs="Times New Roman" w:eastAsia="Times New Roman" w:hAnsi="Times New Roman"/>
          <w:b w:val="0"/>
          <w:bCs w:val="0"/>
          <w:i w:val="1"/>
          <w:iCs w:val="1"/>
          <w:smallCaps w:val="0"/>
          <w:strike w:val="0"/>
          <w:color w:val="0f172a"/>
          <w:sz w:val="23"/>
          <w:szCs w:val="23"/>
          <w:u w:val="none"/>
          <w:shd w:fill="auto" w:val="clear"/>
          <w:vertAlign w:val="baseline"/>
          <w:rtl w:val="0"/>
        </w:rPr>
        <w:t xml:space="preserve">pull request</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a la rama principal:</w:t>
      </w:r>
      <w:r w:rsidDel="00000000" w:rsidR="00000000" w:rsidRPr="00000000">
        <w:rPr>
          <w:rtl w:val="0"/>
        </w:rPr>
      </w:r>
    </w:p>
    <w:p w:rsidR="00000000" w:rsidDel="00000000" w:rsidP="00000000" w:rsidRDefault="00000000" w:rsidRPr="00000000" w14:paraId="0000094D">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1. </w:t>
      </w:r>
      <w:r w:rsidDel="00000000" w:rsidR="00000000" w:rsidRPr="00000000">
        <w:rPr>
          <w:rFonts w:ascii="Times New Roman" w:cs="Times New Roman" w:eastAsia="Times New Roman" w:hAnsi="Times New Roman"/>
          <w:b w:val="0"/>
          <w:bCs w:val="0"/>
          <w:i w:val="0"/>
          <w:iCs w:val="0"/>
          <w:color w:val="0f172a"/>
          <w:sz w:val="23"/>
          <w:szCs w:val="23"/>
          <w:rtl w:val="0"/>
        </w:rPr>
        <w:t xml:space="preserve">Verificación de formato y análisis estático de código (</w:t>
      </w:r>
      <w:r w:rsidDel="00000000" w:rsidR="00000000" w:rsidRPr="00000000">
        <w:rPr>
          <w:rFonts w:ascii="Consolas" w:cs="Consolas" w:eastAsia="Consolas" w:hAnsi="Consolas"/>
          <w:b w:val="0"/>
          <w:bCs w:val="0"/>
          <w:i w:val="0"/>
          <w:iCs w:val="0"/>
          <w:color w:val="334155"/>
          <w:sz w:val="20"/>
          <w:szCs w:val="20"/>
          <w:rtl w:val="0"/>
        </w:rPr>
        <w:t xml:space="preserve">flake8</w:t>
      </w:r>
      <w:r w:rsidDel="00000000" w:rsidR="00000000" w:rsidRPr="00000000">
        <w:rPr>
          <w:rFonts w:ascii="Times New Roman" w:cs="Times New Roman" w:eastAsia="Times New Roman" w:hAnsi="Times New Roman"/>
          <w:b w:val="0"/>
          <w:bCs w:val="0"/>
          <w:i w:val="0"/>
          <w:iCs w:val="0"/>
          <w:color w:val="0f172a"/>
          <w:sz w:val="23"/>
          <w:szCs w:val="23"/>
          <w:rtl w:val="0"/>
        </w:rPr>
        <w:t xml:space="preserve">, </w:t>
      </w:r>
      <w:r w:rsidDel="00000000" w:rsidR="00000000" w:rsidRPr="00000000">
        <w:rPr>
          <w:rFonts w:ascii="Consolas" w:cs="Consolas" w:eastAsia="Consolas" w:hAnsi="Consolas"/>
          <w:b w:val="0"/>
          <w:bCs w:val="0"/>
          <w:i w:val="0"/>
          <w:iCs w:val="0"/>
          <w:color w:val="334155"/>
          <w:sz w:val="20"/>
          <w:szCs w:val="20"/>
          <w:rtl w:val="0"/>
        </w:rPr>
        <w:t xml:space="preserve">black</w:t>
      </w:r>
      <w:r w:rsidDel="00000000" w:rsidR="00000000" w:rsidRPr="00000000">
        <w:rPr>
          <w:rFonts w:ascii="Times New Roman" w:cs="Times New Roman" w:eastAsia="Times New Roman" w:hAnsi="Times New Roman"/>
          <w:b w:val="0"/>
          <w:bCs w:val="0"/>
          <w:i w:val="0"/>
          <w:iCs w:val="0"/>
          <w:color w:val="0f172a"/>
          <w:sz w:val="23"/>
          <w:szCs w:val="23"/>
          <w:rtl w:val="0"/>
        </w:rPr>
        <w:t xml:space="preserve">, </w:t>
      </w:r>
      <w:r w:rsidDel="00000000" w:rsidR="00000000" w:rsidRPr="00000000">
        <w:rPr>
          <w:rFonts w:ascii="Consolas" w:cs="Consolas" w:eastAsia="Consolas" w:hAnsi="Consolas"/>
          <w:b w:val="0"/>
          <w:bCs w:val="0"/>
          <w:i w:val="0"/>
          <w:iCs w:val="0"/>
          <w:color w:val="334155"/>
          <w:sz w:val="20"/>
          <w:szCs w:val="20"/>
          <w:rtl w:val="0"/>
        </w:rPr>
        <w:t xml:space="preserve">mypy</w:t>
      </w:r>
      <w:r w:rsidDel="00000000" w:rsidR="00000000" w:rsidRPr="00000000">
        <w:rPr>
          <w:rFonts w:ascii="Times New Roman" w:cs="Times New Roman" w:eastAsia="Times New Roman" w:hAnsi="Times New Roman"/>
          <w:b w:val="0"/>
          <w:bCs w:val="0"/>
          <w:i w:val="0"/>
          <w:iCs w:val="0"/>
          <w:color w:val="0f172a"/>
          <w:sz w:val="23"/>
          <w:szCs w:val="23"/>
          <w:rtl w:val="0"/>
        </w:rPr>
        <w:t xml:space="preserve">).</w:t>
      </w:r>
      <w:r w:rsidDel="00000000" w:rsidR="00000000" w:rsidRPr="00000000">
        <w:rPr>
          <w:rtl w:val="0"/>
        </w:rPr>
      </w:r>
    </w:p>
    <w:p w:rsidR="00000000" w:rsidDel="00000000" w:rsidP="00000000" w:rsidRDefault="00000000" w:rsidRPr="00000000" w14:paraId="0000094E">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2. </w:t>
      </w:r>
      <w:r w:rsidDel="00000000" w:rsidR="00000000" w:rsidRPr="00000000">
        <w:rPr>
          <w:rFonts w:ascii="Times New Roman" w:cs="Times New Roman" w:eastAsia="Times New Roman" w:hAnsi="Times New Roman"/>
          <w:b w:val="0"/>
          <w:bCs w:val="0"/>
          <w:i w:val="0"/>
          <w:iCs w:val="0"/>
          <w:color w:val="0f172a"/>
          <w:sz w:val="23"/>
          <w:szCs w:val="23"/>
          <w:rtl w:val="0"/>
        </w:rPr>
        <w:t xml:space="preserve">Ejecución integral de la suite de pruebas automatizadas en Python 3.12 con </w:t>
      </w:r>
      <w:r w:rsidDel="00000000" w:rsidR="00000000" w:rsidRPr="00000000">
        <w:rPr>
          <w:rFonts w:ascii="Consolas" w:cs="Consolas" w:eastAsia="Consolas" w:hAnsi="Consolas"/>
          <w:b w:val="0"/>
          <w:bCs w:val="0"/>
          <w:i w:val="0"/>
          <w:iCs w:val="0"/>
          <w:color w:val="334155"/>
          <w:sz w:val="20"/>
          <w:szCs w:val="20"/>
          <w:rtl w:val="0"/>
        </w:rPr>
        <w:t xml:space="preserve">pytest</w:t>
      </w:r>
      <w:r w:rsidDel="00000000" w:rsidR="00000000" w:rsidRPr="00000000">
        <w:rPr>
          <w:rFonts w:ascii="Times New Roman" w:cs="Times New Roman" w:eastAsia="Times New Roman" w:hAnsi="Times New Roman"/>
          <w:b w:val="0"/>
          <w:bCs w:val="0"/>
          <w:i w:val="0"/>
          <w:iCs w:val="0"/>
          <w:color w:val="0f172a"/>
          <w:sz w:val="23"/>
          <w:szCs w:val="23"/>
          <w:rtl w:val="0"/>
        </w:rPr>
        <w:t xml:space="preserve">.</w:t>
      </w:r>
      <w:r w:rsidDel="00000000" w:rsidR="00000000" w:rsidRPr="00000000">
        <w:rPr>
          <w:rtl w:val="0"/>
        </w:rPr>
      </w:r>
    </w:p>
    <w:p w:rsidR="00000000" w:rsidDel="00000000" w:rsidP="00000000" w:rsidRDefault="00000000" w:rsidRPr="00000000" w14:paraId="0000094F">
      <w:pPr>
        <w:spacing w:after="40" w:before="20" w:line="276" w:lineRule="auto"/>
        <w:ind w:left="720" w:hanging="357"/>
        <w:rPr/>
      </w:pPr>
      <w:r w:rsidDel="00000000" w:rsidR="00000000" w:rsidRPr="00000000">
        <w:rPr>
          <w:rFonts w:ascii="Times New Roman" w:cs="Times New Roman" w:eastAsia="Times New Roman" w:hAnsi="Times New Roman"/>
          <w:b w:val="1"/>
          <w:bCs w:val="1"/>
          <w:sz w:val="23"/>
          <w:szCs w:val="23"/>
          <w:rtl w:val="0"/>
        </w:rPr>
        <w:t xml:space="preserve">3. </w:t>
      </w:r>
      <w:r w:rsidDel="00000000" w:rsidR="00000000" w:rsidRPr="00000000">
        <w:rPr>
          <w:rFonts w:ascii="Gungsuh" w:cs="Gungsuh" w:eastAsia="Gungsuh" w:hAnsi="Gungsuh"/>
          <w:b w:val="0"/>
          <w:bCs w:val="0"/>
          <w:i w:val="0"/>
          <w:iCs w:val="0"/>
          <w:color w:val="0f172a"/>
          <w:sz w:val="23"/>
          <w:szCs w:val="23"/>
          <w:rtl w:val="0"/>
        </w:rPr>
        <w:t xml:space="preserve">Comprobación de integridad de cobertura de pruebas (≥ 80%).</w:t>
      </w:r>
      <w:r w:rsidDel="00000000" w:rsidR="00000000" w:rsidRPr="00000000">
        <w:rPr>
          <w:rtl w:val="0"/>
        </w:rPr>
      </w:r>
    </w:p>
    <w:p w:rsidR="00000000" w:rsidDel="00000000" w:rsidP="00000000" w:rsidRDefault="00000000" w:rsidRPr="00000000" w14:paraId="00000950">
      <w:pPr>
        <w:pStyle w:val="Heading3"/>
        <w:keepNext w:val="1"/>
        <w:rPr/>
      </w:pPr>
      <w:r w:rsidDel="00000000" w:rsidR="00000000" w:rsidRPr="00000000">
        <w:rPr>
          <w:rFonts w:ascii="Times New Roman" w:cs="Times New Roman" w:eastAsia="Times New Roman" w:hAnsi="Times New Roman"/>
          <w:b w:val="1"/>
          <w:bCs w:val="1"/>
          <w:i w:val="0"/>
          <w:iCs w:val="0"/>
          <w:color w:val="0f172a"/>
          <w:sz w:val="24"/>
          <w:szCs w:val="24"/>
          <w:rtl w:val="0"/>
        </w:rPr>
        <w:t xml:space="preserve">Anexo III.4 · Tablero Kanban Oficial de Gestión en Trello y Flujo de Trabajo Tripartito</w:t>
      </w:r>
      <w:r w:rsidDel="00000000" w:rsidR="00000000" w:rsidRPr="00000000">
        <w:rPr>
          <w:rtl w:val="0"/>
        </w:rPr>
      </w:r>
    </w:p>
    <w:p w:rsidR="00000000" w:rsidDel="00000000" w:rsidP="00000000" w:rsidRDefault="00000000" w:rsidRPr="00000000" w14:paraId="000009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Tablero Kanban Oficial</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PIF CODI - Gestión y Trazabilidad (Trello).</w:t>
      </w:r>
      <w:r w:rsidDel="00000000" w:rsidR="00000000" w:rsidRPr="00000000">
        <w:rPr>
          <w:rtl w:val="0"/>
        </w:rPr>
      </w:r>
    </w:p>
    <w:p w:rsidR="00000000" w:rsidDel="00000000" w:rsidP="00000000" w:rsidRDefault="00000000" w:rsidRPr="00000000" w14:paraId="000009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Estructura de Flujo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Backlog &amp; Futuro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Tareas planificadas para fases posteriores (Módulo III / Sprints 1 a 4).</w:t>
      </w:r>
      <w:r w:rsidDel="00000000" w:rsidR="00000000" w:rsidRPr="00000000">
        <w:rPr>
          <w:rtl w:val="0"/>
        </w:rPr>
      </w:r>
    </w:p>
    <w:p w:rsidR="00000000" w:rsidDel="00000000" w:rsidP="00000000" w:rsidRDefault="00000000" w:rsidRPr="00000000" w14:paraId="000009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Análisis &amp; Discusión (Fase 1)</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Debate de alternativas técnicas y criterios de descarte.</w:t>
      </w:r>
      <w:r w:rsidDel="00000000" w:rsidR="00000000" w:rsidRPr="00000000">
        <w:rPr>
          <w:rtl w:val="0"/>
        </w:rPr>
      </w:r>
    </w:p>
    <w:p w:rsidR="00000000" w:rsidDel="00000000" w:rsidP="00000000" w:rsidRDefault="00000000" w:rsidRPr="00000000" w14:paraId="000009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En Redacción / En Progreso (Fase 2-3)</w:t>
      </w:r>
      <w:r w:rsidDel="00000000" w:rsidR="00000000" w:rsidRPr="00000000">
        <w:rPr>
          <w:rFonts w:ascii="Gungsuh" w:cs="Gungsuh" w:eastAsia="Gungsuh" w:hAnsi="Gungsuh"/>
          <w:b w:val="0"/>
          <w:bCs w:val="0"/>
          <w:i w:val="0"/>
          <w:iCs w:val="0"/>
          <w:smallCaps w:val="0"/>
          <w:strike w:val="0"/>
          <w:color w:val="0f172a"/>
          <w:sz w:val="23"/>
          <w:szCs w:val="23"/>
          <w:u w:val="none"/>
          <w:shd w:fill="auto" w:val="clear"/>
          <w:vertAlign w:val="baseline"/>
          <w:rtl w:val="0"/>
        </w:rPr>
        <w:t xml:space="preserve">: Redacción atómica con límite estricto de trabajo en proceso (WIP ≤ 1).</w:t>
      </w:r>
      <w:r w:rsidDel="00000000" w:rsidR="00000000" w:rsidRPr="00000000">
        <w:rPr>
          <w:rtl w:val="0"/>
        </w:rPr>
      </w:r>
    </w:p>
    <w:p w:rsidR="00000000" w:rsidDel="00000000" w:rsidP="00000000" w:rsidRDefault="00000000" w:rsidRPr="00000000" w14:paraId="000009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Auditoría &amp; Verificación R.R. 97/23</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Evaluación contra las 9 exigencias de evaluación.</w:t>
      </w:r>
      <w:r w:rsidDel="00000000" w:rsidR="00000000" w:rsidRPr="00000000">
        <w:rPr>
          <w:rtl w:val="0"/>
        </w:rPr>
      </w:r>
    </w:p>
    <w:p w:rsidR="00000000" w:rsidDel="00000000" w:rsidP="00000000" w:rsidRDefault="00000000" w:rsidRPr="00000000" w14:paraId="000009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334155"/>
          <w:sz w:val="20"/>
          <w:szCs w:val="20"/>
          <w:u w:val="none"/>
          <w:shd w:fill="auto" w:val="clear"/>
          <w:vertAlign w:val="baseline"/>
          <w:rtl w:val="0"/>
        </w:rPr>
        <w:t xml:space="preserve">Completado / Aceptado (Done)</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 Apartados consolidados y aprobados.</w:t>
      </w:r>
      <w:r w:rsidDel="00000000" w:rsidR="00000000" w:rsidRPr="00000000">
        <w:rPr>
          <w:rtl w:val="0"/>
        </w:rPr>
      </w:r>
    </w:p>
    <w:p w:rsidR="00000000" w:rsidDel="00000000" w:rsidP="00000000" w:rsidRDefault="00000000" w:rsidRPr="00000000" w14:paraId="000009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f172a"/>
          <w:sz w:val="23"/>
          <w:szCs w:val="23"/>
          <w:u w:val="none"/>
          <w:shd w:fill="auto" w:val="clear"/>
          <w:vertAlign w:val="baseline"/>
          <w:rtl w:val="0"/>
        </w:rPr>
        <w:t xml:space="preserve">Flujo Tripartito Metodológico</w:t>
      </w:r>
      <w:r w:rsidDel="00000000" w:rsidR="00000000" w:rsidRPr="00000000">
        <w:rPr>
          <w:rFonts w:ascii="Times New Roman" w:cs="Times New Roman" w:eastAsia="Times New Roman" w:hAnsi="Times New Roman"/>
          <w:b w:val="0"/>
          <w:bCs w:val="0"/>
          <w:i w:val="0"/>
          <w:iCs w:val="0"/>
          <w:smallCaps w:val="0"/>
          <w:strike w:val="0"/>
          <w:color w:val="0f172a"/>
          <w:sz w:val="23"/>
          <w:szCs w:val="2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59">
      <w:pPr>
        <w:spacing w:after="120" w:before="80" w:line="240" w:lineRule="auto"/>
        <w:ind w:left="567" w:right="567" w:firstLine="0"/>
        <w:rPr/>
      </w:pPr>
      <w:r w:rsidDel="00000000" w:rsidR="00000000" w:rsidRPr="00000000">
        <w:rPr>
          <w:rFonts w:ascii="Consolas" w:cs="Consolas" w:eastAsia="Consolas" w:hAnsi="Consolas"/>
          <w:color w:val="334155"/>
          <w:sz w:val="18"/>
          <w:szCs w:val="18"/>
          <w:rtl w:val="0"/>
        </w:rPr>
        <w:t xml:space="preserve">  [1. Discusión Crítica] ──&gt; [2. Registro en Bitácora] ──&gt; [3. Redacción Atómica]</w:t>
        <w:br w:type="textWrapping"/>
        <w:t xml:space="preserve">    - Opciones evaluadas      - 6 elementos normativos      - Aplicación Art. 21.º</w:t>
        <w:br w:type="textWrapping"/>
        <w:t xml:space="preserve">    - Criterio de descarte    - Orden cronológico inverso   - Sincronización consolidada</w:t>
      </w:r>
      <w:r w:rsidDel="00000000" w:rsidR="00000000" w:rsidRPr="00000000">
        <w:rPr>
          <w:rtl w:val="0"/>
        </w:rPr>
      </w:r>
    </w:p>
    <w:sectPr>
      <w:footerReference r:id="rId9" w:type="default"/>
      <w:pgSz w:h="16838" w:w="11906" w:orient="portrait"/>
      <w:pgMar w:bottom="1417.3228346456694" w:top="1417.3228346456694" w:left="1700.7874015748032" w:right="1700.787401574803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nsolas"/>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f172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4a3b8"/>
        <w:sz w:val="19"/>
        <w:szCs w:val="19"/>
        <w:u w:val="none"/>
        <w:shd w:fill="auto" w:val="clear"/>
        <w:vertAlign w:val="baseline"/>
        <w:rtl w:val="0"/>
      </w:rPr>
      <w:t xml:space="preserve">CODI · PIF ISI UCP  |  Pág. </w:t>
    </w:r>
    <w:r w:rsidDel="00000000" w:rsidR="00000000" w:rsidRPr="00000000">
      <w:rPr>
        <w:rFonts w:ascii="Times New Roman" w:cs="Times New Roman" w:eastAsia="Times New Roman" w:hAnsi="Times New Roman"/>
        <w:b w:val="0"/>
        <w:bCs w:val="0"/>
        <w:i w:val="0"/>
        <w:iCs w:val="0"/>
        <w:smallCaps w:val="0"/>
        <w:strike w:val="0"/>
        <w:color w:val="0f172a"/>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f172a"/>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60" w:line="276" w:lineRule="auto"/>
    </w:pPr>
    <w:rPr>
      <w:rFonts w:ascii="Times New Roman" w:cs="Times New Roman" w:eastAsia="Times New Roman" w:hAnsi="Times New Roman"/>
      <w:b w:val="1"/>
      <w:bCs w:val="1"/>
      <w:i w:val="0"/>
      <w:iCs w:val="0"/>
      <w:color w:val="0f172a"/>
      <w:sz w:val="32"/>
      <w:szCs w:val="32"/>
    </w:rPr>
  </w:style>
  <w:style w:type="paragraph" w:styleId="Heading2">
    <w:name w:val="heading 2"/>
    <w:basedOn w:val="Normal"/>
    <w:next w:val="Normal"/>
    <w:pPr>
      <w:keepNext w:val="1"/>
      <w:keepLines w:val="1"/>
      <w:spacing w:after="120" w:before="280" w:line="276" w:lineRule="auto"/>
    </w:pPr>
    <w:rPr>
      <w:rFonts w:ascii="Times New Roman" w:cs="Times New Roman" w:eastAsia="Times New Roman" w:hAnsi="Times New Roman"/>
      <w:b w:val="1"/>
      <w:bCs w:val="1"/>
      <w:i w:val="0"/>
      <w:iCs w:val="0"/>
      <w:color w:val="1e293b"/>
      <w:sz w:val="28"/>
      <w:szCs w:val="28"/>
    </w:rPr>
  </w:style>
  <w:style w:type="paragraph" w:styleId="Heading3">
    <w:name w:val="heading 3"/>
    <w:basedOn w:val="Normal"/>
    <w:next w:val="Normal"/>
    <w:pPr>
      <w:keepNext w:val="1"/>
      <w:keepLines w:val="1"/>
      <w:spacing w:after="80" w:before="200" w:line="276" w:lineRule="auto"/>
    </w:pPr>
    <w:rPr>
      <w:rFonts w:ascii="Times New Roman" w:cs="Times New Roman" w:eastAsia="Times New Roman" w:hAnsi="Times New Roman"/>
      <w:b w:val="1"/>
      <w:bCs w:val="1"/>
      <w:i w:val="0"/>
      <w:iCs w:val="0"/>
      <w:color w:val="334155"/>
      <w:sz w:val="24"/>
      <w:szCs w:val="24"/>
    </w:rPr>
  </w:style>
  <w:style w:type="paragraph" w:styleId="Heading4">
    <w:name w:val="heading 4"/>
    <w:basedOn w:val="Normal"/>
    <w:next w:val="Normal"/>
    <w:pPr>
      <w:keepNext w:val="1"/>
      <w:keepLines w:val="1"/>
      <w:spacing w:after="60" w:before="160" w:line="276" w:lineRule="auto"/>
    </w:pPr>
    <w:rPr>
      <w:rFonts w:ascii="Times New Roman" w:cs="Times New Roman" w:eastAsia="Times New Roman" w:hAnsi="Times New Roman"/>
      <w:b w:val="1"/>
      <w:bCs w:val="1"/>
      <w:i w:val="1"/>
      <w:iCs w:val="1"/>
      <w:color w:val="334155"/>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50.0" w:type="dxa"/>
        <w:left w:w="80.0" w:type="dxa"/>
        <w:bottom w:w="50.0" w:type="dxa"/>
        <w:right w:w="80.0" w:type="dxa"/>
      </w:tblCellMar>
    </w:tblPr>
  </w:style>
  <w:style w:type="table" w:styleId="Table2">
    <w:basedOn w:val="TableNormal"/>
    <w:tblPr>
      <w:tblStyleRowBandSize w:val="1"/>
      <w:tblStyleColBandSize w:val="1"/>
      <w:tblCellMar>
        <w:top w:w="50.0" w:type="dxa"/>
        <w:left w:w="80.0" w:type="dxa"/>
        <w:bottom w:w="50.0" w:type="dxa"/>
        <w:right w:w="80.0" w:type="dxa"/>
      </w:tblCellMar>
    </w:tblPr>
  </w:style>
  <w:style w:type="table" w:styleId="Table3">
    <w:basedOn w:val="TableNormal"/>
    <w:tblPr>
      <w:tblStyleRowBandSize w:val="1"/>
      <w:tblStyleColBandSize w:val="1"/>
      <w:tblCellMar>
        <w:top w:w="50.0" w:type="dxa"/>
        <w:left w:w="80.0" w:type="dxa"/>
        <w:bottom w:w="50.0" w:type="dxa"/>
        <w:right w:w="80.0" w:type="dxa"/>
      </w:tblCellMar>
    </w:tblPr>
  </w:style>
  <w:style w:type="table" w:styleId="Table4">
    <w:basedOn w:val="TableNormal"/>
    <w:tblPr>
      <w:tblStyleRowBandSize w:val="1"/>
      <w:tblStyleColBandSize w:val="1"/>
      <w:tblCellMar>
        <w:top w:w="50.0" w:type="dxa"/>
        <w:left w:w="80.0" w:type="dxa"/>
        <w:bottom w:w="50.0" w:type="dxa"/>
        <w:right w:w="80.0" w:type="dxa"/>
      </w:tblCellMar>
    </w:tblPr>
  </w:style>
  <w:style w:type="table" w:styleId="Table5">
    <w:basedOn w:val="TableNormal"/>
    <w:tblPr>
      <w:tblStyleRowBandSize w:val="1"/>
      <w:tblStyleColBandSize w:val="1"/>
      <w:tblCellMar>
        <w:top w:w="50.0" w:type="dxa"/>
        <w:left w:w="80.0" w:type="dxa"/>
        <w:bottom w:w="50.0" w:type="dxa"/>
        <w:right w:w="80.0" w:type="dxa"/>
      </w:tblCellMar>
    </w:tblPr>
  </w:style>
  <w:style w:type="table" w:styleId="Table6">
    <w:basedOn w:val="TableNormal"/>
    <w:tblPr>
      <w:tblStyleRowBandSize w:val="1"/>
      <w:tblStyleColBandSize w:val="1"/>
      <w:tblCellMar>
        <w:top w:w="50.0" w:type="dxa"/>
        <w:left w:w="80.0" w:type="dxa"/>
        <w:bottom w:w="50.0" w:type="dxa"/>
        <w:right w:w="80.0" w:type="dxa"/>
      </w:tblCellMar>
    </w:tblPr>
  </w:style>
  <w:style w:type="table" w:styleId="Table7">
    <w:basedOn w:val="TableNormal"/>
    <w:tblPr>
      <w:tblStyleRowBandSize w:val="1"/>
      <w:tblStyleColBandSize w:val="1"/>
      <w:tblCellMar>
        <w:top w:w="50.0" w:type="dxa"/>
        <w:left w:w="80.0" w:type="dxa"/>
        <w:bottom w:w="50.0" w:type="dxa"/>
        <w:right w:w="80.0" w:type="dxa"/>
      </w:tblCellMar>
    </w:tblPr>
  </w:style>
  <w:style w:type="table" w:styleId="Table8">
    <w:basedOn w:val="TableNormal"/>
    <w:tblPr>
      <w:tblStyleRowBandSize w:val="1"/>
      <w:tblStyleColBandSize w:val="1"/>
      <w:tblCellMar>
        <w:top w:w="50.0" w:type="dxa"/>
        <w:left w:w="80.0" w:type="dxa"/>
        <w:bottom w:w="50.0" w:type="dxa"/>
        <w:right w:w="80.0" w:type="dxa"/>
      </w:tblCellMar>
    </w:tblPr>
  </w:style>
  <w:style w:type="table" w:styleId="Table9">
    <w:basedOn w:val="TableNormal"/>
    <w:tblPr>
      <w:tblStyleRowBandSize w:val="1"/>
      <w:tblStyleColBandSize w:val="1"/>
      <w:tblCellMar>
        <w:top w:w="50.0" w:type="dxa"/>
        <w:left w:w="80.0" w:type="dxa"/>
        <w:bottom w:w="50.0" w:type="dxa"/>
        <w:right w:w="80.0" w:type="dxa"/>
      </w:tblCellMar>
    </w:tblPr>
  </w:style>
  <w:style w:type="table" w:styleId="Table10">
    <w:basedOn w:val="TableNormal"/>
    <w:tblPr>
      <w:tblStyleRowBandSize w:val="1"/>
      <w:tblStyleColBandSize w:val="1"/>
      <w:tblCellMar>
        <w:top w:w="50.0" w:type="dxa"/>
        <w:left w:w="80.0" w:type="dxa"/>
        <w:bottom w:w="50.0" w:type="dxa"/>
        <w:right w:w="80.0" w:type="dxa"/>
      </w:tblCellMar>
    </w:tblPr>
  </w:style>
  <w:style w:type="table" w:styleId="Table11">
    <w:basedOn w:val="TableNormal"/>
    <w:tblPr>
      <w:tblStyleRowBandSize w:val="1"/>
      <w:tblStyleColBandSize w:val="1"/>
      <w:tblCellMar>
        <w:top w:w="50.0" w:type="dxa"/>
        <w:left w:w="80.0" w:type="dxa"/>
        <w:bottom w:w="50.0" w:type="dxa"/>
        <w:right w:w="80.0" w:type="dxa"/>
      </w:tblCellMar>
    </w:tblPr>
  </w:style>
  <w:style w:type="table" w:styleId="Table12">
    <w:basedOn w:val="TableNormal"/>
    <w:tblPr>
      <w:tblStyleRowBandSize w:val="1"/>
      <w:tblStyleColBandSize w:val="1"/>
      <w:tblCellMar>
        <w:top w:w="50.0" w:type="dxa"/>
        <w:left w:w="80.0" w:type="dxa"/>
        <w:bottom w:w="50.0" w:type="dxa"/>
        <w:right w:w="80.0" w:type="dxa"/>
      </w:tblCellMar>
    </w:tblPr>
  </w:style>
  <w:style w:type="table" w:styleId="Table13">
    <w:basedOn w:val="TableNormal"/>
    <w:tblPr>
      <w:tblStyleRowBandSize w:val="1"/>
      <w:tblStyleColBandSize w:val="1"/>
      <w:tblCellMar>
        <w:top w:w="50.0" w:type="dxa"/>
        <w:left w:w="80.0" w:type="dxa"/>
        <w:bottom w:w="50.0" w:type="dxa"/>
        <w:right w:w="80.0" w:type="dxa"/>
      </w:tblCellMar>
    </w:tblPr>
  </w:style>
  <w:style w:type="table" w:styleId="Table14">
    <w:basedOn w:val="TableNormal"/>
    <w:tblPr>
      <w:tblStyleRowBandSize w:val="1"/>
      <w:tblStyleColBandSize w:val="1"/>
      <w:tblCellMar>
        <w:top w:w="50.0" w:type="dxa"/>
        <w:left w:w="80.0" w:type="dxa"/>
        <w:bottom w:w="50.0" w:type="dxa"/>
        <w:right w:w="80.0" w:type="dxa"/>
      </w:tblCellMar>
    </w:tblPr>
  </w:style>
  <w:style w:type="table" w:styleId="Table15">
    <w:basedOn w:val="TableNormal"/>
    <w:tblPr>
      <w:tblStyleRowBandSize w:val="1"/>
      <w:tblStyleColBandSize w:val="1"/>
      <w:tblCellMar>
        <w:top w:w="50.0" w:type="dxa"/>
        <w:left w:w="80.0" w:type="dxa"/>
        <w:bottom w:w="50.0" w:type="dxa"/>
        <w:right w:w="80.0" w:type="dxa"/>
      </w:tblCellMar>
    </w:tblPr>
  </w:style>
  <w:style w:type="table" w:styleId="Table16">
    <w:basedOn w:val="TableNormal"/>
    <w:tblPr>
      <w:tblStyleRowBandSize w:val="1"/>
      <w:tblStyleColBandSize w:val="1"/>
      <w:tblCellMar>
        <w:top w:w="50.0" w:type="dxa"/>
        <w:left w:w="80.0" w:type="dxa"/>
        <w:bottom w:w="50.0" w:type="dxa"/>
        <w:right w:w="80.0" w:type="dxa"/>
      </w:tblCellMar>
    </w:tblPr>
  </w:style>
  <w:style w:type="table" w:styleId="Table17">
    <w:basedOn w:val="TableNormal"/>
    <w:tblPr>
      <w:tblStyleRowBandSize w:val="1"/>
      <w:tblStyleColBandSize w:val="1"/>
      <w:tblCellMar>
        <w:top w:w="50.0" w:type="dxa"/>
        <w:left w:w="80.0" w:type="dxa"/>
        <w:bottom w:w="50.0" w:type="dxa"/>
        <w:right w:w="80.0" w:type="dxa"/>
      </w:tblCellMar>
    </w:tblPr>
  </w:style>
  <w:style w:type="table" w:styleId="Table18">
    <w:basedOn w:val="TableNormal"/>
    <w:tblPr>
      <w:tblStyleRowBandSize w:val="1"/>
      <w:tblStyleColBandSize w:val="1"/>
      <w:tblCellMar>
        <w:top w:w="50.0" w:type="dxa"/>
        <w:left w:w="80.0" w:type="dxa"/>
        <w:bottom w:w="50.0" w:type="dxa"/>
        <w:right w:w="80.0" w:type="dxa"/>
      </w:tblCellMar>
    </w:tblPr>
  </w:style>
  <w:style w:type="table" w:styleId="Table19">
    <w:basedOn w:val="TableNormal"/>
    <w:tblPr>
      <w:tblStyleRowBandSize w:val="1"/>
      <w:tblStyleColBandSize w:val="1"/>
      <w:tblCellMar>
        <w:top w:w="50.0" w:type="dxa"/>
        <w:left w:w="80.0" w:type="dxa"/>
        <w:bottom w:w="50.0" w:type="dxa"/>
        <w:right w:w="80.0" w:type="dxa"/>
      </w:tblCellMar>
    </w:tblPr>
  </w:style>
  <w:style w:type="table" w:styleId="Table20">
    <w:basedOn w:val="TableNormal"/>
    <w:tblPr>
      <w:tblStyleRowBandSize w:val="1"/>
      <w:tblStyleColBandSize w:val="1"/>
      <w:tblCellMar>
        <w:top w:w="50.0" w:type="dxa"/>
        <w:left w:w="80.0" w:type="dxa"/>
        <w:bottom w:w="50.0" w:type="dxa"/>
        <w:right w:w="80.0" w:type="dxa"/>
      </w:tblCellMar>
    </w:tblPr>
  </w:style>
  <w:style w:type="table" w:styleId="Table21">
    <w:basedOn w:val="TableNormal"/>
    <w:tblPr>
      <w:tblStyleRowBandSize w:val="1"/>
      <w:tblStyleColBandSize w:val="1"/>
      <w:tblCellMar>
        <w:top w:w="50.0" w:type="dxa"/>
        <w:left w:w="80.0" w:type="dxa"/>
        <w:bottom w:w="50.0" w:type="dxa"/>
        <w:right w:w="80.0" w:type="dxa"/>
      </w:tblCellMar>
    </w:tblPr>
  </w:style>
  <w:style w:type="table" w:styleId="Table22">
    <w:basedOn w:val="TableNormal"/>
    <w:tblPr>
      <w:tblStyleRowBandSize w:val="1"/>
      <w:tblStyleColBandSize w:val="1"/>
      <w:tblCellMar>
        <w:top w:w="50.0" w:type="dxa"/>
        <w:left w:w="80.0" w:type="dxa"/>
        <w:bottom w:w="50.0" w:type="dxa"/>
        <w:right w:w="80.0" w:type="dxa"/>
      </w:tblCellMar>
    </w:tblPr>
  </w:style>
  <w:style w:type="table" w:styleId="Table23">
    <w:basedOn w:val="TableNormal"/>
    <w:tblPr>
      <w:tblStyleRowBandSize w:val="1"/>
      <w:tblStyleColBandSize w:val="1"/>
      <w:tblCellMar>
        <w:top w:w="50.0" w:type="dxa"/>
        <w:left w:w="80.0" w:type="dxa"/>
        <w:bottom w:w="50.0" w:type="dxa"/>
        <w:right w:w="80.0" w:type="dxa"/>
      </w:tblCellMar>
    </w:tblPr>
  </w:style>
  <w:style w:type="table" w:styleId="Table24">
    <w:basedOn w:val="TableNormal"/>
    <w:tblPr>
      <w:tblStyleRowBandSize w:val="1"/>
      <w:tblStyleColBandSize w:val="1"/>
      <w:tblCellMar>
        <w:top w:w="50.0" w:type="dxa"/>
        <w:left w:w="80.0" w:type="dxa"/>
        <w:bottom w:w="50.0" w:type="dxa"/>
        <w:right w:w="80.0" w:type="dxa"/>
      </w:tblCellMar>
    </w:tblPr>
  </w:style>
  <w:style w:type="table" w:styleId="Table25">
    <w:basedOn w:val="TableNormal"/>
    <w:tblPr>
      <w:tblStyleRowBandSize w:val="1"/>
      <w:tblStyleColBandSize w:val="1"/>
      <w:tblCellMar>
        <w:top w:w="50.0" w:type="dxa"/>
        <w:left w:w="80.0" w:type="dxa"/>
        <w:bottom w:w="50.0" w:type="dxa"/>
        <w:right w:w="80.0" w:type="dxa"/>
      </w:tblCellMar>
    </w:tblPr>
  </w:style>
  <w:style w:type="table" w:styleId="Table26">
    <w:basedOn w:val="TableNormal"/>
    <w:tblPr>
      <w:tblStyleRowBandSize w:val="1"/>
      <w:tblStyleColBandSize w:val="1"/>
      <w:tblCellMar>
        <w:top w:w="50.0" w:type="dxa"/>
        <w:left w:w="80.0" w:type="dxa"/>
        <w:bottom w:w="50.0" w:type="dxa"/>
        <w:right w:w="80.0" w:type="dxa"/>
      </w:tblCellMar>
    </w:tblPr>
  </w:style>
  <w:style w:type="table" w:styleId="Table27">
    <w:basedOn w:val="TableNormal"/>
    <w:tblPr>
      <w:tblStyleRowBandSize w:val="1"/>
      <w:tblStyleColBandSize w:val="1"/>
      <w:tblCellMar>
        <w:top w:w="50.0" w:type="dxa"/>
        <w:left w:w="80.0" w:type="dxa"/>
        <w:bottom w:w="50.0" w:type="dxa"/>
        <w:right w:w="80.0" w:type="dxa"/>
      </w:tblCellMar>
    </w:tblPr>
  </w:style>
  <w:style w:type="table" w:styleId="Table28">
    <w:basedOn w:val="TableNormal"/>
    <w:tblPr>
      <w:tblStyleRowBandSize w:val="1"/>
      <w:tblStyleColBandSize w:val="1"/>
      <w:tblCellMar>
        <w:top w:w="50.0" w:type="dxa"/>
        <w:left w:w="80.0" w:type="dxa"/>
        <w:bottom w:w="50.0" w:type="dxa"/>
        <w:right w:w="80.0" w:type="dxa"/>
      </w:tblCellMar>
    </w:tblPr>
  </w:style>
  <w:style w:type="table" w:styleId="Table29">
    <w:basedOn w:val="TableNormal"/>
    <w:tblPr>
      <w:tblStyleRowBandSize w:val="1"/>
      <w:tblStyleColBandSize w:val="1"/>
      <w:tblCellMar>
        <w:top w:w="50.0" w:type="dxa"/>
        <w:left w:w="80.0" w:type="dxa"/>
        <w:bottom w:w="50.0" w:type="dxa"/>
        <w:right w:w="80.0" w:type="dxa"/>
      </w:tblCellMar>
    </w:tblPr>
  </w:style>
  <w:style w:type="table" w:styleId="Table30">
    <w:basedOn w:val="TableNormal"/>
    <w:tblPr>
      <w:tblStyleRowBandSize w:val="1"/>
      <w:tblStyleColBandSize w:val="1"/>
      <w:tblCellMar>
        <w:top w:w="50.0" w:type="dxa"/>
        <w:left w:w="80.0" w:type="dxa"/>
        <w:bottom w:w="50.0" w:type="dxa"/>
        <w:right w:w="80.0" w:type="dxa"/>
      </w:tblCellMar>
    </w:tblPr>
  </w:style>
  <w:style w:type="table" w:styleId="Table31">
    <w:basedOn w:val="TableNormal"/>
    <w:tblPr>
      <w:tblStyleRowBandSize w:val="1"/>
      <w:tblStyleColBandSize w:val="1"/>
      <w:tblCellMar>
        <w:top w:w="50.0" w:type="dxa"/>
        <w:left w:w="80.0" w:type="dxa"/>
        <w:bottom w:w="50.0" w:type="dxa"/>
        <w:right w:w="80.0" w:type="dxa"/>
      </w:tblCellMar>
    </w:tblPr>
  </w:style>
  <w:style w:type="table" w:styleId="Table32">
    <w:basedOn w:val="TableNormal"/>
    <w:tblPr>
      <w:tblStyleRowBandSize w:val="1"/>
      <w:tblStyleColBandSize w:val="1"/>
      <w:tblCellMar>
        <w:top w:w="50.0" w:type="dxa"/>
        <w:left w:w="80.0" w:type="dxa"/>
        <w:bottom w:w="50.0" w:type="dxa"/>
        <w:right w:w="80.0" w:type="dxa"/>
      </w:tblCellMar>
    </w:tblPr>
  </w:style>
  <w:style w:type="table" w:styleId="Table33">
    <w:basedOn w:val="TableNormal"/>
    <w:tblPr>
      <w:tblStyleRowBandSize w:val="1"/>
      <w:tblStyleColBandSize w:val="1"/>
      <w:tblCellMar>
        <w:top w:w="50.0" w:type="dxa"/>
        <w:left w:w="80.0" w:type="dxa"/>
        <w:bottom w:w="50.0" w:type="dxa"/>
        <w:right w:w="80.0" w:type="dxa"/>
      </w:tblCellMar>
    </w:tblPr>
  </w:style>
  <w:style w:type="table" w:styleId="Table34">
    <w:basedOn w:val="TableNormal"/>
    <w:tblPr>
      <w:tblStyleRowBandSize w:val="1"/>
      <w:tblStyleColBandSize w:val="1"/>
      <w:tblCellMar>
        <w:top w:w="50.0" w:type="dxa"/>
        <w:left w:w="80.0" w:type="dxa"/>
        <w:bottom w:w="50.0" w:type="dxa"/>
        <w:right w:w="80.0" w:type="dxa"/>
      </w:tblCellMar>
    </w:tblPr>
  </w:style>
  <w:style w:type="table" w:styleId="Table35">
    <w:basedOn w:val="TableNormal"/>
    <w:tblPr>
      <w:tblStyleRowBandSize w:val="1"/>
      <w:tblStyleColBandSize w:val="1"/>
      <w:tblCellMar>
        <w:top w:w="50.0" w:type="dxa"/>
        <w:left w:w="80.0" w:type="dxa"/>
        <w:bottom w:w="50.0" w:type="dxa"/>
        <w:right w:w="80.0" w:type="dxa"/>
      </w:tblCellMar>
    </w:tblPr>
  </w:style>
  <w:style w:type="table" w:styleId="Table36">
    <w:basedOn w:val="TableNormal"/>
    <w:tblPr>
      <w:tblStyleRowBandSize w:val="1"/>
      <w:tblStyleColBandSize w:val="1"/>
      <w:tblCellMar>
        <w:top w:w="50.0" w:type="dxa"/>
        <w:left w:w="80.0" w:type="dxa"/>
        <w:bottom w:w="50.0" w:type="dxa"/>
        <w:right w:w="80.0" w:type="dxa"/>
      </w:tblCellMar>
    </w:tblPr>
  </w:style>
  <w:style w:type="table" w:styleId="Table37">
    <w:basedOn w:val="TableNormal"/>
    <w:tblPr>
      <w:tblStyleRowBandSize w:val="1"/>
      <w:tblStyleColBandSize w:val="1"/>
      <w:tblCellMar>
        <w:top w:w="50.0" w:type="dxa"/>
        <w:left w:w="80.0" w:type="dxa"/>
        <w:bottom w:w="50.0" w:type="dxa"/>
        <w:right w:w="80.0" w:type="dxa"/>
      </w:tblCellMar>
    </w:tblPr>
  </w:style>
  <w:style w:type="table" w:styleId="Table38">
    <w:basedOn w:val="TableNormal"/>
    <w:tblPr>
      <w:tblStyleRowBandSize w:val="1"/>
      <w:tblStyleColBandSize w:val="1"/>
      <w:tblCellMar>
        <w:top w:w="50.0" w:type="dxa"/>
        <w:left w:w="80.0" w:type="dxa"/>
        <w:bottom w:w="50.0" w:type="dxa"/>
        <w:right w:w="80.0" w:type="dxa"/>
      </w:tblCellMar>
    </w:tblPr>
  </w:style>
  <w:style w:type="table" w:styleId="Table39">
    <w:basedOn w:val="TableNormal"/>
    <w:tblPr>
      <w:tblStyleRowBandSize w:val="1"/>
      <w:tblStyleColBandSize w:val="1"/>
      <w:tblCellMar>
        <w:top w:w="50.0" w:type="dxa"/>
        <w:left w:w="80.0" w:type="dxa"/>
        <w:bottom w:w="50.0" w:type="dxa"/>
        <w:right w:w="80.0" w:type="dxa"/>
      </w:tblCellMar>
    </w:tblPr>
  </w:style>
  <w:style w:type="table" w:styleId="Table40">
    <w:basedOn w:val="TableNormal"/>
    <w:tblPr>
      <w:tblStyleRowBandSize w:val="1"/>
      <w:tblStyleColBandSize w:val="1"/>
      <w:tblCellMar>
        <w:top w:w="50.0" w:type="dxa"/>
        <w:left w:w="80.0" w:type="dxa"/>
        <w:bottom w:w="50.0" w:type="dxa"/>
        <w:right w:w="80.0" w:type="dxa"/>
      </w:tblCellMar>
    </w:tblPr>
  </w:style>
  <w:style w:type="table" w:styleId="Table41">
    <w:basedOn w:val="TableNormal"/>
    <w:tblPr>
      <w:tblStyleRowBandSize w:val="1"/>
      <w:tblStyleColBandSize w:val="1"/>
      <w:tblCellMar>
        <w:top w:w="50.0" w:type="dxa"/>
        <w:left w:w="80.0" w:type="dxa"/>
        <w:bottom w:w="50.0" w:type="dxa"/>
        <w:right w:w="80.0" w:type="dxa"/>
      </w:tblCellMar>
    </w:tblPr>
  </w:style>
  <w:style w:type="table" w:styleId="Table42">
    <w:basedOn w:val="TableNormal"/>
    <w:tblPr>
      <w:tblStyleRowBandSize w:val="1"/>
      <w:tblStyleColBandSize w:val="1"/>
      <w:tblCellMar>
        <w:top w:w="50.0" w:type="dxa"/>
        <w:left w:w="80.0" w:type="dxa"/>
        <w:bottom w:w="50.0" w:type="dxa"/>
        <w:right w:w="80.0" w:type="dxa"/>
      </w:tblCellMar>
    </w:tblPr>
  </w:style>
  <w:style w:type="table" w:styleId="Table43">
    <w:basedOn w:val="TableNormal"/>
    <w:tblPr>
      <w:tblStyleRowBandSize w:val="1"/>
      <w:tblStyleColBandSize w:val="1"/>
      <w:tblCellMar>
        <w:top w:w="50.0" w:type="dxa"/>
        <w:left w:w="80.0" w:type="dxa"/>
        <w:bottom w:w="50.0" w:type="dxa"/>
        <w:right w:w="80.0" w:type="dxa"/>
      </w:tblCellMar>
    </w:tblPr>
  </w:style>
  <w:style w:type="table" w:styleId="Table44">
    <w:basedOn w:val="TableNormal"/>
    <w:tblPr>
      <w:tblStyleRowBandSize w:val="1"/>
      <w:tblStyleColBandSize w:val="1"/>
      <w:tblCellMar>
        <w:top w:w="50.0" w:type="dxa"/>
        <w:left w:w="80.0" w:type="dxa"/>
        <w:bottom w:w="50.0" w:type="dxa"/>
        <w:right w:w="80.0" w:type="dxa"/>
      </w:tblCellMar>
    </w:tblPr>
  </w:style>
  <w:style w:type="table" w:styleId="Table45">
    <w:basedOn w:val="TableNormal"/>
    <w:tblPr>
      <w:tblStyleRowBandSize w:val="1"/>
      <w:tblStyleColBandSize w:val="1"/>
      <w:tblCellMar>
        <w:top w:w="50.0" w:type="dxa"/>
        <w:left w:w="80.0" w:type="dxa"/>
        <w:bottom w:w="50.0" w:type="dxa"/>
        <w:right w:w="80.0" w:type="dxa"/>
      </w:tblCellMar>
    </w:tblPr>
  </w:style>
  <w:style w:type="table" w:styleId="Table46">
    <w:basedOn w:val="TableNormal"/>
    <w:tblPr>
      <w:tblStyleRowBandSize w:val="1"/>
      <w:tblStyleColBandSize w:val="1"/>
      <w:tblCellMar>
        <w:top w:w="50.0" w:type="dxa"/>
        <w:left w:w="80.0" w:type="dxa"/>
        <w:bottom w:w="50.0" w:type="dxa"/>
        <w:right w:w="80.0" w:type="dxa"/>
      </w:tblCellMar>
    </w:tblPr>
  </w:style>
  <w:style w:type="table" w:styleId="Table47">
    <w:basedOn w:val="TableNormal"/>
    <w:tblPr>
      <w:tblStyleRowBandSize w:val="1"/>
      <w:tblStyleColBandSize w:val="1"/>
      <w:tblCellMar>
        <w:top w:w="50.0" w:type="dxa"/>
        <w:left w:w="80.0" w:type="dxa"/>
        <w:bottom w:w="50.0" w:type="dxa"/>
        <w:right w:w="80.0" w:type="dxa"/>
      </w:tblCellMar>
    </w:tblPr>
  </w:style>
  <w:style w:type="table" w:styleId="Table48">
    <w:basedOn w:val="TableNormal"/>
    <w:tblPr>
      <w:tblStyleRowBandSize w:val="1"/>
      <w:tblStyleColBandSize w:val="1"/>
      <w:tblCellMar>
        <w:top w:w="50.0" w:type="dxa"/>
        <w:left w:w="80.0" w:type="dxa"/>
        <w:bottom w:w="50.0" w:type="dxa"/>
        <w:right w:w="80.0" w:type="dxa"/>
      </w:tblCellMar>
    </w:tblPr>
  </w:style>
  <w:style w:type="table" w:styleId="Table49">
    <w:basedOn w:val="TableNormal"/>
    <w:tblPr>
      <w:tblStyleRowBandSize w:val="1"/>
      <w:tblStyleColBandSize w:val="1"/>
      <w:tblCellMar>
        <w:top w:w="50.0" w:type="dxa"/>
        <w:left w:w="80.0" w:type="dxa"/>
        <w:bottom w:w="50.0" w:type="dxa"/>
        <w:right w:w="80.0" w:type="dxa"/>
      </w:tblCellMar>
    </w:tblPr>
  </w:style>
  <w:style w:type="table" w:styleId="Table50">
    <w:basedOn w:val="TableNormal"/>
    <w:tblPr>
      <w:tblStyleRowBandSize w:val="1"/>
      <w:tblStyleColBandSize w:val="1"/>
      <w:tblCellMar>
        <w:top w:w="50.0" w:type="dxa"/>
        <w:left w:w="80.0" w:type="dxa"/>
        <w:bottom w:w="50.0" w:type="dxa"/>
        <w:right w:w="80.0" w:type="dxa"/>
      </w:tblCellMar>
    </w:tblPr>
  </w:style>
  <w:style w:type="table" w:styleId="Table51">
    <w:basedOn w:val="TableNormal"/>
    <w:tblPr>
      <w:tblStyleRowBandSize w:val="1"/>
      <w:tblStyleColBandSize w:val="1"/>
      <w:tblCellMar>
        <w:top w:w="50.0" w:type="dxa"/>
        <w:left w:w="80.0" w:type="dxa"/>
        <w:bottom w:w="50.0" w:type="dxa"/>
        <w:right w:w="80.0" w:type="dxa"/>
      </w:tblCellMar>
    </w:tblPr>
  </w:style>
  <w:style w:type="table" w:styleId="Table52">
    <w:basedOn w:val="TableNormal"/>
    <w:tblPr>
      <w:tblStyleRowBandSize w:val="1"/>
      <w:tblStyleColBandSize w:val="1"/>
      <w:tblCellMar>
        <w:top w:w="50.0" w:type="dxa"/>
        <w:left w:w="80.0" w:type="dxa"/>
        <w:bottom w:w="50.0" w:type="dxa"/>
        <w:right w:w="80.0" w:type="dxa"/>
      </w:tblCellMar>
    </w:tblPr>
  </w:style>
  <w:style w:type="table" w:styleId="Table53">
    <w:basedOn w:val="TableNormal"/>
    <w:tblPr>
      <w:tblStyleRowBandSize w:val="1"/>
      <w:tblStyleColBandSize w:val="1"/>
      <w:tblCellMar>
        <w:top w:w="50.0" w:type="dxa"/>
        <w:left w:w="80.0" w:type="dxa"/>
        <w:bottom w:w="50.0" w:type="dxa"/>
        <w:right w:w="80.0" w:type="dxa"/>
      </w:tblCellMar>
    </w:tblPr>
  </w:style>
  <w:style w:type="table" w:styleId="Table54">
    <w:basedOn w:val="TableNormal"/>
    <w:tblPr>
      <w:tblStyleRowBandSize w:val="1"/>
      <w:tblStyleColBandSize w:val="1"/>
      <w:tblCellMar>
        <w:top w:w="50.0" w:type="dxa"/>
        <w:left w:w="80.0" w:type="dxa"/>
        <w:bottom w:w="50.0" w:type="dxa"/>
        <w:right w:w="80.0" w:type="dxa"/>
      </w:tblCellMar>
    </w:tblPr>
  </w:style>
  <w:style w:type="table" w:styleId="Table55">
    <w:basedOn w:val="TableNormal"/>
    <w:tblPr>
      <w:tblStyleRowBandSize w:val="1"/>
      <w:tblStyleColBandSize w:val="1"/>
      <w:tblCellMar>
        <w:top w:w="50.0" w:type="dxa"/>
        <w:left w:w="80.0" w:type="dxa"/>
        <w:bottom w:w="50.0" w:type="dxa"/>
        <w:right w:w="80.0" w:type="dxa"/>
      </w:tblCellMar>
    </w:tblPr>
  </w:style>
  <w:style w:type="table" w:styleId="Table56">
    <w:basedOn w:val="TableNormal"/>
    <w:tblPr>
      <w:tblStyleRowBandSize w:val="1"/>
      <w:tblStyleColBandSize w:val="1"/>
      <w:tblCellMar>
        <w:top w:w="50.0" w:type="dxa"/>
        <w:left w:w="80.0" w:type="dxa"/>
        <w:bottom w:w="50.0" w:type="dxa"/>
        <w:right w:w="80.0" w:type="dxa"/>
      </w:tblCellMar>
    </w:tblPr>
  </w:style>
  <w:style w:type="table" w:styleId="Table57">
    <w:basedOn w:val="TableNormal"/>
    <w:tblPr>
      <w:tblStyleRowBandSize w:val="1"/>
      <w:tblStyleColBandSize w:val="1"/>
      <w:tblCellMar>
        <w:top w:w="50.0" w:type="dxa"/>
        <w:left w:w="80.0" w:type="dxa"/>
        <w:bottom w:w="50.0" w:type="dxa"/>
        <w:right w:w="80.0" w:type="dxa"/>
      </w:tblCellMar>
    </w:tblPr>
  </w:style>
  <w:style w:type="table" w:styleId="Table58">
    <w:basedOn w:val="TableNormal"/>
    <w:tblPr>
      <w:tblStyleRowBandSize w:val="1"/>
      <w:tblStyleColBandSize w:val="1"/>
      <w:tblCellMar>
        <w:top w:w="50.0" w:type="dxa"/>
        <w:left w:w="80.0" w:type="dxa"/>
        <w:bottom w:w="50.0" w:type="dxa"/>
        <w:right w:w="80.0" w:type="dxa"/>
      </w:tblCellMar>
    </w:tblPr>
  </w:style>
  <w:style w:type="table" w:styleId="Table59">
    <w:basedOn w:val="TableNormal"/>
    <w:tblPr>
      <w:tblStyleRowBandSize w:val="1"/>
      <w:tblStyleColBandSize w:val="1"/>
      <w:tblCellMar>
        <w:top w:w="50.0" w:type="dxa"/>
        <w:left w:w="80.0" w:type="dxa"/>
        <w:bottom w:w="50.0" w:type="dxa"/>
        <w:right w:w="80.0" w:type="dxa"/>
      </w:tblCellMar>
    </w:tblPr>
  </w:style>
  <w:style w:type="table" w:styleId="Table60">
    <w:basedOn w:val="TableNormal"/>
    <w:tblPr>
      <w:tblStyleRowBandSize w:val="1"/>
      <w:tblStyleColBandSize w:val="1"/>
      <w:tblCellMar>
        <w:top w:w="50.0" w:type="dxa"/>
        <w:left w:w="80.0" w:type="dxa"/>
        <w:bottom w:w="50.0" w:type="dxa"/>
        <w:right w:w="80.0" w:type="dxa"/>
      </w:tblCellMar>
    </w:tblPr>
  </w:style>
  <w:style w:type="table" w:styleId="Table61">
    <w:basedOn w:val="TableNormal"/>
    <w:tblPr>
      <w:tblStyleRowBandSize w:val="1"/>
      <w:tblStyleColBandSize w:val="1"/>
      <w:tblCellMar>
        <w:top w:w="50.0" w:type="dxa"/>
        <w:left w:w="80.0" w:type="dxa"/>
        <w:bottom w:w="50.0" w:type="dxa"/>
        <w:right w:w="80.0" w:type="dxa"/>
      </w:tblCellMar>
    </w:tblPr>
  </w:style>
  <w:style w:type="table" w:styleId="Table62">
    <w:basedOn w:val="TableNormal"/>
    <w:tblPr>
      <w:tblStyleRowBandSize w:val="1"/>
      <w:tblStyleColBandSize w:val="1"/>
      <w:tblCellMar>
        <w:top w:w="50.0" w:type="dxa"/>
        <w:left w:w="80.0" w:type="dxa"/>
        <w:bottom w:w="50.0" w:type="dxa"/>
        <w:right w:w="80.0" w:type="dxa"/>
      </w:tblCellMar>
    </w:tblPr>
  </w:style>
  <w:style w:type="table" w:styleId="Table63">
    <w:basedOn w:val="TableNormal"/>
    <w:tblPr>
      <w:tblStyleRowBandSize w:val="1"/>
      <w:tblStyleColBandSize w:val="1"/>
      <w:tblCellMar>
        <w:top w:w="50.0" w:type="dxa"/>
        <w:left w:w="80.0" w:type="dxa"/>
        <w:bottom w:w="50.0" w:type="dxa"/>
        <w:right w:w="80.0" w:type="dxa"/>
      </w:tblCellMar>
    </w:tblPr>
  </w:style>
  <w:style w:type="table" w:styleId="Table64">
    <w:basedOn w:val="TableNormal"/>
    <w:tblPr>
      <w:tblStyleRowBandSize w:val="1"/>
      <w:tblStyleColBandSize w:val="1"/>
      <w:tblCellMar>
        <w:top w:w="50.0" w:type="dxa"/>
        <w:left w:w="80.0" w:type="dxa"/>
        <w:bottom w:w="50.0" w:type="dxa"/>
        <w:right w:w="80.0" w:type="dxa"/>
      </w:tblCellMar>
    </w:tblPr>
  </w:style>
  <w:style w:type="table" w:styleId="Table65">
    <w:basedOn w:val="TableNormal"/>
    <w:tblPr>
      <w:tblStyleRowBandSize w:val="1"/>
      <w:tblStyleColBandSize w:val="1"/>
      <w:tblCellMar>
        <w:top w:w="50.0" w:type="dxa"/>
        <w:left w:w="80.0" w:type="dxa"/>
        <w:bottom w:w="50.0" w:type="dxa"/>
        <w:right w:w="80.0" w:type="dxa"/>
      </w:tblCellMar>
    </w:tblPr>
  </w:style>
  <w:style w:type="table" w:styleId="Table66">
    <w:basedOn w:val="TableNormal"/>
    <w:tblPr>
      <w:tblStyleRowBandSize w:val="1"/>
      <w:tblStyleColBandSize w:val="1"/>
      <w:tblCellMar>
        <w:top w:w="50.0" w:type="dxa"/>
        <w:left w:w="80.0" w:type="dxa"/>
        <w:bottom w:w="50.0" w:type="dxa"/>
        <w:right w:w="80.0" w:type="dxa"/>
      </w:tblCellMar>
    </w:tblPr>
  </w:style>
  <w:style w:type="table" w:styleId="Table67">
    <w:basedOn w:val="TableNormal"/>
    <w:tblPr>
      <w:tblStyleRowBandSize w:val="1"/>
      <w:tblStyleColBandSize w:val="1"/>
      <w:tblCellMar>
        <w:top w:w="50.0" w:type="dxa"/>
        <w:left w:w="80.0" w:type="dxa"/>
        <w:bottom w:w="50.0" w:type="dxa"/>
        <w:right w:w="80.0" w:type="dxa"/>
      </w:tblCellMar>
    </w:tblPr>
  </w:style>
  <w:style w:type="table" w:styleId="Table68">
    <w:basedOn w:val="TableNormal"/>
    <w:tblPr>
      <w:tblStyleRowBandSize w:val="1"/>
      <w:tblStyleColBandSize w:val="1"/>
      <w:tblCellMar>
        <w:top w:w="50.0" w:type="dxa"/>
        <w:left w:w="80.0" w:type="dxa"/>
        <w:bottom w:w="50.0" w:type="dxa"/>
        <w:right w:w="80.0" w:type="dxa"/>
      </w:tblCellMar>
    </w:tblPr>
  </w:style>
  <w:style w:type="table" w:styleId="Table69">
    <w:basedOn w:val="TableNormal"/>
    <w:tblPr>
      <w:tblStyleRowBandSize w:val="1"/>
      <w:tblStyleColBandSize w:val="1"/>
      <w:tblCellMar>
        <w:top w:w="50.0" w:type="dxa"/>
        <w:left w:w="80.0" w:type="dxa"/>
        <w:bottom w:w="50.0" w:type="dxa"/>
        <w:right w:w="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