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567"/>
        <w:jc w:val="both"/>
        <w:rPr/>
      </w:pP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b w:val="1"/>
          <w:bCs w:val="1"/>
          <w:rtl w:val="0"/>
        </w:rPr>
        <w:t xml:space="preserve">UNIVERSIDAD DE LA CUENCA DEL PLATA</w:t>
      </w: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rtl w:val="0"/>
        </w:rPr>
        <w:t xml:space="preserve">Facultad de Ingeniería, Tecnología y Arquitectura</w:t>
      </w:r>
    </w:p>
    <w:p w:rsidR="00000000" w:rsidDel="00000000" w:rsidP="00000000" w:rsidRDefault="00000000" w:rsidRPr="00000000" w14:paraId="00000004">
      <w:pPr>
        <w:spacing w:after="480" w:line="480" w:lineRule="auto"/>
        <w:jc w:val="center"/>
        <w:rPr/>
      </w:pPr>
      <w:r w:rsidDel="00000000" w:rsidR="00000000" w:rsidRPr="00000000">
        <w:rPr>
          <w:rtl w:val="0"/>
        </w:rPr>
        <w:t xml:space="preserve">Ingeniería en Sistemas de Información</w:t>
      </w:r>
    </w:p>
    <w:p w:rsidR="00000000" w:rsidDel="00000000" w:rsidP="00000000" w:rsidRDefault="00000000" w:rsidRPr="00000000" w14:paraId="00000005">
      <w:pPr>
        <w:spacing w:line="480" w:lineRule="auto"/>
        <w:jc w:val="center"/>
        <w:rPr/>
      </w:pPr>
      <w:r w:rsidDel="00000000" w:rsidR="00000000" w:rsidRPr="00000000">
        <w:rPr>
          <w:b w:val="1"/>
          <w:bCs w:val="1"/>
          <w:sz w:val="28"/>
          <w:szCs w:val="28"/>
          <w:rtl w:val="0"/>
        </w:rPr>
        <w:t xml:space="preserve">INFORME GRUPAL DE ENCUADRE COMÚN</w:t>
      </w:r>
      <w:r w:rsidDel="00000000" w:rsidR="00000000" w:rsidRPr="00000000">
        <w:rPr>
          <w:rtl w:val="0"/>
        </w:rPr>
      </w:r>
    </w:p>
    <w:p w:rsidR="00000000" w:rsidDel="00000000" w:rsidP="00000000" w:rsidRDefault="00000000" w:rsidRPr="00000000" w14:paraId="00000006">
      <w:pPr>
        <w:spacing w:after="240" w:line="480" w:lineRule="auto"/>
        <w:jc w:val="center"/>
        <w:rPr/>
      </w:pPr>
      <w:r w:rsidDel="00000000" w:rsidR="00000000" w:rsidRPr="00000000">
        <w:rPr>
          <w:rtl w:val="0"/>
        </w:rPr>
        <w:t xml:space="preserve">Actividad de Evaluación N.º 1</w:t>
      </w:r>
    </w:p>
    <w:p w:rsidR="00000000" w:rsidDel="00000000" w:rsidP="00000000" w:rsidRDefault="00000000" w:rsidRPr="00000000" w14:paraId="00000007">
      <w:pPr>
        <w:spacing w:line="480" w:lineRule="auto"/>
        <w:jc w:val="center"/>
        <w:rPr/>
      </w:pPr>
      <w:r w:rsidDel="00000000" w:rsidR="00000000" w:rsidRPr="00000000">
        <w:rPr>
          <w:rtl w:val="0"/>
        </w:rPr>
        <w:t xml:space="preserve">Integrantes y proyectos:</w:t>
      </w:r>
    </w:p>
    <w:p w:rsidR="00000000" w:rsidDel="00000000" w:rsidP="00000000" w:rsidRDefault="00000000" w:rsidRPr="00000000" w14:paraId="00000008">
      <w:pPr>
        <w:spacing w:line="480" w:lineRule="auto"/>
        <w:jc w:val="center"/>
        <w:rPr/>
      </w:pPr>
      <w:r w:rsidDel="00000000" w:rsidR="00000000" w:rsidRPr="00000000">
        <w:rPr>
          <w:rtl w:val="0"/>
        </w:rPr>
        <w:t xml:space="preserve">Sánchez, Joaquín Sebastián — DNI 45.452.416 — «Plataforma local para la</w:t>
      </w:r>
    </w:p>
    <w:p w:rsidR="00000000" w:rsidDel="00000000" w:rsidP="00000000" w:rsidRDefault="00000000" w:rsidRPr="00000000" w14:paraId="00000009">
      <w:pPr>
        <w:spacing w:line="480" w:lineRule="auto"/>
        <w:jc w:val="center"/>
        <w:rPr/>
      </w:pPr>
      <w:r w:rsidDel="00000000" w:rsidR="00000000" w:rsidRPr="00000000">
        <w:rPr>
          <w:rtl w:val="0"/>
        </w:rPr>
        <w:t xml:space="preserve">representación, verificación y edición dirigida de la configuración efectiva y su</w:t>
      </w:r>
    </w:p>
    <w:p w:rsidR="00000000" w:rsidDel="00000000" w:rsidP="00000000" w:rsidRDefault="00000000" w:rsidRPr="00000000" w14:paraId="0000000A">
      <w:pPr>
        <w:spacing w:line="480" w:lineRule="auto"/>
        <w:jc w:val="center"/>
        <w:rPr/>
      </w:pPr>
      <w:r w:rsidDel="00000000" w:rsidR="00000000" w:rsidRPr="00000000">
        <w:rPr>
          <w:rtl w:val="0"/>
        </w:rPr>
        <w:t xml:space="preserve">procedencia en herramientas de agentes de programación»</w:t>
      </w:r>
    </w:p>
    <w:p w:rsidR="00000000" w:rsidDel="00000000" w:rsidP="00000000" w:rsidRDefault="00000000" w:rsidRPr="00000000" w14:paraId="0000000B">
      <w:pPr>
        <w:spacing w:after="480" w:line="480" w:lineRule="auto"/>
        <w:jc w:val="center"/>
        <w:rPr/>
      </w:pPr>
      <w:r w:rsidDel="00000000" w:rsidR="00000000" w:rsidRPr="00000000">
        <w:rPr>
          <w:rtl w:val="0"/>
        </w:rPr>
        <w:t xml:space="preserve">Nuñez, Santiago Agustín — DNI 44.952.958 — «CODI»</w:t>
      </w:r>
    </w:p>
    <w:p w:rsidR="00000000" w:rsidDel="00000000" w:rsidP="00000000" w:rsidRDefault="00000000" w:rsidRPr="00000000" w14:paraId="0000000C">
      <w:pPr>
        <w:spacing w:after="360" w:line="480" w:lineRule="auto"/>
        <w:jc w:val="center"/>
        <w:rPr/>
      </w:pPr>
      <w:r w:rsidDel="00000000" w:rsidR="00000000" w:rsidRPr="00000000">
        <w:rPr>
          <w:rtl w:val="0"/>
        </w:rPr>
        <w:t xml:space="preserve">Docente Titular: PosDr. Darío Ezequiel Díaz · Comisión A</w:t>
      </w:r>
    </w:p>
    <w:p w:rsidR="00000000" w:rsidDel="00000000" w:rsidP="00000000" w:rsidRDefault="00000000" w:rsidRPr="00000000" w14:paraId="0000000D">
      <w:pPr>
        <w:spacing w:line="480" w:lineRule="auto"/>
        <w:jc w:val="center"/>
        <w:rPr/>
      </w:pPr>
      <w:r w:rsidDel="00000000" w:rsidR="00000000" w:rsidRPr="00000000">
        <w:rPr>
          <w:rtl w:val="0"/>
        </w:rPr>
        <w:t xml:space="preserve">Posadas, Misiones — Septiembre de 2026</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20" w:before="240" w:line="480" w:lineRule="auto"/>
        <w:rPr/>
      </w:pPr>
      <w:r w:rsidDel="00000000" w:rsidR="00000000" w:rsidRPr="00000000">
        <w:rPr>
          <w:rtl w:val="0"/>
        </w:rPr>
        <w:t xml:space="preserve">1 · Identificación del grupo</w:t>
      </w:r>
    </w:p>
    <w:tbl>
      <w:tblPr>
        <w:tblStyle w:val="Table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70"/>
        <w:tblGridChange w:id="0">
          <w:tblGrid>
            <w:gridCol w:w="2600"/>
            <w:gridCol w:w="6470"/>
          </w:tblGrid>
        </w:tblGridChange>
      </w:tblGrid>
      <w:tr>
        <w:trPr>
          <w:cantSplit w:val="0"/>
          <w:tblHeader w:val="1"/>
        </w:trPr>
        <w:tc>
          <w:tcPr>
            <w:shd w:fill="eeeeee" w:val="clear"/>
            <w:tcMar>
              <w:top w:w="70.0" w:type="dxa"/>
              <w:left w:w="90.0" w:type="dxa"/>
              <w:bottom w:w="70.0" w:type="dxa"/>
              <w:right w:w="90.0" w:type="dxa"/>
            </w:tcMar>
          </w:tcPr>
          <w:p w:rsidR="00000000" w:rsidDel="00000000" w:rsidP="00000000" w:rsidRDefault="00000000" w:rsidRPr="00000000" w14:paraId="00000010">
            <w:pPr>
              <w:rPr/>
            </w:pPr>
            <w:r w:rsidDel="00000000" w:rsidR="00000000" w:rsidRPr="00000000">
              <w:rPr>
                <w:b w:val="1"/>
                <w:bCs w:val="1"/>
                <w:sz w:val="22"/>
                <w:szCs w:val="22"/>
                <w:rtl w:val="0"/>
              </w:rPr>
              <w:t xml:space="preserve">Campo</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11">
            <w:pPr>
              <w:rPr/>
            </w:pPr>
            <w:r w:rsidDel="00000000" w:rsidR="00000000" w:rsidRPr="00000000">
              <w:rPr>
                <w:b w:val="1"/>
                <w:bCs w:val="1"/>
                <w:sz w:val="22"/>
                <w:szCs w:val="22"/>
                <w:rtl w:val="0"/>
              </w:rPr>
              <w:t xml:space="preserve">Contenido</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2">
            <w:pPr>
              <w:rPr/>
            </w:pPr>
            <w:r w:rsidDel="00000000" w:rsidR="00000000" w:rsidRPr="00000000">
              <w:rPr>
                <w:sz w:val="22"/>
                <w:szCs w:val="22"/>
                <w:rtl w:val="0"/>
              </w:rPr>
              <w:t xml:space="preserve">Integrantes y proyectos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3">
            <w:pPr>
              <w:rPr/>
            </w:pPr>
            <w:r w:rsidDel="00000000" w:rsidR="00000000" w:rsidRPr="00000000">
              <w:rPr>
                <w:sz w:val="22"/>
                <w:szCs w:val="22"/>
                <w:rtl w:val="0"/>
              </w:rPr>
              <w:t xml:space="preserve">Sánchez, Joaquín Sebastián — DNI 45.452.416 — «Plataforma local para la representación, verificación y edición dirigida de la configuración efectiva y su procedencia en herramientas de agentes de programación».</w:t>
            </w:r>
            <w:r w:rsidDel="00000000" w:rsidR="00000000" w:rsidRPr="00000000">
              <w:rPr>
                <w:rtl w:val="0"/>
              </w:rPr>
            </w:r>
          </w:p>
          <w:p w:rsidR="00000000" w:rsidDel="00000000" w:rsidP="00000000" w:rsidRDefault="00000000" w:rsidRPr="00000000" w14:paraId="00000014">
            <w:pPr>
              <w:rPr/>
            </w:pPr>
            <w:r w:rsidDel="00000000" w:rsidR="00000000" w:rsidRPr="00000000">
              <w:rPr>
                <w:sz w:val="22"/>
                <w:szCs w:val="22"/>
                <w:rtl w:val="0"/>
              </w:rPr>
              <w:t xml:space="preserve">Nuñez, Santiago Agustín — DNI 44.952.958 — «CODI».</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5">
            <w:pPr>
              <w:rPr/>
            </w:pPr>
            <w:r w:rsidDel="00000000" w:rsidR="00000000" w:rsidRPr="00000000">
              <w:rPr>
                <w:sz w:val="22"/>
                <w:szCs w:val="22"/>
                <w:rtl w:val="0"/>
              </w:rPr>
              <w:t xml:space="preserve">Responsable de la carga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6">
            <w:pPr>
              <w:rPr/>
            </w:pPr>
            <w:r w:rsidDel="00000000" w:rsidR="00000000" w:rsidRPr="00000000">
              <w:rPr>
                <w:sz w:val="22"/>
                <w:szCs w:val="22"/>
                <w:rtl w:val="0"/>
              </w:rPr>
              <w:t xml:space="preserve">Sanchez Joaquin Sebastian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7">
            <w:pPr>
              <w:rPr/>
            </w:pPr>
            <w:r w:rsidDel="00000000" w:rsidR="00000000" w:rsidRPr="00000000">
              <w:rPr>
                <w:sz w:val="22"/>
                <w:szCs w:val="22"/>
                <w:rtl w:val="0"/>
              </w:rPr>
              <w:t xml:space="preserve">Documento nativo del grupo</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8">
            <w:pPr>
              <w:rPr/>
            </w:pPr>
            <w:r w:rsidDel="00000000" w:rsidR="00000000" w:rsidRPr="00000000">
              <w:rPr>
                <w:sz w:val="22"/>
                <w:szCs w:val="22"/>
                <w:rtl w:val="0"/>
              </w:rPr>
              <w:t xml:space="preserve">Reuniones de trabajo</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9">
            <w:pPr>
              <w:rPr/>
            </w:pPr>
            <w:r w:rsidDel="00000000" w:rsidR="00000000" w:rsidRPr="00000000">
              <w:rPr>
                <w:sz w:val="22"/>
                <w:szCs w:val="22"/>
                <w:rtl w:val="0"/>
              </w:rPr>
              <w:t xml:space="preserve">Presencial única reunión – 04/09/2026</w:t>
            </w:r>
            <w:r w:rsidDel="00000000" w:rsidR="00000000" w:rsidRPr="00000000">
              <w:rPr>
                <w:rtl w:val="0"/>
              </w:rPr>
            </w:r>
          </w:p>
        </w:tc>
      </w:tr>
    </w:tbl>
    <w:p w:rsidR="00000000" w:rsidDel="00000000" w:rsidP="00000000" w:rsidRDefault="00000000" w:rsidRPr="00000000" w14:paraId="0000001A">
      <w:pPr>
        <w:pStyle w:val="Heading1"/>
        <w:spacing w:after="120" w:before="240" w:line="480" w:lineRule="auto"/>
        <w:rPr/>
      </w:pPr>
      <w:r w:rsidDel="00000000" w:rsidR="00000000" w:rsidRPr="00000000">
        <w:rPr>
          <w:rtl w:val="0"/>
        </w:rPr>
        <w:t xml:space="preserve">2 · La dificultad diagnóstica común</w:t>
      </w:r>
    </w:p>
    <w:p w:rsidR="00000000" w:rsidDel="00000000" w:rsidP="00000000" w:rsidRDefault="00000000" w:rsidRPr="00000000" w14:paraId="0000001B">
      <w:pPr>
        <w:spacing w:line="480" w:lineRule="auto"/>
        <w:ind w:firstLine="567"/>
        <w:jc w:val="both"/>
        <w:rPr/>
      </w:pPr>
      <w:r w:rsidDel="00000000" w:rsidR="00000000" w:rsidRPr="00000000">
        <w:rPr>
          <w:rtl w:val="0"/>
        </w:rPr>
        <w:t xml:space="preserve">Aunque los proyectos corresponden a dominios distintos, configuración de agentes de programación e integración de requisitos en misiones aeroespaciales, comparten la misma dificultad metodológica. En ambos casos, el problema no genera registros de disfunción ni pérdidas registradas por las organizaciones. Por ello, la línea de base no puede tomarse de datos existentes: debe construirse mediante un instrumento propio aplicado sobre una organización de referencia que no es la de implantación final</w:t>
      </w:r>
      <w:r w:rsidDel="00000000" w:rsidR="00000000" w:rsidRPr="00000000">
        <w:rPr>
          <w:rtl w:val="0"/>
        </w:rPr>
        <w:t xml:space="preserve">.</w:t>
      </w:r>
    </w:p>
    <w:p w:rsidR="00000000" w:rsidDel="00000000" w:rsidP="00000000" w:rsidRDefault="00000000" w:rsidRPr="00000000" w14:paraId="0000001C">
      <w:pPr>
        <w:spacing w:line="480" w:lineRule="auto"/>
        <w:ind w:firstLine="567"/>
        <w:jc w:val="both"/>
        <w:rPr/>
      </w:pPr>
      <w:r w:rsidDel="00000000" w:rsidR="00000000" w:rsidRPr="00000000">
        <w:rPr>
          <w:rtl w:val="0"/>
        </w:rPr>
        <w:t xml:space="preserve">Esta condición traslada la carga de acreditación al autor. En lugar de interpretar fuentes externas, debe diseñar el instrumento de medición, justificar sus decisiones metodológicas y asumir las limitaciones de los datos obtenidos. La validez del diagnóstico depende así de las decisiones del investigador y no de </w:t>
      </w:r>
      <w:r w:rsidDel="00000000" w:rsidR="00000000" w:rsidRPr="00000000">
        <w:rPr>
          <w:rtl w:val="0"/>
        </w:rPr>
        <w:t xml:space="preserve">antecedente</w:t>
      </w:r>
      <w:r w:rsidDel="00000000" w:rsidR="00000000" w:rsidRPr="00000000">
        <w:rPr>
          <w:rtl w:val="0"/>
        </w:rPr>
        <w:t xml:space="preserve"> documentados</w:t>
      </w:r>
      <w:r w:rsidDel="00000000" w:rsidR="00000000" w:rsidRPr="00000000">
        <w:rPr>
          <w:rtl w:val="0"/>
        </w:rPr>
        <w:t xml:space="preserve">.</w:t>
      </w:r>
    </w:p>
    <w:p w:rsidR="00000000" w:rsidDel="00000000" w:rsidP="00000000" w:rsidRDefault="00000000" w:rsidRPr="00000000" w14:paraId="0000001D">
      <w:pPr>
        <w:spacing w:line="480" w:lineRule="auto"/>
        <w:ind w:firstLine="567"/>
        <w:jc w:val="both"/>
        <w:rPr/>
      </w:pPr>
      <w:r w:rsidDel="00000000" w:rsidR="00000000" w:rsidRPr="00000000">
        <w:rPr>
          <w:rtl w:val="0"/>
        </w:rPr>
        <w:t xml:space="preserve">Además, las organizaciones participan solo como informantes y no como clientes que reportan una falla propia. En consecuencia, cada proyecto debe demostrar por separado dos aspectos que en un diagnóstico convencional vienen juntos: que el problema realmente existe en la práctica profesional y que tiene la magnitud afirmada</w:t>
      </w:r>
      <w:r w:rsidDel="00000000" w:rsidR="00000000" w:rsidRPr="00000000">
        <w:rPr>
          <w:rtl w:val="0"/>
        </w:rPr>
        <w:t xml:space="preserve">.</w:t>
      </w:r>
    </w:p>
    <w:p w:rsidR="00000000" w:rsidDel="00000000" w:rsidP="00000000" w:rsidRDefault="00000000" w:rsidRPr="00000000" w14:paraId="0000001E">
      <w:pPr>
        <w:pStyle w:val="Heading1"/>
        <w:spacing w:after="120" w:before="240" w:line="480" w:lineRule="auto"/>
        <w:rPr/>
      </w:pPr>
      <w:r w:rsidDel="00000000" w:rsidR="00000000" w:rsidRPr="00000000">
        <w:rPr>
          <w:rtl w:val="0"/>
        </w:rPr>
        <w:t xml:space="preserve">3 · Cuadro comparativo: cómo resuelve cada proyecto la misma dificultad</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2520"/>
        <w:gridCol w:w="2595"/>
        <w:gridCol w:w="2625"/>
        <w:tblGridChange w:id="0">
          <w:tblGrid>
            <w:gridCol w:w="1335"/>
            <w:gridCol w:w="2520"/>
            <w:gridCol w:w="2595"/>
            <w:gridCol w:w="2625"/>
          </w:tblGrid>
        </w:tblGridChange>
      </w:tblGrid>
      <w:tr>
        <w:trPr>
          <w:cantSplit w:val="0"/>
          <w:tblHeader w:val="1"/>
        </w:trPr>
        <w:tc>
          <w:tcPr>
            <w:shd w:fill="eeeeee" w:val="clear"/>
            <w:tcMar>
              <w:top w:w="70.0" w:type="dxa"/>
              <w:left w:w="90.0" w:type="dxa"/>
              <w:bottom w:w="70.0" w:type="dxa"/>
              <w:right w:w="90.0" w:type="dxa"/>
            </w:tcMar>
          </w:tcPr>
          <w:p w:rsidR="00000000" w:rsidDel="00000000" w:rsidP="00000000" w:rsidRDefault="00000000" w:rsidRPr="00000000" w14:paraId="0000001F">
            <w:pPr>
              <w:rPr/>
            </w:pPr>
            <w:r w:rsidDel="00000000" w:rsidR="00000000" w:rsidRPr="00000000">
              <w:rPr>
                <w:b w:val="1"/>
                <w:bCs w:val="1"/>
                <w:sz w:val="22"/>
                <w:szCs w:val="22"/>
                <w:rtl w:val="0"/>
              </w:rPr>
              <w:t xml:space="preserve">Proyecto</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20">
            <w:pPr>
              <w:rPr/>
            </w:pPr>
            <w:r w:rsidDel="00000000" w:rsidR="00000000" w:rsidRPr="00000000">
              <w:rPr>
                <w:b w:val="1"/>
                <w:bCs w:val="1"/>
                <w:sz w:val="22"/>
                <w:szCs w:val="22"/>
                <w:rtl w:val="0"/>
              </w:rPr>
              <w:t xml:space="preserve">Cómo se manifiesta la dificultad</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21">
            <w:pPr>
              <w:rPr/>
            </w:pPr>
            <w:r w:rsidDel="00000000" w:rsidR="00000000" w:rsidRPr="00000000">
              <w:rPr>
                <w:b w:val="1"/>
                <w:bCs w:val="1"/>
                <w:sz w:val="22"/>
                <w:szCs w:val="22"/>
                <w:rtl w:val="0"/>
              </w:rPr>
              <w:t xml:space="preserve">Solución adoptada</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22">
            <w:pPr>
              <w:rPr/>
            </w:pPr>
            <w:r w:rsidDel="00000000" w:rsidR="00000000" w:rsidRPr="00000000">
              <w:rPr>
                <w:b w:val="1"/>
                <w:bCs w:val="1"/>
                <w:sz w:val="22"/>
                <w:szCs w:val="22"/>
                <w:rtl w:val="0"/>
              </w:rPr>
              <w:t xml:space="preserve">Fundamento</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23">
            <w:pPr>
              <w:rPr/>
            </w:pPr>
            <w:r w:rsidDel="00000000" w:rsidR="00000000" w:rsidRPr="00000000">
              <w:rPr>
                <w:sz w:val="22"/>
                <w:szCs w:val="22"/>
                <w:rtl w:val="0"/>
              </w:rPr>
              <w:t xml:space="preserve">Sánchez</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4">
            <w:pPr>
              <w:rPr/>
            </w:pPr>
            <w:r w:rsidDel="00000000" w:rsidR="00000000" w:rsidRPr="00000000">
              <w:rPr>
                <w:sz w:val="22"/>
                <w:szCs w:val="22"/>
                <w:rtl w:val="0"/>
              </w:rPr>
              <w:t xml:space="preserve">El tiempo de diagnóstico de la configuración se consume dentro de la construcción y en detrimento de ella, sin registro diferenciado, y no existe medición previa. Un sujeto que consulta su propia configuración puede recordar la respuesta en lugar de reconstruirla, con lo que el esfuerzo que se pretende medir queda oculto.</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5">
            <w:pPr>
              <w:rPr/>
            </w:pPr>
            <w:r w:rsidDel="00000000" w:rsidR="00000000" w:rsidRPr="00000000">
              <w:rPr>
                <w:sz w:val="22"/>
                <w:szCs w:val="22"/>
                <w:rtl w:val="0"/>
              </w:rPr>
              <w:t xml:space="preserve">Instrumento propio de ocho casos de composición conocida, aplicado sobre una máquina virtual idéntica y ajena al sujeto, en dos formas paralelas, con caso de calentamiento no puntuado, orden contrabalanceado en dos niveles y límite de observación de 300 segundos por caso. Ocho sujetos y 64 observaciones. Mediana, rango intercuartílico y proporción de censura.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6">
            <w:pPr>
              <w:rPr/>
            </w:pPr>
            <w:r w:rsidDel="00000000" w:rsidR="00000000" w:rsidRPr="00000000">
              <w:rPr>
                <w:sz w:val="22"/>
                <w:szCs w:val="22"/>
                <w:rtl w:val="0"/>
              </w:rPr>
              <w:t xml:space="preserve">La configuración ajena aísla el costo de resolución del efecto de la memoria; el entorno único elimina la variación por versión, composición y árbol de archivos; el contrabalanceo controla el aprendizaje posicional. La mediana se adopta porque la censura por la derecha impide calcular la media aritmética o la geométrica sin conocer las observaciones censuradas.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27">
            <w:pPr>
              <w:rPr/>
            </w:pPr>
            <w:r w:rsidDel="00000000" w:rsidR="00000000" w:rsidRPr="00000000">
              <w:rPr>
                <w:sz w:val="22"/>
                <w:szCs w:val="22"/>
                <w:rtl w:val="0"/>
              </w:rPr>
              <w:t xml:space="preserve">Nuñez</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8">
            <w:pPr>
              <w:rPr/>
            </w:pPr>
            <w:r w:rsidDel="00000000" w:rsidR="00000000" w:rsidRPr="00000000">
              <w:rPr>
                <w:sz w:val="22"/>
                <w:szCs w:val="22"/>
                <w:rtl w:val="0"/>
              </w:rPr>
              <w:t xml:space="preserve">La carga cognitiva asociada a integrar requisitos, documentación, modelos y resultados de simulación no se registra en ninguna fuente del dominio. El acceso a los profesionales que podrían aportar depende de agendas institucionales externas.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9">
            <w:pPr>
              <w:rPr>
                <w:sz w:val="22"/>
                <w:szCs w:val="22"/>
              </w:rPr>
            </w:pPr>
            <w:r w:rsidDel="00000000" w:rsidR="00000000" w:rsidRPr="00000000">
              <w:rPr>
                <w:sz w:val="22"/>
                <w:szCs w:val="22"/>
                <w:rtl w:val="0"/>
              </w:rPr>
              <w:t xml:space="preserve">Línea de base declarada de manera explícita como hipótesis inicial de diseño, fijada en 70/100 puntos NASA-TLX y sujeta a validación posterior, con enfoque híbrido que combina ese indicador subjetivo con indicadores objetivos de interacción.</w:t>
            </w:r>
          </w:p>
          <w:p w:rsidR="00000000" w:rsidDel="00000000" w:rsidP="00000000" w:rsidRDefault="00000000" w:rsidRPr="00000000" w14:paraId="0000002A">
            <w:pPr>
              <w:rPr>
                <w:sz w:val="22"/>
                <w:szCs w:val="22"/>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sz w:val="22"/>
                <w:szCs w:val="22"/>
                <w:rtl w:val="0"/>
              </w:rPr>
              <w:t xml:space="preserve">Nota: Diferimiento declarado de los apartados II.2 a II.6 hasta completar el relevamiento primario.</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C">
            <w:pPr>
              <w:rPr/>
            </w:pPr>
            <w:r w:rsidDel="00000000" w:rsidR="00000000" w:rsidRPr="00000000">
              <w:rPr>
                <w:sz w:val="22"/>
                <w:szCs w:val="22"/>
                <w:rtl w:val="0"/>
              </w:rPr>
              <w:t xml:space="preserve">El instrumento es estandarizado y cuenta con literatura de respaldo (National Aeronautics and Space Administration, s. f.), lo que reduce la superficie de discusión sobre su diseño. El diferimiento se declara en lugar de completarse con datos no revelados, sobre el criterio de que anticipar resultados aún no obtenidos comprometería la validez del trabajo.</w:t>
            </w:r>
            <w:r w:rsidDel="00000000" w:rsidR="00000000" w:rsidRPr="00000000">
              <w:rPr>
                <w:rtl w:val="0"/>
              </w:rPr>
            </w:r>
          </w:p>
        </w:tc>
      </w:tr>
    </w:tbl>
    <w:p w:rsidR="00000000" w:rsidDel="00000000" w:rsidP="00000000" w:rsidRDefault="00000000" w:rsidRPr="00000000" w14:paraId="0000002D">
      <w:pPr>
        <w:spacing w:after="200" w:before="80" w:lineRule="auto"/>
        <w:rPr/>
      </w:pPr>
      <w:r w:rsidDel="00000000" w:rsidR="00000000" w:rsidRPr="00000000">
        <w:rPr>
          <w:i w:val="1"/>
          <w:iCs w:val="1"/>
          <w:sz w:val="20"/>
          <w:szCs w:val="20"/>
          <w:rtl w:val="0"/>
        </w:rPr>
        <w:t xml:space="preserve">Tabla 1. Soluciones adoptadas por cada proyecto ante la dificultad diagnóstica común. Fuente: elaboración propia sobre Sánchez (2026) y Nuñez (2026).</w:t>
      </w:r>
      <w:r w:rsidDel="00000000" w:rsidR="00000000" w:rsidRPr="00000000">
        <w:rPr>
          <w:rtl w:val="0"/>
        </w:rPr>
      </w:r>
    </w:p>
    <w:p w:rsidR="00000000" w:rsidDel="00000000" w:rsidP="00000000" w:rsidRDefault="00000000" w:rsidRPr="00000000" w14:paraId="0000002E">
      <w:pPr>
        <w:spacing w:line="480" w:lineRule="auto"/>
        <w:jc w:val="both"/>
        <w:rPr>
          <w:b w:val="1"/>
          <w:bCs w:val="1"/>
        </w:rPr>
      </w:pPr>
      <w:r w:rsidDel="00000000" w:rsidR="00000000" w:rsidRPr="00000000">
        <w:rPr>
          <w:rtl w:val="0"/>
        </w:rPr>
      </w:r>
    </w:p>
    <w:p w:rsidR="00000000" w:rsidDel="00000000" w:rsidP="00000000" w:rsidRDefault="00000000" w:rsidRPr="00000000" w14:paraId="0000002F">
      <w:pPr>
        <w:spacing w:line="480" w:lineRule="auto"/>
        <w:jc w:val="both"/>
        <w:rPr/>
      </w:pPr>
      <w:r w:rsidDel="00000000" w:rsidR="00000000" w:rsidRPr="00000000">
        <w:rPr>
          <w:b w:val="1"/>
          <w:bCs w:val="1"/>
          <w:rtl w:val="0"/>
        </w:rPr>
        <w:t xml:space="preserve">Solución más sólida a juicio del grupo y fundamento de la preferencia.</w:t>
      </w:r>
      <w:r w:rsidDel="00000000" w:rsidR="00000000" w:rsidRPr="00000000">
        <w:rPr>
          <w:rtl w:val="0"/>
        </w:rPr>
      </w:r>
    </w:p>
    <w:p w:rsidR="00000000" w:rsidDel="00000000" w:rsidP="00000000" w:rsidRDefault="00000000" w:rsidRPr="00000000" w14:paraId="00000030">
      <w:pPr>
        <w:spacing w:line="480" w:lineRule="auto"/>
        <w:ind w:firstLine="567"/>
        <w:jc w:val="both"/>
        <w:rPr/>
      </w:pPr>
      <w:commentRangeStart w:id="0"/>
      <w:r w:rsidDel="00000000" w:rsidR="00000000" w:rsidRPr="00000000">
        <w:rPr>
          <w:rtl w:val="0"/>
        </w:rPr>
        <w:t xml:space="preserve">REHACER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pStyle w:val="Heading1"/>
        <w:spacing w:after="120" w:before="24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20" w:before="240" w:line="480" w:lineRule="auto"/>
        <w:rPr/>
      </w:pPr>
      <w:r w:rsidDel="00000000" w:rsidR="00000000" w:rsidRPr="00000000">
        <w:rPr>
          <w:rtl w:val="0"/>
        </w:rPr>
        <w:t xml:space="preserve">4 · Encuadre del sector de los recursos de la solución</w:t>
      </w:r>
    </w:p>
    <w:p w:rsidR="00000000" w:rsidDel="00000000" w:rsidP="00000000" w:rsidRDefault="00000000" w:rsidRPr="00000000" w14:paraId="00000033">
      <w:pPr>
        <w:spacing w:line="480" w:lineRule="auto"/>
        <w:ind w:firstLine="567"/>
        <w:jc w:val="both"/>
        <w:rPr/>
      </w:pPr>
      <w:r w:rsidDel="00000000" w:rsidR="00000000" w:rsidRPr="00000000">
        <w:rPr>
          <w:rtl w:val="0"/>
        </w:rPr>
        <w:t xml:space="preserve">El presente apartado delimita el sector del cual provienen los recursos técnicos, humanos y económicos con los que se desarrollan los sistemas de información de ambos proyectos. No corresponde confundirlo con el sector donde vive el problema de cada proyecto, que se analiza en el Capítulo II del informe individual respectivo. Esa distinción resulta especialmente relevante en este grupo, porque los sectores del problema no solo difieren entre sí, sino que en un caso, la ingeniería espacial, es ajeno por completo al sector del cual provienen los recursos.</w:t>
      </w:r>
    </w:p>
    <w:p w:rsidR="00000000" w:rsidDel="00000000" w:rsidP="00000000" w:rsidRDefault="00000000" w:rsidRPr="00000000" w14:paraId="00000034">
      <w:pPr>
        <w:pStyle w:val="Heading2"/>
        <w:spacing w:after="120" w:before="240" w:line="480" w:lineRule="auto"/>
        <w:rPr/>
      </w:pPr>
      <w:r w:rsidDel="00000000" w:rsidR="00000000" w:rsidRPr="00000000">
        <w:rPr>
          <w:rtl w:val="0"/>
        </w:rPr>
        <w:t xml:space="preserve">4.1 · Delimitación del sector</w:t>
      </w:r>
    </w:p>
    <w:p w:rsidR="00000000" w:rsidDel="00000000" w:rsidP="00000000" w:rsidRDefault="00000000" w:rsidRPr="00000000" w14:paraId="00000035">
      <w:pPr>
        <w:spacing w:line="480" w:lineRule="auto"/>
        <w:ind w:firstLine="567"/>
        <w:jc w:val="both"/>
        <w:rPr/>
      </w:pPr>
      <w:r w:rsidDel="00000000" w:rsidR="00000000" w:rsidRPr="00000000">
        <w:rPr>
          <w:rtl w:val="0"/>
        </w:rPr>
        <w:t xml:space="preserve">El </w:t>
      </w:r>
      <w:r w:rsidDel="00000000" w:rsidR="00000000" w:rsidRPr="00000000">
        <w:rPr>
          <w:rtl w:val="0"/>
        </w:rPr>
        <w:t xml:space="preserve">Sector de Software y Servicios Informáticos (SSI) argentino comprende, según lo </w:t>
      </w:r>
      <w:r w:rsidDel="00000000" w:rsidR="00000000" w:rsidRPr="00000000">
        <w:rPr>
          <w:rtl w:val="0"/>
        </w:rPr>
        <w:t xml:space="preserve">releva</w:t>
      </w:r>
      <w:r w:rsidDel="00000000" w:rsidR="00000000" w:rsidRPr="00000000">
        <w:rPr>
          <w:rtl w:val="0"/>
        </w:rPr>
        <w:t xml:space="preserve"> el Observatorio Permanente de la Industria del Software y Servicios Informáticos (OPSSI) de la Cámara de la Industria Argentina del Software (CESSI), las actividades de desarrollo, implementación, mantenimiento y soporte de software, así como los servicios informáticos asociados (consultoría TI, testing, ciberseguridad, infraestructura y datos) medidos en términos de facturación, exportaciones y empleo del sector. Este es el sector de referencia para los recursos humanos y los costos de desarrollo de ambos proyectos del grupo, con independencia de que el sector donde cada uno interviene sea ajeno al software. La delimitación en la región del Nordeste (NEA) comprende el desarrollo de software a medida y de productos propios, los servicios informáticos asociados y la producción de contenidos digitales, dejando fuera la fabricación de equipamiento, la provisión de telecomunicaciones y la comercialización de hardware</w:t>
      </w:r>
      <w:r w:rsidDel="00000000" w:rsidR="00000000" w:rsidRPr="00000000">
        <w:rPr>
          <w:rtl w:val="0"/>
        </w:rPr>
        <w:t xml:space="preserve">.</w:t>
      </w:r>
    </w:p>
    <w:p w:rsidR="00000000" w:rsidDel="00000000" w:rsidP="00000000" w:rsidRDefault="00000000" w:rsidRPr="00000000" w14:paraId="00000036">
      <w:pPr>
        <w:spacing w:line="480" w:lineRule="auto"/>
        <w:ind w:firstLine="567"/>
        <w:jc w:val="both"/>
        <w:rPr/>
      </w:pPr>
      <w:r w:rsidDel="00000000" w:rsidR="00000000" w:rsidRPr="00000000">
        <w:rPr>
          <w:rtl w:val="0"/>
        </w:rPr>
        <w:t xml:space="preserve">La delimitación importa porque explica la mayor parte de las discrepancias entre fuentes que aparentan medir lo mismo: dos informes que difieren en el empleo o en la facturación del sector suelen estar contando universos distintos. El grupo adopta en consecuencia una única delimitación para ambos informes individuales y consigna, junto a cada cifra, el universo sobre el cual fue producida.</w:t>
      </w:r>
    </w:p>
    <w:p w:rsidR="00000000" w:rsidDel="00000000" w:rsidP="00000000" w:rsidRDefault="00000000" w:rsidRPr="00000000" w14:paraId="00000037">
      <w:pPr>
        <w:pStyle w:val="Heading2"/>
        <w:spacing w:after="120" w:before="240" w:line="480" w:lineRule="auto"/>
        <w:rPr/>
      </w:pPr>
      <w:r w:rsidDel="00000000" w:rsidR="00000000" w:rsidRPr="00000000">
        <w:rPr>
          <w:rtl w:val="0"/>
        </w:rPr>
        <w:t xml:space="preserve">4.2 · Fuentes empleadas y regla de las tres preguntas</w:t>
      </w:r>
    </w:p>
    <w:tbl>
      <w:tblPr>
        <w:tblStyle w:val="Table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2204"/>
        <w:gridCol w:w="1500"/>
        <w:gridCol w:w="1400"/>
        <w:tblGridChange w:id="0">
          <w:tblGrid>
            <w:gridCol w:w="1700"/>
            <w:gridCol w:w="1700"/>
            <w:gridCol w:w="2204"/>
            <w:gridCol w:w="1500"/>
            <w:gridCol w:w="1400"/>
          </w:tblGrid>
        </w:tblGridChange>
      </w:tblGrid>
      <w:tr>
        <w:trPr>
          <w:cantSplit w:val="0"/>
          <w:tblHeader w:val="1"/>
        </w:trPr>
        <w:tc>
          <w:tcPr>
            <w:shd w:fill="eeeeee" w:val="clear"/>
            <w:tcMar>
              <w:top w:w="80.0" w:type="dxa"/>
              <w:left w:w="110.0" w:type="dxa"/>
              <w:bottom w:w="80.0" w:type="dxa"/>
              <w:right w:w="110.0" w:type="dxa"/>
            </w:tcMar>
          </w:tcPr>
          <w:p w:rsidR="00000000" w:rsidDel="00000000" w:rsidP="00000000" w:rsidRDefault="00000000" w:rsidRPr="00000000" w14:paraId="00000038">
            <w:pPr>
              <w:rPr>
                <w:b w:val="1"/>
                <w:bCs w:val="1"/>
                <w:sz w:val="20"/>
                <w:szCs w:val="20"/>
              </w:rPr>
            </w:pPr>
            <w:r w:rsidDel="00000000" w:rsidR="00000000" w:rsidRPr="00000000">
              <w:rPr>
                <w:b w:val="1"/>
                <w:bCs w:val="1"/>
                <w:sz w:val="20"/>
                <w:szCs w:val="20"/>
                <w:rtl w:val="0"/>
              </w:rPr>
              <w:t xml:space="preserve">Fuente</w:t>
            </w:r>
          </w:p>
        </w:tc>
        <w:tc>
          <w:tcPr>
            <w:shd w:fill="eeeeee" w:val="clear"/>
            <w:tcMar>
              <w:top w:w="80.0" w:type="dxa"/>
              <w:left w:w="110.0" w:type="dxa"/>
              <w:bottom w:w="80.0" w:type="dxa"/>
              <w:right w:w="110.0" w:type="dxa"/>
            </w:tcMar>
          </w:tcPr>
          <w:p w:rsidR="00000000" w:rsidDel="00000000" w:rsidP="00000000" w:rsidRDefault="00000000" w:rsidRPr="00000000" w14:paraId="00000039">
            <w:pPr>
              <w:rPr>
                <w:b w:val="1"/>
                <w:bCs w:val="1"/>
                <w:sz w:val="20"/>
                <w:szCs w:val="20"/>
              </w:rPr>
            </w:pPr>
            <w:r w:rsidDel="00000000" w:rsidR="00000000" w:rsidRPr="00000000">
              <w:rPr>
                <w:b w:val="1"/>
                <w:bCs w:val="1"/>
                <w:sz w:val="20"/>
                <w:szCs w:val="20"/>
                <w:rtl w:val="0"/>
              </w:rPr>
              <w:t xml:space="preserve">Quién la produjo</w:t>
            </w:r>
          </w:p>
        </w:tc>
        <w:tc>
          <w:tcPr>
            <w:shd w:fill="eeeeee" w:val="clear"/>
            <w:tcMar>
              <w:top w:w="80.0" w:type="dxa"/>
              <w:left w:w="110.0" w:type="dxa"/>
              <w:bottom w:w="80.0" w:type="dxa"/>
              <w:right w:w="110.0" w:type="dxa"/>
            </w:tcMar>
          </w:tcPr>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Método y universo</w:t>
            </w:r>
          </w:p>
        </w:tc>
        <w:tc>
          <w:tcPr>
            <w:shd w:fill="eeeeee" w:val="clear"/>
            <w:tcMar>
              <w:top w:w="80.0" w:type="dxa"/>
              <w:left w:w="110.0" w:type="dxa"/>
              <w:bottom w:w="80.0" w:type="dxa"/>
              <w:right w:w="110.0" w:type="dxa"/>
            </w:tcMar>
          </w:tcPr>
          <w:p w:rsidR="00000000" w:rsidDel="00000000" w:rsidP="00000000" w:rsidRDefault="00000000" w:rsidRPr="00000000" w14:paraId="0000003B">
            <w:pPr>
              <w:rPr>
                <w:b w:val="1"/>
                <w:bCs w:val="1"/>
                <w:sz w:val="20"/>
                <w:szCs w:val="20"/>
              </w:rPr>
            </w:pPr>
            <w:r w:rsidDel="00000000" w:rsidR="00000000" w:rsidRPr="00000000">
              <w:rPr>
                <w:b w:val="1"/>
                <w:bCs w:val="1"/>
                <w:sz w:val="20"/>
                <w:szCs w:val="20"/>
                <w:rtl w:val="0"/>
              </w:rPr>
              <w:t xml:space="preserve">Período de referencia</w:t>
            </w:r>
          </w:p>
        </w:tc>
        <w:tc>
          <w:tcPr>
            <w:shd w:fill="eeeeee" w:val="clear"/>
            <w:tcMar>
              <w:top w:w="80.0" w:type="dxa"/>
              <w:left w:w="110.0" w:type="dxa"/>
              <w:bottom w:w="80.0" w:type="dxa"/>
              <w:right w:w="110.0" w:type="dxa"/>
            </w:tcMar>
          </w:tcPr>
          <w:p w:rsidR="00000000" w:rsidDel="00000000" w:rsidP="00000000" w:rsidRDefault="00000000" w:rsidRPr="00000000" w14:paraId="0000003C">
            <w:pPr>
              <w:rPr>
                <w:b w:val="1"/>
                <w:bCs w:val="1"/>
                <w:sz w:val="20"/>
                <w:szCs w:val="20"/>
              </w:rPr>
            </w:pPr>
            <w:r w:rsidDel="00000000" w:rsidR="00000000" w:rsidRPr="00000000">
              <w:rPr>
                <w:b w:val="1"/>
                <w:bCs w:val="1"/>
                <w:sz w:val="20"/>
                <w:szCs w:val="20"/>
                <w:rtl w:val="0"/>
              </w:rPr>
              <w:t xml:space="preserve">Uso</w:t>
            </w:r>
          </w:p>
        </w:tc>
      </w:tr>
      <w:tr>
        <w:trPr>
          <w:cantSplit w:val="0"/>
          <w:tblHeader w:val="0"/>
        </w:trPr>
        <w:tc>
          <w:tcPr>
            <w:tcMar>
              <w:top w:w="200.0" w:type="dxa"/>
              <w:left w:w="110.0" w:type="dxa"/>
              <w:bottom w:w="200.0" w:type="dxa"/>
              <w:right w:w="110.0" w:type="dxa"/>
            </w:tcMar>
          </w:tcPr>
          <w:p w:rsidR="00000000" w:rsidDel="00000000" w:rsidP="00000000" w:rsidRDefault="00000000" w:rsidRPr="00000000" w14:paraId="0000003D">
            <w:pPr>
              <w:rPr>
                <w:sz w:val="20"/>
                <w:szCs w:val="20"/>
              </w:rPr>
            </w:pPr>
            <w:r w:rsidDel="00000000" w:rsidR="00000000" w:rsidRPr="00000000">
              <w:rPr>
                <w:sz w:val="20"/>
                <w:szCs w:val="20"/>
                <w:rtl w:val="0"/>
              </w:rPr>
              <w:t xml:space="preserve">Reporte de los principales indicadores de la industria del Software con foco en Talento</w:t>
            </w:r>
          </w:p>
        </w:tc>
        <w:tc>
          <w:tcPr>
            <w:tcMar>
              <w:top w:w="200.0" w:type="dxa"/>
              <w:left w:w="110.0" w:type="dxa"/>
              <w:bottom w:w="200.0" w:type="dxa"/>
              <w:right w:w="110.0" w:type="dxa"/>
            </w:tcMar>
          </w:tcPr>
          <w:p w:rsidR="00000000" w:rsidDel="00000000" w:rsidP="00000000" w:rsidRDefault="00000000" w:rsidRPr="00000000" w14:paraId="0000003E">
            <w:pPr>
              <w:rPr>
                <w:sz w:val="20"/>
                <w:szCs w:val="20"/>
              </w:rPr>
            </w:pPr>
            <w:r w:rsidDel="00000000" w:rsidR="00000000" w:rsidRPr="00000000">
              <w:rPr>
                <w:sz w:val="20"/>
                <w:szCs w:val="20"/>
                <w:rtl w:val="0"/>
              </w:rPr>
              <w:t xml:space="preserve">OPSSI, iniciativa de CESSI</w:t>
            </w:r>
          </w:p>
        </w:tc>
        <w:tc>
          <w:tcPr>
            <w:tcMar>
              <w:top w:w="200.0" w:type="dxa"/>
              <w:left w:w="110.0" w:type="dxa"/>
              <w:bottom w:w="200.0" w:type="dxa"/>
              <w:right w:w="110.0" w:type="dxa"/>
            </w:tcMar>
          </w:tcPr>
          <w:p w:rsidR="00000000" w:rsidDel="00000000" w:rsidP="00000000" w:rsidRDefault="00000000" w:rsidRPr="00000000" w14:paraId="0000003F">
            <w:pPr>
              <w:rPr>
                <w:sz w:val="20"/>
                <w:szCs w:val="20"/>
              </w:rPr>
            </w:pPr>
            <w:r w:rsidDel="00000000" w:rsidR="00000000" w:rsidRPr="00000000">
              <w:rPr>
                <w:sz w:val="20"/>
                <w:szCs w:val="20"/>
                <w:rtl w:val="0"/>
              </w:rPr>
              <w:t xml:space="preserve">Relevamiento sectorial que combina encuestas del OPSSI con fuentes públicas. La encuesta salarial de abril de 2025 estuvo conformada por 243 empresas que declararon 39.386 colaboradores; para determinadas variables se utilizan además datos de OEDE, INDEC y otras fuentes oficiales.</w:t>
            </w:r>
          </w:p>
        </w:tc>
        <w:tc>
          <w:tcPr>
            <w:tcMar>
              <w:top w:w="200.0" w:type="dxa"/>
              <w:left w:w="110.0" w:type="dxa"/>
              <w:bottom w:w="200.0" w:type="dxa"/>
              <w:right w:w="110.0" w:type="dxa"/>
            </w:tcMar>
          </w:tcPr>
          <w:p w:rsidR="00000000" w:rsidDel="00000000" w:rsidP="00000000" w:rsidRDefault="00000000" w:rsidRPr="00000000" w14:paraId="00000040">
            <w:pPr>
              <w:rPr>
                <w:sz w:val="20"/>
                <w:szCs w:val="20"/>
              </w:rPr>
            </w:pPr>
            <w:r w:rsidDel="00000000" w:rsidR="00000000" w:rsidRPr="00000000">
              <w:rPr>
                <w:sz w:val="20"/>
                <w:szCs w:val="20"/>
                <w:rtl w:val="0"/>
              </w:rPr>
              <w:t xml:space="preserve">Principalmente 2024 y primer trimestre/cuatrimestre de 2025, según el indicador</w:t>
            </w:r>
          </w:p>
        </w:tc>
        <w:tc>
          <w:tcPr>
            <w:tcMar>
              <w:top w:w="200.0" w:type="dxa"/>
              <w:left w:w="110.0" w:type="dxa"/>
              <w:bottom w:w="200.0" w:type="dxa"/>
              <w:right w:w="110.0" w:type="dxa"/>
            </w:tcMar>
          </w:tcPr>
          <w:p w:rsidR="00000000" w:rsidDel="00000000" w:rsidP="00000000" w:rsidRDefault="00000000" w:rsidRPr="00000000" w14:paraId="00000041">
            <w:pPr>
              <w:rPr>
                <w:sz w:val="20"/>
                <w:szCs w:val="20"/>
              </w:rPr>
            </w:pPr>
            <w:r w:rsidDel="00000000" w:rsidR="00000000" w:rsidRPr="00000000">
              <w:rPr>
                <w:sz w:val="20"/>
                <w:szCs w:val="20"/>
                <w:rtl w:val="0"/>
              </w:rPr>
              <w:t xml:space="preserve">Establecer la referencia sectorial para empleo, remuneraciones y características del talento de la industria SSI.</w:t>
            </w:r>
          </w:p>
        </w:tc>
      </w:tr>
      <w:tr>
        <w:trPr>
          <w:cantSplit w:val="0"/>
          <w:tblHeader w:val="0"/>
        </w:trPr>
        <w:tc>
          <w:tcPr>
            <w:tcMar>
              <w:top w:w="200.0" w:type="dxa"/>
              <w:left w:w="110.0" w:type="dxa"/>
              <w:bottom w:w="200.0" w:type="dxa"/>
              <w:right w:w="110.0" w:type="dxa"/>
            </w:tcMar>
          </w:tcPr>
          <w:p w:rsidR="00000000" w:rsidDel="00000000" w:rsidP="00000000" w:rsidRDefault="00000000" w:rsidRPr="00000000" w14:paraId="00000042">
            <w:pPr>
              <w:rPr>
                <w:sz w:val="20"/>
                <w:szCs w:val="20"/>
              </w:rPr>
            </w:pPr>
            <w:r w:rsidDel="00000000" w:rsidR="00000000" w:rsidRPr="00000000">
              <w:rPr>
                <w:sz w:val="20"/>
                <w:szCs w:val="20"/>
                <w:rtl w:val="0"/>
              </w:rPr>
              <w:t xml:space="preserve">Encuesta de Sueldos 2026.01</w:t>
            </w:r>
          </w:p>
        </w:tc>
        <w:tc>
          <w:tcPr>
            <w:tcMar>
              <w:top w:w="200.0" w:type="dxa"/>
              <w:left w:w="110.0" w:type="dxa"/>
              <w:bottom w:w="200.0" w:type="dxa"/>
              <w:right w:w="110.0" w:type="dxa"/>
            </w:tcMar>
          </w:tcPr>
          <w:p w:rsidR="00000000" w:rsidDel="00000000" w:rsidP="00000000" w:rsidRDefault="00000000" w:rsidRPr="00000000" w14:paraId="00000043">
            <w:pPr>
              <w:rPr>
                <w:sz w:val="20"/>
                <w:szCs w:val="20"/>
              </w:rPr>
            </w:pPr>
            <w:r w:rsidDel="00000000" w:rsidR="00000000" w:rsidRPr="00000000">
              <w:rPr>
                <w:sz w:val="20"/>
                <w:szCs w:val="20"/>
                <w:rtl w:val="0"/>
              </w:rPr>
              <w:t xml:space="preserve">Comunidad Sysarmy (Encuesta Abierta de Salarios).  </w:t>
            </w:r>
          </w:p>
        </w:tc>
        <w:tc>
          <w:tcPr>
            <w:tcMar>
              <w:top w:w="200.0" w:type="dxa"/>
              <w:left w:w="110.0" w:type="dxa"/>
              <w:bottom w:w="200.0" w:type="dxa"/>
              <w:right w:w="110.0" w:type="dxa"/>
            </w:tcMar>
          </w:tcPr>
          <w:p w:rsidR="00000000" w:rsidDel="00000000" w:rsidP="00000000" w:rsidRDefault="00000000" w:rsidRPr="00000000" w14:paraId="00000044">
            <w:pPr>
              <w:rPr>
                <w:sz w:val="20"/>
                <w:szCs w:val="20"/>
              </w:rPr>
            </w:pPr>
            <w:r w:rsidDel="00000000" w:rsidR="00000000" w:rsidRPr="00000000">
              <w:rPr>
                <w:sz w:val="20"/>
                <w:szCs w:val="20"/>
                <w:rtl w:val="0"/>
              </w:rPr>
              <w:t xml:space="preserve">Encuesta abierta de remuneraciones dirigida a participantes vinculados al ámbito tecnológico en la República Argentina. Se registraron 5.074 respuestas y 4.939 fueron consideradas para el análisis.</w:t>
            </w:r>
          </w:p>
        </w:tc>
        <w:tc>
          <w:tcPr>
            <w:tcMar>
              <w:top w:w="200.0" w:type="dxa"/>
              <w:left w:w="110.0" w:type="dxa"/>
              <w:bottom w:w="200.0" w:type="dxa"/>
              <w:right w:w="110.0" w:type="dxa"/>
            </w:tcMar>
          </w:tcPr>
          <w:p w:rsidR="00000000" w:rsidDel="00000000" w:rsidP="00000000" w:rsidRDefault="00000000" w:rsidRPr="00000000" w14:paraId="00000045">
            <w:pPr>
              <w:rPr>
                <w:sz w:val="20"/>
                <w:szCs w:val="20"/>
              </w:rPr>
            </w:pPr>
            <w:r w:rsidDel="00000000" w:rsidR="00000000" w:rsidRPr="00000000">
              <w:rPr>
                <w:sz w:val="20"/>
                <w:szCs w:val="20"/>
                <w:rtl w:val="0"/>
              </w:rPr>
              <w:t xml:space="preserve">Diciembre de 2025 a febrero de 2026</w:t>
            </w:r>
          </w:p>
        </w:tc>
        <w:tc>
          <w:tcPr>
            <w:tcMar>
              <w:top w:w="200.0" w:type="dxa"/>
              <w:left w:w="110.0" w:type="dxa"/>
              <w:bottom w:w="200.0" w:type="dxa"/>
              <w:right w:w="110.0" w:type="dxa"/>
            </w:tcMar>
          </w:tcPr>
          <w:p w:rsidR="00000000" w:rsidDel="00000000" w:rsidP="00000000" w:rsidRDefault="00000000" w:rsidRPr="00000000" w14:paraId="00000046">
            <w:pPr>
              <w:rPr>
                <w:sz w:val="20"/>
                <w:szCs w:val="20"/>
              </w:rPr>
            </w:pPr>
            <w:r w:rsidDel="00000000" w:rsidR="00000000" w:rsidRPr="00000000">
              <w:rPr>
                <w:sz w:val="20"/>
                <w:szCs w:val="20"/>
                <w:rtl w:val="0"/>
              </w:rPr>
              <w:t xml:space="preserve">Contrastar las referencias salariales de perfiles tecnológicos y observar valores de mercado más recientes.</w:t>
            </w:r>
          </w:p>
        </w:tc>
      </w:tr>
      <w:tr>
        <w:trPr>
          <w:cantSplit w:val="0"/>
          <w:tblHeader w:val="0"/>
        </w:trPr>
        <w:tc>
          <w:tcPr>
            <w:tcMar>
              <w:top w:w="200.0" w:type="dxa"/>
              <w:left w:w="110.0" w:type="dxa"/>
              <w:bottom w:w="200.0" w:type="dxa"/>
              <w:right w:w="110.0" w:type="dxa"/>
            </w:tcMar>
          </w:tcPr>
          <w:p w:rsidR="00000000" w:rsidDel="00000000" w:rsidP="00000000" w:rsidRDefault="00000000" w:rsidRPr="00000000" w14:paraId="00000047">
            <w:pPr>
              <w:rPr>
                <w:sz w:val="20"/>
                <w:szCs w:val="20"/>
              </w:rPr>
            </w:pPr>
            <w:r w:rsidDel="00000000" w:rsidR="00000000" w:rsidRPr="00000000">
              <w:rPr>
                <w:sz w:val="20"/>
                <w:szCs w:val="20"/>
                <w:rtl w:val="0"/>
              </w:rPr>
              <w:t xml:space="preserve">Misiones Digital / Silicon Misiones </w:t>
            </w:r>
          </w:p>
        </w:tc>
        <w:tc>
          <w:tcPr>
            <w:tcMar>
              <w:top w:w="200.0" w:type="dxa"/>
              <w:left w:w="110.0" w:type="dxa"/>
              <w:bottom w:w="200.0" w:type="dxa"/>
              <w:right w:w="110.0" w:type="dxa"/>
            </w:tcMar>
          </w:tcPr>
          <w:p w:rsidR="00000000" w:rsidDel="00000000" w:rsidP="00000000" w:rsidRDefault="00000000" w:rsidRPr="00000000" w14:paraId="00000048">
            <w:pPr>
              <w:rPr>
                <w:sz w:val="20"/>
                <w:szCs w:val="20"/>
              </w:rPr>
            </w:pPr>
            <w:r w:rsidDel="00000000" w:rsidR="00000000" w:rsidRPr="00000000">
              <w:rPr>
                <w:sz w:val="20"/>
                <w:szCs w:val="20"/>
                <w:rtl w:val="0"/>
              </w:rPr>
              <w:t xml:space="preserve">Gobierno de la Provincia de Misiones y Silicon Misiones.  </w:t>
            </w:r>
          </w:p>
        </w:tc>
        <w:tc>
          <w:tcPr>
            <w:tcMar>
              <w:top w:w="200.0" w:type="dxa"/>
              <w:left w:w="110.0" w:type="dxa"/>
              <w:bottom w:w="200.0" w:type="dxa"/>
              <w:right w:w="110.0" w:type="dxa"/>
            </w:tcMar>
          </w:tcPr>
          <w:p w:rsidR="00000000" w:rsidDel="00000000" w:rsidP="00000000" w:rsidRDefault="00000000" w:rsidRPr="00000000" w14:paraId="00000049">
            <w:pPr>
              <w:rPr>
                <w:sz w:val="20"/>
                <w:szCs w:val="20"/>
              </w:rPr>
            </w:pPr>
            <w:r w:rsidDel="00000000" w:rsidR="00000000" w:rsidRPr="00000000">
              <w:rPr>
                <w:sz w:val="20"/>
                <w:szCs w:val="20"/>
                <w:rtl w:val="0"/>
              </w:rPr>
              <w:t xml:space="preserve">Relevamiento de empresas de software radicadas en Posadas/Misiones y graduados universitarios de carreras informáticas. </w:t>
            </w:r>
          </w:p>
        </w:tc>
        <w:tc>
          <w:tcPr>
            <w:tcMar>
              <w:top w:w="200.0" w:type="dxa"/>
              <w:left w:w="110.0" w:type="dxa"/>
              <w:bottom w:w="200.0" w:type="dxa"/>
              <w:right w:w="110.0" w:type="dxa"/>
            </w:tcMar>
          </w:tcPr>
          <w:p w:rsidR="00000000" w:rsidDel="00000000" w:rsidP="00000000" w:rsidRDefault="00000000" w:rsidRPr="00000000" w14:paraId="0000004A">
            <w:pPr>
              <w:rPr>
                <w:sz w:val="20"/>
                <w:szCs w:val="20"/>
              </w:rPr>
            </w:pPr>
            <w:r w:rsidDel="00000000" w:rsidR="00000000" w:rsidRPr="00000000">
              <w:rPr>
                <w:sz w:val="20"/>
                <w:szCs w:val="20"/>
                <w:rtl w:val="0"/>
              </w:rPr>
              <w:t xml:space="preserve">Informe Anual 2025/2026. </w:t>
            </w:r>
          </w:p>
        </w:tc>
        <w:tc>
          <w:tcPr>
            <w:tcMar>
              <w:top w:w="200.0" w:type="dxa"/>
              <w:left w:w="110.0" w:type="dxa"/>
              <w:bottom w:w="200.0" w:type="dxa"/>
              <w:right w:w="110.0" w:type="dxa"/>
            </w:tcMar>
          </w:tcPr>
          <w:p w:rsidR="00000000" w:rsidDel="00000000" w:rsidP="00000000" w:rsidRDefault="00000000" w:rsidRPr="00000000" w14:paraId="0000004B">
            <w:pPr>
              <w:rPr>
                <w:sz w:val="20"/>
                <w:szCs w:val="20"/>
              </w:rPr>
            </w:pPr>
            <w:r w:rsidDel="00000000" w:rsidR="00000000" w:rsidRPr="00000000">
              <w:rPr>
                <w:sz w:val="20"/>
                <w:szCs w:val="20"/>
                <w:rtl w:val="0"/>
              </w:rPr>
              <w:t xml:space="preserve">Caracterizar el contexto tecnológico provincial y las iniciativas de formación y desarrollo de talento disponibles en Misiones.</w:t>
            </w:r>
          </w:p>
        </w:tc>
      </w:tr>
    </w:tbl>
    <w:p w:rsidR="00000000" w:rsidDel="00000000" w:rsidP="00000000" w:rsidRDefault="00000000" w:rsidRPr="00000000" w14:paraId="0000004C">
      <w:pPr>
        <w:spacing w:after="200" w:before="80" w:lineRule="auto"/>
        <w:rPr>
          <w:i w:val="1"/>
          <w:iCs w:val="1"/>
          <w:sz w:val="20"/>
          <w:szCs w:val="20"/>
        </w:rPr>
      </w:pPr>
      <w:r w:rsidDel="00000000" w:rsidR="00000000" w:rsidRPr="00000000">
        <w:rPr>
          <w:i w:val="1"/>
          <w:iCs w:val="1"/>
          <w:sz w:val="20"/>
          <w:szCs w:val="20"/>
          <w:rtl w:val="0"/>
        </w:rPr>
        <w:t xml:space="preserve">Tabla 2. Fuentes sectoriales sometidas a la regla de las tres preguntas.</w:t>
      </w:r>
    </w:p>
    <w:p w:rsidR="00000000" w:rsidDel="00000000" w:rsidP="00000000" w:rsidRDefault="00000000" w:rsidRPr="00000000" w14:paraId="0000004D">
      <w:pPr>
        <w:spacing w:after="200" w:before="80" w:lineRule="auto"/>
        <w:rPr>
          <w:i w:val="1"/>
          <w:iCs w:val="1"/>
          <w:sz w:val="20"/>
          <w:szCs w:val="20"/>
        </w:rPr>
      </w:pPr>
      <w:r w:rsidDel="00000000" w:rsidR="00000000" w:rsidRPr="00000000">
        <w:rPr>
          <w:rtl w:val="0"/>
        </w:rPr>
      </w:r>
    </w:p>
    <w:p w:rsidR="00000000" w:rsidDel="00000000" w:rsidP="00000000" w:rsidRDefault="00000000" w:rsidRPr="00000000" w14:paraId="0000004E">
      <w:pPr>
        <w:pStyle w:val="Heading2"/>
        <w:spacing w:after="120" w:before="240" w:line="480" w:lineRule="auto"/>
        <w:rPr/>
      </w:pPr>
      <w:r w:rsidDel="00000000" w:rsidR="00000000" w:rsidRPr="00000000">
        <w:rPr>
          <w:rtl w:val="0"/>
        </w:rPr>
        <w:t xml:space="preserve">4.3 · Disponibilidad de perfiles y costos de referencia</w:t>
      </w:r>
    </w:p>
    <w:p w:rsidR="00000000" w:rsidDel="00000000" w:rsidP="00000000" w:rsidRDefault="00000000" w:rsidRPr="00000000" w14:paraId="0000004F">
      <w:pPr>
        <w:spacing w:line="480" w:lineRule="auto"/>
        <w:ind w:firstLine="567"/>
        <w:jc w:val="both"/>
        <w:rPr/>
      </w:pPr>
      <w:r w:rsidDel="00000000" w:rsidR="00000000" w:rsidRPr="00000000">
        <w:rPr>
          <w:rtl w:val="0"/>
        </w:rPr>
        <w:t xml:space="preserve">Posadas cuenta con oferta formativa de grado en la especialidad y con un mercado laboral en el que el perfil de desarrollo resulta accesible, aunque en competencia con la demanda remota.</w:t>
      </w:r>
      <w:r w:rsidDel="00000000" w:rsidR="00000000" w:rsidRPr="00000000">
        <w:rPr>
          <w:rtl w:val="0"/>
        </w:rPr>
        <w:t xml:space="preserve"> Además de las referencias de la Cámara de la Industria Argentina del Software (OPSSI/CESSI), la línea de base salarial y de costos de referencia se refundamenta en la medición de la comunidad Sysarmy / OpenQube en su Encuesta de Sueldos 2026.01 (período diciembre 2025 – febrero 2026), cuya mediana salarial bruta general para el sector tecnológico en la República Argentina se ubica en $3.253.581 mensuales. Esta cifra nacional de la encuesta de </w:t>
      </w:r>
      <w:r w:rsidDel="00000000" w:rsidR="00000000" w:rsidRPr="00000000">
        <w:rPr>
          <w:rtl w:val="0"/>
        </w:rPr>
        <w:t xml:space="preserve">OpenQube</w:t>
      </w:r>
      <w:r w:rsidDel="00000000" w:rsidR="00000000" w:rsidRPr="00000000">
        <w:rPr>
          <w:rtl w:val="0"/>
        </w:rPr>
        <w:t xml:space="preserve"> permite contextualizar y contrastar las referencias regionales y sectoriales, ofreciendo un marco actualizado de la estructura de remuneraciones de la industria IT a principios de 2026 y sirviendo de ponderación objetiva para los distintos niveles de experiencia y seniority (Semi-Senior y Senior).</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4"/>
        <w:tblW w:w="8505.51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9.154"/>
        <w:gridCol w:w="2272.242"/>
        <w:gridCol w:w="2272.242"/>
        <w:gridCol w:w="2201.874"/>
        <w:tblGridChange w:id="0">
          <w:tblGrid>
            <w:gridCol w:w="1759.154"/>
            <w:gridCol w:w="2272.242"/>
            <w:gridCol w:w="2272.242"/>
            <w:gridCol w:w="2201.874"/>
          </w:tblGrid>
        </w:tblGridChange>
      </w:tblGrid>
      <w:tr>
        <w:trPr>
          <w:cantSplit w:val="0"/>
          <w:tblHeader w:val="1"/>
        </w:trPr>
        <w:tc>
          <w:tcPr>
            <w:shd w:fill="eeeeee" w:val="clear"/>
            <w:tcMar>
              <w:top w:w="80.0" w:type="dxa"/>
              <w:left w:w="110.0" w:type="dxa"/>
              <w:bottom w:w="80.0" w:type="dxa"/>
              <w:right w:w="110.0" w:type="dxa"/>
            </w:tcMar>
          </w:tcPr>
          <w:p w:rsidR="00000000" w:rsidDel="00000000" w:rsidP="00000000" w:rsidRDefault="00000000" w:rsidRPr="00000000" w14:paraId="00000051">
            <w:pPr>
              <w:rPr/>
            </w:pPr>
            <w:r w:rsidDel="00000000" w:rsidR="00000000" w:rsidRPr="00000000">
              <w:rPr>
                <w:b w:val="1"/>
                <w:bCs w:val="1"/>
                <w:sz w:val="20"/>
                <w:szCs w:val="20"/>
                <w:rtl w:val="0"/>
              </w:rPr>
              <w:t xml:space="preserve">Perfil técnico de referencia</w:t>
            </w:r>
            <w:r w:rsidDel="00000000" w:rsidR="00000000" w:rsidRPr="00000000">
              <w:rPr>
                <w:rtl w:val="0"/>
              </w:rPr>
            </w:r>
          </w:p>
        </w:tc>
        <w:tc>
          <w:tcPr>
            <w:shd w:fill="eeeeee" w:val="clear"/>
            <w:tcMar>
              <w:top w:w="80.0" w:type="dxa"/>
              <w:left w:w="110.0" w:type="dxa"/>
              <w:bottom w:w="80.0" w:type="dxa"/>
              <w:right w:w="110.0" w:type="dxa"/>
            </w:tcMar>
          </w:tcPr>
          <w:p w:rsidR="00000000" w:rsidDel="00000000" w:rsidP="00000000" w:rsidRDefault="00000000" w:rsidRPr="00000000" w14:paraId="00000052">
            <w:pPr>
              <w:rPr/>
            </w:pPr>
            <w:r w:rsidDel="00000000" w:rsidR="00000000" w:rsidRPr="00000000">
              <w:rPr>
                <w:b w:val="1"/>
                <w:bCs w:val="1"/>
                <w:sz w:val="20"/>
                <w:szCs w:val="20"/>
                <w:rtl w:val="0"/>
              </w:rPr>
              <w:t xml:space="preserve">Disponibilidad regional</w:t>
            </w:r>
            <w:r w:rsidDel="00000000" w:rsidR="00000000" w:rsidRPr="00000000">
              <w:rPr>
                <w:rtl w:val="0"/>
              </w:rPr>
            </w:r>
          </w:p>
        </w:tc>
        <w:tc>
          <w:tcPr>
            <w:shd w:fill="eeeeee" w:val="clear"/>
            <w:tcMar>
              <w:top w:w="80.0" w:type="dxa"/>
              <w:left w:w="110.0" w:type="dxa"/>
              <w:bottom w:w="80.0" w:type="dxa"/>
              <w:right w:w="110.0" w:type="dxa"/>
            </w:tcMar>
          </w:tcPr>
          <w:p w:rsidR="00000000" w:rsidDel="00000000" w:rsidP="00000000" w:rsidRDefault="00000000" w:rsidRPr="00000000" w14:paraId="00000053">
            <w:pPr>
              <w:rPr/>
            </w:pPr>
            <w:r w:rsidDel="00000000" w:rsidR="00000000" w:rsidRPr="00000000">
              <w:rPr>
                <w:b w:val="1"/>
                <w:bCs w:val="1"/>
                <w:sz w:val="20"/>
                <w:szCs w:val="20"/>
                <w:rtl w:val="0"/>
              </w:rPr>
              <w:t xml:space="preserve">Referencia de costo</w:t>
            </w:r>
            <w:r w:rsidDel="00000000" w:rsidR="00000000" w:rsidRPr="00000000">
              <w:rPr>
                <w:rtl w:val="0"/>
              </w:rPr>
            </w:r>
          </w:p>
        </w:tc>
        <w:tc>
          <w:tcPr>
            <w:shd w:fill="eeeeee" w:val="clear"/>
            <w:tcMar>
              <w:top w:w="80.0" w:type="dxa"/>
              <w:left w:w="110.0" w:type="dxa"/>
              <w:bottom w:w="80.0" w:type="dxa"/>
              <w:right w:w="110.0" w:type="dxa"/>
            </w:tcMar>
          </w:tcPr>
          <w:p w:rsidR="00000000" w:rsidDel="00000000" w:rsidP="00000000" w:rsidRDefault="00000000" w:rsidRPr="00000000" w14:paraId="00000054">
            <w:pPr>
              <w:rPr/>
            </w:pPr>
            <w:r w:rsidDel="00000000" w:rsidR="00000000" w:rsidRPr="00000000">
              <w:rPr>
                <w:b w:val="1"/>
                <w:bCs w:val="1"/>
                <w:sz w:val="20"/>
                <w:szCs w:val="20"/>
                <w:rtl w:val="0"/>
              </w:rPr>
              <w:t xml:space="preserve">Aplicación en los proyectos</w:t>
            </w:r>
            <w:r w:rsidDel="00000000" w:rsidR="00000000" w:rsidRPr="00000000">
              <w:rPr>
                <w:rtl w:val="0"/>
              </w:rPr>
            </w:r>
          </w:p>
        </w:tc>
      </w:tr>
      <w:tr>
        <w:trPr>
          <w:cantSplit w:val="0"/>
          <w:tblHeader w:val="0"/>
        </w:trPr>
        <w:tc>
          <w:tcPr>
            <w:tcMar>
              <w:top w:w="200.0" w:type="dxa"/>
              <w:left w:w="110.0" w:type="dxa"/>
              <w:bottom w:w="200.0" w:type="dxa"/>
              <w:right w:w="110.0" w:type="dxa"/>
            </w:tcMar>
          </w:tcPr>
          <w:p w:rsidR="00000000" w:rsidDel="00000000" w:rsidP="00000000" w:rsidRDefault="00000000" w:rsidRPr="00000000" w14:paraId="00000055">
            <w:pPr>
              <w:rPr/>
            </w:pPr>
            <w:r w:rsidDel="00000000" w:rsidR="00000000" w:rsidRPr="00000000">
              <w:rPr>
                <w:sz w:val="20"/>
                <w:szCs w:val="20"/>
                <w:rtl w:val="0"/>
              </w:rPr>
              <w:t xml:space="preserve">Desarrollo Backend / Procesamiento de Datos - Semi-Senior</w:t>
            </w:r>
            <w:r w:rsidDel="00000000" w:rsidR="00000000" w:rsidRPr="00000000">
              <w:rPr>
                <w:rtl w:val="0"/>
              </w:rPr>
            </w:r>
          </w:p>
        </w:tc>
        <w:tc>
          <w:tcPr>
            <w:tcMar>
              <w:top w:w="200.0" w:type="dxa"/>
              <w:left w:w="110.0" w:type="dxa"/>
              <w:bottom w:w="200.0" w:type="dxa"/>
              <w:right w:w="110.0" w:type="dxa"/>
            </w:tcMar>
          </w:tcPr>
          <w:p w:rsidR="00000000" w:rsidDel="00000000" w:rsidP="00000000" w:rsidRDefault="00000000" w:rsidRPr="00000000" w14:paraId="00000056">
            <w:pPr>
              <w:rPr/>
            </w:pPr>
            <w:r w:rsidDel="00000000" w:rsidR="00000000" w:rsidRPr="00000000">
              <w:rPr>
                <w:sz w:val="20"/>
                <w:szCs w:val="20"/>
                <w:rtl w:val="0"/>
              </w:rPr>
              <w:t xml:space="preserve">Media</w:t>
            </w:r>
            <w:r w:rsidDel="00000000" w:rsidR="00000000" w:rsidRPr="00000000">
              <w:rPr>
                <w:rtl w:val="0"/>
              </w:rPr>
            </w:r>
          </w:p>
        </w:tc>
        <w:tc>
          <w:tcPr>
            <w:tcMar>
              <w:top w:w="200.0" w:type="dxa"/>
              <w:left w:w="110.0" w:type="dxa"/>
              <w:bottom w:w="200.0" w:type="dxa"/>
              <w:right w:w="110.0" w:type="dxa"/>
            </w:tcMar>
          </w:tcPr>
          <w:p w:rsidR="00000000" w:rsidDel="00000000" w:rsidP="00000000" w:rsidRDefault="00000000" w:rsidRPr="00000000" w14:paraId="00000057">
            <w:pPr>
              <w:rPr/>
            </w:pPr>
            <w:r w:rsidDel="00000000" w:rsidR="00000000" w:rsidRPr="00000000">
              <w:rPr>
                <w:sz w:val="20"/>
                <w:szCs w:val="20"/>
                <w:rtl w:val="0"/>
              </w:rPr>
              <w:t xml:space="preserve">$2.290.000 mensuales (referencia OPSSI) / $3.253.581 (mediana general Sysarmy 2026.01); costo horario equivalente calculado por el grupo</w:t>
            </w:r>
            <w:r w:rsidDel="00000000" w:rsidR="00000000" w:rsidRPr="00000000">
              <w:rPr>
                <w:rtl w:val="0"/>
              </w:rPr>
            </w:r>
          </w:p>
        </w:tc>
        <w:tc>
          <w:tcPr>
            <w:tcMar>
              <w:top w:w="200.0" w:type="dxa"/>
              <w:left w:w="110.0" w:type="dxa"/>
              <w:bottom w:w="200.0" w:type="dxa"/>
              <w:right w:w="110.0" w:type="dxa"/>
            </w:tcMar>
          </w:tcPr>
          <w:p w:rsidR="00000000" w:rsidDel="00000000" w:rsidP="00000000" w:rsidRDefault="00000000" w:rsidRPr="00000000" w14:paraId="00000058">
            <w:pPr>
              <w:rPr/>
            </w:pPr>
            <w:r w:rsidDel="00000000" w:rsidR="00000000" w:rsidRPr="00000000">
              <w:rPr>
                <w:sz w:val="20"/>
                <w:szCs w:val="20"/>
                <w:rtl w:val="0"/>
              </w:rPr>
              <w:t xml:space="preserve">Backend, procesamiento, migración y normalización de datos</w:t>
            </w:r>
            <w:r w:rsidDel="00000000" w:rsidR="00000000" w:rsidRPr="00000000">
              <w:rPr>
                <w:rtl w:val="0"/>
              </w:rPr>
            </w:r>
          </w:p>
        </w:tc>
      </w:tr>
      <w:tr>
        <w:trPr>
          <w:cantSplit w:val="0"/>
          <w:tblHeader w:val="0"/>
        </w:trPr>
        <w:tc>
          <w:tcPr>
            <w:tcMar>
              <w:top w:w="200.0" w:type="dxa"/>
              <w:left w:w="110.0" w:type="dxa"/>
              <w:bottom w:w="200.0" w:type="dxa"/>
              <w:right w:w="110.0" w:type="dxa"/>
            </w:tcMar>
          </w:tcPr>
          <w:p w:rsidR="00000000" w:rsidDel="00000000" w:rsidP="00000000" w:rsidRDefault="00000000" w:rsidRPr="00000000" w14:paraId="00000059">
            <w:pPr>
              <w:rPr/>
            </w:pPr>
            <w:r w:rsidDel="00000000" w:rsidR="00000000" w:rsidRPr="00000000">
              <w:rPr>
                <w:sz w:val="20"/>
                <w:szCs w:val="20"/>
                <w:rtl w:val="0"/>
              </w:rPr>
              <w:t xml:space="preserve">Datos / IA / Arquitectura de Sistemas - Senior</w:t>
            </w:r>
            <w:r w:rsidDel="00000000" w:rsidR="00000000" w:rsidRPr="00000000">
              <w:rPr>
                <w:rtl w:val="0"/>
              </w:rPr>
            </w:r>
          </w:p>
        </w:tc>
        <w:tc>
          <w:tcPr>
            <w:tcMar>
              <w:top w:w="200.0" w:type="dxa"/>
              <w:left w:w="110.0" w:type="dxa"/>
              <w:bottom w:w="200.0" w:type="dxa"/>
              <w:right w:w="110.0" w:type="dxa"/>
            </w:tcMar>
          </w:tcPr>
          <w:p w:rsidR="00000000" w:rsidDel="00000000" w:rsidP="00000000" w:rsidRDefault="00000000" w:rsidRPr="00000000" w14:paraId="0000005A">
            <w:pPr>
              <w:rPr/>
            </w:pPr>
            <w:r w:rsidDel="00000000" w:rsidR="00000000" w:rsidRPr="00000000">
              <w:rPr>
                <w:sz w:val="20"/>
                <w:szCs w:val="20"/>
                <w:rtl w:val="0"/>
              </w:rPr>
              <w:t xml:space="preserve">Baja o Incierta</w:t>
            </w:r>
            <w:r w:rsidDel="00000000" w:rsidR="00000000" w:rsidRPr="00000000">
              <w:rPr>
                <w:rtl w:val="0"/>
              </w:rPr>
            </w:r>
          </w:p>
        </w:tc>
        <w:tc>
          <w:tcPr>
            <w:tcMar>
              <w:top w:w="200.0" w:type="dxa"/>
              <w:left w:w="110.0" w:type="dxa"/>
              <w:bottom w:w="200.0" w:type="dxa"/>
              <w:right w:w="110.0" w:type="dxa"/>
            </w:tcMar>
          </w:tcPr>
          <w:p w:rsidR="00000000" w:rsidDel="00000000" w:rsidP="00000000" w:rsidRDefault="00000000" w:rsidRPr="00000000" w14:paraId="0000005B">
            <w:pPr>
              <w:rPr/>
            </w:pPr>
            <w:r w:rsidDel="00000000" w:rsidR="00000000" w:rsidRPr="00000000">
              <w:rPr>
                <w:sz w:val="20"/>
                <w:szCs w:val="20"/>
                <w:rtl w:val="0"/>
              </w:rPr>
              <w:t xml:space="preserve">$3.790.000 mensuales (referencia especialización OPSSI) / Ponderación Senior sobre mediana Sysarmy ($3.253.581); costo horario equivalente</w:t>
            </w:r>
            <w:r w:rsidDel="00000000" w:rsidR="00000000" w:rsidRPr="00000000">
              <w:rPr>
                <w:rtl w:val="0"/>
              </w:rPr>
            </w:r>
          </w:p>
        </w:tc>
        <w:tc>
          <w:tcPr>
            <w:tcMar>
              <w:top w:w="200.0" w:type="dxa"/>
              <w:left w:w="110.0" w:type="dxa"/>
              <w:bottom w:w="200.0" w:type="dxa"/>
              <w:right w:w="110.0" w:type="dxa"/>
            </w:tcMar>
          </w:tcPr>
          <w:p w:rsidR="00000000" w:rsidDel="00000000" w:rsidP="00000000" w:rsidRDefault="00000000" w:rsidRPr="00000000" w14:paraId="0000005C">
            <w:pPr>
              <w:rPr/>
            </w:pPr>
            <w:r w:rsidDel="00000000" w:rsidR="00000000" w:rsidRPr="00000000">
              <w:rPr>
                <w:sz w:val="20"/>
                <w:szCs w:val="20"/>
                <w:rtl w:val="0"/>
              </w:rPr>
              <w:t xml:space="preserve">Pipeline de ingesta, embeddings, RAG y arquitectura de datos en CODI; tareas especializadas de procesamiento en RIGE</w:t>
            </w:r>
            <w:r w:rsidDel="00000000" w:rsidR="00000000" w:rsidRPr="00000000">
              <w:rPr>
                <w:rtl w:val="0"/>
              </w:rPr>
            </w:r>
          </w:p>
        </w:tc>
      </w:tr>
      <w:tr>
        <w:trPr>
          <w:cantSplit w:val="0"/>
          <w:tblHeader w:val="0"/>
        </w:trPr>
        <w:tc>
          <w:tcPr>
            <w:tcMar>
              <w:top w:w="200.0" w:type="dxa"/>
              <w:left w:w="110.0" w:type="dxa"/>
              <w:bottom w:w="200.0" w:type="dxa"/>
              <w:right w:w="110.0" w:type="dxa"/>
            </w:tcMar>
          </w:tcPr>
          <w:p w:rsidR="00000000" w:rsidDel="00000000" w:rsidP="00000000" w:rsidRDefault="00000000" w:rsidRPr="00000000" w14:paraId="0000005D">
            <w:pPr>
              <w:rPr/>
            </w:pPr>
            <w:r w:rsidDel="00000000" w:rsidR="00000000" w:rsidRPr="00000000">
              <w:rPr>
                <w:sz w:val="20"/>
                <w:szCs w:val="20"/>
                <w:rtl w:val="0"/>
              </w:rPr>
              <w:t xml:space="preserve">Desarrollo FrontEnd / Diseño UI/UX - Semi-Senior</w:t>
            </w:r>
            <w:r w:rsidDel="00000000" w:rsidR="00000000" w:rsidRPr="00000000">
              <w:rPr>
                <w:rtl w:val="0"/>
              </w:rPr>
            </w:r>
          </w:p>
        </w:tc>
        <w:tc>
          <w:tcPr>
            <w:tcMar>
              <w:top w:w="200.0" w:type="dxa"/>
              <w:left w:w="110.0" w:type="dxa"/>
              <w:bottom w:w="200.0" w:type="dxa"/>
              <w:right w:w="110.0" w:type="dxa"/>
            </w:tcMar>
          </w:tcPr>
          <w:p w:rsidR="00000000" w:rsidDel="00000000" w:rsidP="00000000" w:rsidRDefault="00000000" w:rsidRPr="00000000" w14:paraId="0000005E">
            <w:pPr>
              <w:rPr/>
            </w:pPr>
            <w:r w:rsidDel="00000000" w:rsidR="00000000" w:rsidRPr="00000000">
              <w:rPr>
                <w:sz w:val="20"/>
                <w:szCs w:val="20"/>
                <w:rtl w:val="0"/>
              </w:rPr>
              <w:t xml:space="preserve">Media</w:t>
            </w:r>
            <w:r w:rsidDel="00000000" w:rsidR="00000000" w:rsidRPr="00000000">
              <w:rPr>
                <w:rtl w:val="0"/>
              </w:rPr>
            </w:r>
          </w:p>
        </w:tc>
        <w:tc>
          <w:tcPr>
            <w:tcMar>
              <w:top w:w="200.0" w:type="dxa"/>
              <w:left w:w="110.0" w:type="dxa"/>
              <w:bottom w:w="200.0" w:type="dxa"/>
              <w:right w:w="110.0" w:type="dxa"/>
            </w:tcMar>
          </w:tcPr>
          <w:p w:rsidR="00000000" w:rsidDel="00000000" w:rsidP="00000000" w:rsidRDefault="00000000" w:rsidRPr="00000000" w14:paraId="0000005F">
            <w:pPr>
              <w:rPr/>
            </w:pPr>
            <w:r w:rsidDel="00000000" w:rsidR="00000000" w:rsidRPr="00000000">
              <w:rPr>
                <w:sz w:val="20"/>
                <w:szCs w:val="20"/>
                <w:rtl w:val="0"/>
              </w:rPr>
              <w:t xml:space="preserve">$2.290.000 mensuales (mediana cluster desarrollo OPSSI/CESSI) / $3.253.581 (referencia Sysarmy 2026.01); costo horario equivalente</w:t>
            </w:r>
            <w:r w:rsidDel="00000000" w:rsidR="00000000" w:rsidRPr="00000000">
              <w:rPr>
                <w:rtl w:val="0"/>
              </w:rPr>
            </w:r>
          </w:p>
        </w:tc>
        <w:tc>
          <w:tcPr>
            <w:tcMar>
              <w:top w:w="200.0" w:type="dxa"/>
              <w:left w:w="110.0" w:type="dxa"/>
              <w:bottom w:w="200.0" w:type="dxa"/>
              <w:right w:w="110.0" w:type="dxa"/>
            </w:tcMar>
          </w:tcPr>
          <w:p w:rsidR="00000000" w:rsidDel="00000000" w:rsidP="00000000" w:rsidRDefault="00000000" w:rsidRPr="00000000" w14:paraId="00000060">
            <w:pPr>
              <w:rPr/>
            </w:pPr>
            <w:r w:rsidDel="00000000" w:rsidR="00000000" w:rsidRPr="00000000">
              <w:rPr>
                <w:sz w:val="20"/>
                <w:szCs w:val="20"/>
                <w:rtl w:val="0"/>
              </w:rPr>
              <w:t xml:space="preserve">Interfaz gráfica, maquetación, experiencia de usuario y componentes visuales interactivos en CODI y en la plataforma de configuración.</w:t>
            </w:r>
            <w:r w:rsidDel="00000000" w:rsidR="00000000" w:rsidRPr="00000000">
              <w:rPr>
                <w:rtl w:val="0"/>
              </w:rPr>
            </w:r>
          </w:p>
        </w:tc>
      </w:tr>
    </w:tbl>
    <w:p w:rsidR="00000000" w:rsidDel="00000000" w:rsidP="00000000" w:rsidRDefault="00000000" w:rsidRPr="00000000" w14:paraId="00000061">
      <w:pPr>
        <w:spacing w:line="480" w:lineRule="auto"/>
        <w:ind w:firstLine="567"/>
        <w:jc w:val="both"/>
        <w:rPr/>
      </w:pPr>
      <w:r w:rsidDel="00000000" w:rsidR="00000000" w:rsidRPr="00000000">
        <w:rPr>
          <w:rtl w:val="0"/>
        </w:rPr>
      </w:r>
    </w:p>
    <w:p w:rsidR="00000000" w:rsidDel="00000000" w:rsidP="00000000" w:rsidRDefault="00000000" w:rsidRPr="00000000" w14:paraId="00000062">
      <w:pPr>
        <w:spacing w:line="480" w:lineRule="auto"/>
        <w:ind w:firstLine="567"/>
        <w:jc w:val="both"/>
        <w:rPr/>
      </w:pPr>
      <w:r w:rsidDel="00000000" w:rsidR="00000000" w:rsidRPr="00000000">
        <w:rPr>
          <w:rtl w:val="0"/>
        </w:rPr>
        <w:t xml:space="preserve">Dado que ambos proyectos se ejecutan sin contratación externa, cada autor asume la responsabilidad integral de cubrir los perfiles técnicos requeridos por su respectivo desarrollo. Esta asignación establece la autovaloración económica del trabajo de cada integrante según los parámetros de mercado del sector SSI (OPSSI/CESSI) e incorporando la referencia actualizada de la Encuesta de Sueldos Sysarmy 2026.01, cuya mediana general nacional asciende a $3.253.581 mensuales:</w:t>
      </w:r>
    </w:p>
    <w:p w:rsidR="00000000" w:rsidDel="00000000" w:rsidP="00000000" w:rsidRDefault="00000000" w:rsidRPr="00000000" w14:paraId="00000063">
      <w:pPr>
        <w:numPr>
          <w:ilvl w:val="0"/>
          <w:numId w:val="1"/>
        </w:numPr>
        <w:spacing w:line="480" w:lineRule="auto"/>
        <w:ind w:left="720" w:hanging="360"/>
        <w:jc w:val="both"/>
        <w:rPr>
          <w:u w:val="none"/>
        </w:rPr>
      </w:pPr>
      <w:r w:rsidDel="00000000" w:rsidR="00000000" w:rsidRPr="00000000">
        <w:rPr>
          <w:b w:val="1"/>
          <w:bCs w:val="1"/>
          <w:rtl w:val="0"/>
        </w:rPr>
        <w:t xml:space="preserve">Sánchez, Joaquín Sebastián</w:t>
      </w:r>
      <w:r w:rsidDel="00000000" w:rsidR="00000000" w:rsidRPr="00000000">
        <w:rPr>
          <w:rtl w:val="0"/>
        </w:rPr>
        <w:t xml:space="preserve">: Asume la unidad de responsabilidad sobre la arquitectura de escritorio, manipulación de configuraciones y maquetación de interfaz (perfiles Backend Semi-Senior y FrontEnd/UI-UX Semi-Senior), lo que asigna a su aporte un precio relacional de referencia de $2.290.000 mensuales según la escala OPSSI, ponderado contractualmente contra la mediana salarial general de la industria fijada en $3.253.581 por Sysarmy / </w:t>
      </w:r>
      <w:r w:rsidDel="00000000" w:rsidR="00000000" w:rsidRPr="00000000">
        <w:rPr>
          <w:rtl w:val="0"/>
        </w:rPr>
        <w:t xml:space="preserve">OpenQube</w:t>
      </w:r>
      <w:r w:rsidDel="00000000" w:rsidR="00000000" w:rsidRPr="00000000">
        <w:rPr>
          <w:rtl w:val="0"/>
        </w:rPr>
        <w:t xml:space="preserve">.</w:t>
      </w:r>
    </w:p>
    <w:p w:rsidR="00000000" w:rsidDel="00000000" w:rsidP="00000000" w:rsidRDefault="00000000" w:rsidRPr="00000000" w14:paraId="00000064">
      <w:pPr>
        <w:numPr>
          <w:ilvl w:val="0"/>
          <w:numId w:val="1"/>
        </w:numPr>
        <w:spacing w:line="480" w:lineRule="auto"/>
        <w:ind w:left="720" w:hanging="360"/>
        <w:jc w:val="both"/>
        <w:rPr>
          <w:u w:val="none"/>
        </w:rPr>
      </w:pPr>
      <w:r w:rsidDel="00000000" w:rsidR="00000000" w:rsidRPr="00000000">
        <w:rPr>
          <w:b w:val="1"/>
          <w:bCs w:val="1"/>
          <w:rtl w:val="0"/>
        </w:rPr>
        <w:t xml:space="preserve">Nuñez, Santiago Agustín</w:t>
      </w:r>
      <w:r w:rsidDel="00000000" w:rsidR="00000000" w:rsidRPr="00000000">
        <w:rPr>
          <w:rtl w:val="0"/>
        </w:rPr>
        <w:t xml:space="preserve">: Asume la unidad de responsabilidad sobre el pipeline de ingesta, embeddings, arquitectura RAG e interfaz en CODI (perfiles Datos/IA Senior y Backend Semi-Senior), representando un precio relacional de referencia de $3.790.000 mensuales para las tareas especializadas de IA/Datos y $2.290.000 para el desarrollo general según OPSSI, sustentado en la escala por seniority superior respecto a la mediana base nacional de $3.253.581 de Sysarmy / </w:t>
      </w:r>
      <w:r w:rsidDel="00000000" w:rsidR="00000000" w:rsidRPr="00000000">
        <w:rPr>
          <w:rtl w:val="0"/>
        </w:rPr>
        <w:t xml:space="preserve">OpenQube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spacing w:line="480" w:lineRule="auto"/>
        <w:ind w:firstLine="567"/>
        <w:jc w:val="both"/>
        <w:rPr/>
      </w:pPr>
      <w:r w:rsidDel="00000000" w:rsidR="00000000" w:rsidRPr="00000000">
        <w:rPr>
          <w:rtl w:val="0"/>
        </w:rPr>
        <w:t xml:space="preserve">En cuanto a los costos, el grupo dispone de un parámetro obtenido por entrevista al referente de la organización consultada por el primer proyecto, correspondiente al costo de la hora de trabajo de desarrollo, relevado el 29 de agosto de 2026 (Sánchez, 2026). Ese parámetro sostiene la valorización económica del tiempo consumido en ese informe individual y se emplea con carácter estimativo, dado que procede de una consulta a un referente y no de una medición sectorial.</w:t>
      </w:r>
    </w:p>
    <w:p w:rsidR="00000000" w:rsidDel="00000000" w:rsidP="00000000" w:rsidRDefault="00000000" w:rsidRPr="00000000" w14:paraId="00000066">
      <w:pPr>
        <w:pStyle w:val="Heading2"/>
        <w:spacing w:after="120" w:before="240" w:line="480" w:lineRule="auto"/>
        <w:rPr/>
      </w:pPr>
      <w:r w:rsidDel="00000000" w:rsidR="00000000" w:rsidRPr="00000000">
        <w:rPr>
          <w:rtl w:val="0"/>
        </w:rPr>
        <w:t xml:space="preserve">4.4 · Marco promocional aplicable</w:t>
      </w:r>
    </w:p>
    <w:p w:rsidR="00000000" w:rsidDel="00000000" w:rsidP="00000000" w:rsidRDefault="00000000" w:rsidRPr="00000000" w14:paraId="00000067">
      <w:pPr>
        <w:spacing w:line="480" w:lineRule="auto"/>
        <w:ind w:firstLine="567"/>
        <w:jc w:val="both"/>
        <w:rPr/>
      </w:pPr>
      <w:r w:rsidDel="00000000" w:rsidR="00000000" w:rsidRPr="00000000">
        <w:rPr>
          <w:rtl w:val="0"/>
        </w:rPr>
        <w:t xml:space="preserve">La Ley N.º 27.506 de Promoción de la Economía del Conocimiento constituye el principal instrumento promocional aplicable a la actividad de la cual provienen los recursos de ambos proyectos. El régimen alcanza a las actividades de desarrollo de software y servicios informáticos, entre otras actividades intensivas en conocimiento, y otorga beneficios de carácter tributario a quienes se inscriben y acreditan el cumplimiento de los requisitos que la norma establece.</w:t>
      </w:r>
    </w:p>
    <w:p w:rsidR="00000000" w:rsidDel="00000000" w:rsidP="00000000" w:rsidRDefault="00000000" w:rsidRPr="00000000" w14:paraId="00000068">
      <w:pPr>
        <w:spacing w:line="480" w:lineRule="auto"/>
        <w:ind w:firstLine="567"/>
        <w:jc w:val="both"/>
        <w:rPr/>
      </w:pPr>
      <w:r w:rsidDel="00000000" w:rsidR="00000000" w:rsidRPr="00000000">
        <w:rPr>
          <w:rtl w:val="0"/>
        </w:rPr>
        <w:t xml:space="preserve">Respecto de su aplicabilidad, el marco no incide sobre la ejecución académica de ninguno de los dos proyectos, que se desarrollan sin estructura empresarial. Constituye, en cambio, el encuadre bajo el cual operaría una eventual explotación posterior de cualquiera de los dos productos, y en ese sentido integra el análisis de viabilidad de ambos.</w:t>
      </w:r>
    </w:p>
    <w:p w:rsidR="00000000" w:rsidDel="00000000" w:rsidP="00000000" w:rsidRDefault="00000000" w:rsidRPr="00000000" w14:paraId="00000069">
      <w:pPr>
        <w:pStyle w:val="Heading2"/>
        <w:spacing w:after="120" w:before="240" w:line="480" w:lineRule="auto"/>
        <w:rPr/>
      </w:pPr>
      <w:r w:rsidDel="00000000" w:rsidR="00000000" w:rsidRPr="00000000">
        <w:rPr>
          <w:rtl w:val="0"/>
        </w:rPr>
        <w:t xml:space="preserve">4.5 · Instituciones de articulación regional</w:t>
      </w:r>
    </w:p>
    <w:p w:rsidR="00000000" w:rsidDel="00000000" w:rsidP="00000000" w:rsidRDefault="00000000" w:rsidRPr="00000000" w14:paraId="0000006A">
      <w:pPr>
        <w:spacing w:line="480" w:lineRule="auto"/>
        <w:ind w:firstLine="567"/>
        <w:jc w:val="both"/>
        <w:rPr/>
      </w:pPr>
      <w:r w:rsidDel="00000000" w:rsidR="00000000" w:rsidRPr="00000000">
        <w:rPr>
          <w:rtl w:val="0"/>
        </w:rPr>
        <w:t xml:space="preserve">La Cámara de la Industria Argentina del Software concentra la información sectorial de referencia y produce, a través de su observatorio, las mediciones periódicas de empleo, facturación y exportaciones del sector. Los polos tecnológicos del Nordeste —entre ellos los de Corrientes y Chaco— agrupan a las empresas de la región y articulan actividades de formación, vinculación y promoción. La Universidad de la Cuenca del Plata, por su parte, integra el sistema regional de innovación en su carácter de institución formadora del perfil técnico que ambos proyectos requieren.</w:t>
      </w:r>
    </w:p>
    <w:p w:rsidR="00000000" w:rsidDel="00000000" w:rsidP="00000000" w:rsidRDefault="00000000" w:rsidRPr="00000000" w14:paraId="0000006B">
      <w:pPr>
        <w:pStyle w:val="Heading2"/>
        <w:spacing w:after="120" w:before="240" w:line="480" w:lineRule="auto"/>
        <w:rPr/>
      </w:pPr>
      <w:r w:rsidDel="00000000" w:rsidR="00000000" w:rsidRPr="00000000">
        <w:rPr>
          <w:rtl w:val="0"/>
        </w:rPr>
        <w:t xml:space="preserve">4.6 · Implicancias decisorias</w:t>
      </w:r>
    </w:p>
    <w:p w:rsidR="00000000" w:rsidDel="00000000" w:rsidP="00000000" w:rsidRDefault="00000000" w:rsidRPr="00000000" w14:paraId="0000006C">
      <w:pPr>
        <w:spacing w:line="480" w:lineRule="auto"/>
        <w:ind w:firstLine="567"/>
        <w:jc w:val="both"/>
        <w:rPr/>
      </w:pPr>
      <w:r w:rsidDel="00000000" w:rsidR="00000000" w:rsidRPr="00000000">
        <w:rPr>
          <w:rtl w:val="0"/>
        </w:rPr>
        <w:t xml:space="preserve">Cada elemento del encuadre declara qué decisión cambia por su causa. Se distinguen las implicancias comunes, que afectan a ambos proyectos por igual, de las diferenciales, que afectan a uno y no al otro. El criterio de inclusión es estricto: un elemento cuya supresión no modifica ninguna decisión de ninguno de los dos proyectos no integra el cuadro, por corresponder a información de contexto y no al desarrollo específico.</w:t>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70"/>
        <w:tblGridChange w:id="0">
          <w:tblGrid>
            <w:gridCol w:w="2200"/>
            <w:gridCol w:w="3400"/>
            <w:gridCol w:w="3470"/>
          </w:tblGrid>
        </w:tblGridChange>
      </w:tblGrid>
      <w:tr>
        <w:trPr>
          <w:cantSplit w:val="0"/>
          <w:tblHeader w:val="1"/>
        </w:trPr>
        <w:tc>
          <w:tcPr>
            <w:shd w:fill="eeeeee" w:val="clear"/>
            <w:tcMar>
              <w:top w:w="70.0" w:type="dxa"/>
              <w:left w:w="90.0" w:type="dxa"/>
              <w:bottom w:w="70.0" w:type="dxa"/>
              <w:right w:w="90.0" w:type="dxa"/>
            </w:tcMar>
          </w:tcPr>
          <w:p w:rsidR="00000000" w:rsidDel="00000000" w:rsidP="00000000" w:rsidRDefault="00000000" w:rsidRPr="00000000" w14:paraId="0000006D">
            <w:pPr>
              <w:rPr/>
            </w:pPr>
            <w:r w:rsidDel="00000000" w:rsidR="00000000" w:rsidRPr="00000000">
              <w:rPr>
                <w:b w:val="1"/>
                <w:bCs w:val="1"/>
                <w:sz w:val="22"/>
                <w:szCs w:val="22"/>
                <w:rtl w:val="0"/>
              </w:rPr>
              <w:t xml:space="preserve">Elemento del encuadre</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6E">
            <w:pPr>
              <w:rPr/>
            </w:pPr>
            <w:r w:rsidDel="00000000" w:rsidR="00000000" w:rsidRPr="00000000">
              <w:rPr>
                <w:b w:val="1"/>
                <w:bCs w:val="1"/>
                <w:sz w:val="22"/>
                <w:szCs w:val="22"/>
                <w:rtl w:val="0"/>
              </w:rPr>
              <w:t xml:space="preserve">Implicancia común a ambos proyectos</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6F">
            <w:pPr>
              <w:rPr/>
            </w:pPr>
            <w:r w:rsidDel="00000000" w:rsidR="00000000" w:rsidRPr="00000000">
              <w:rPr>
                <w:b w:val="1"/>
                <w:bCs w:val="1"/>
                <w:sz w:val="22"/>
                <w:szCs w:val="22"/>
                <w:rtl w:val="0"/>
              </w:rPr>
              <w:t xml:space="preserve">Implicancias diferenciales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0">
            <w:pPr>
              <w:rPr/>
            </w:pPr>
            <w:r w:rsidDel="00000000" w:rsidR="00000000" w:rsidRPr="00000000">
              <w:rPr>
                <w:sz w:val="22"/>
                <w:szCs w:val="22"/>
                <w:rtl w:val="0"/>
              </w:rPr>
              <w:t xml:space="preserve">Perfil técnico único, cubierto por el propio autor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1">
            <w:pPr>
              <w:rPr/>
            </w:pPr>
            <w:r w:rsidDel="00000000" w:rsidR="00000000" w:rsidRPr="00000000">
              <w:rPr>
                <w:sz w:val="22"/>
                <w:szCs w:val="22"/>
                <w:rtl w:val="0"/>
              </w:rPr>
              <w:t xml:space="preserve">Ambos proyectos se dimensionan sobre la capacidad de una sola persona, sin contratación: el alcance de cada versión se define por lo que ese perfil puede construir y verificar dentro del plazo.</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2">
            <w:pPr>
              <w:rPr/>
            </w:pPr>
            <w:r w:rsidDel="00000000" w:rsidR="00000000" w:rsidRPr="00000000">
              <w:rPr>
                <w:sz w:val="22"/>
                <w:szCs w:val="22"/>
                <w:rtl w:val="0"/>
              </w:rPr>
              <w:t xml:space="preserve">Sánchez concentra el conocimiento específico en un adaptador único y difiere la implementación completa del segundo. Nuñez requiere además conocimiento de dominio aeroespacial que el perfil no posee y obtiene por consulta externa.</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3">
            <w:pPr>
              <w:rPr/>
            </w:pPr>
            <w:r w:rsidDel="00000000" w:rsidR="00000000" w:rsidRPr="00000000">
              <w:rPr>
                <w:sz w:val="22"/>
                <w:szCs w:val="22"/>
                <w:rtl w:val="0"/>
              </w:rPr>
              <w:t xml:space="preserve">Presión de la demanda remota sobre costo y retención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4">
            <w:pPr>
              <w:rPr/>
            </w:pPr>
            <w:r w:rsidDel="00000000" w:rsidR="00000000" w:rsidRPr="00000000">
              <w:rPr>
                <w:sz w:val="22"/>
                <w:szCs w:val="22"/>
                <w:rtl w:val="0"/>
              </w:rPr>
              <w:t xml:space="preserve">El costo horario de referencia se toma de fuente local pero se forma contra un precio internacional, de modo que toda valorización económica se informa como rango y como orden de magnitud.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5">
            <w:pPr>
              <w:rPr/>
            </w:pPr>
            <w:r w:rsidDel="00000000" w:rsidR="00000000" w:rsidRPr="00000000">
              <w:rPr>
                <w:sz w:val="22"/>
                <w:szCs w:val="22"/>
                <w:rtl w:val="0"/>
              </w:rPr>
              <w:t xml:space="preserve">Sánchez lo emplea para dimensionar la pérdida que el sistema busca reducir, entre 26.000 y 173.200 pesos anuales por desarrollador según la frecuencia adoptada. Nuñez no dispone aún de parámetro económico y debe definirlo al completar su relevamiento.</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6">
            <w:pPr>
              <w:rPr/>
            </w:pPr>
            <w:r w:rsidDel="00000000" w:rsidR="00000000" w:rsidRPr="00000000">
              <w:rPr>
                <w:sz w:val="22"/>
                <w:szCs w:val="22"/>
                <w:rtl w:val="0"/>
              </w:rPr>
              <w:t xml:space="preserve">Ley N.º 27.506 de Economía del Conocimiento</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7">
            <w:pPr>
              <w:rPr/>
            </w:pPr>
            <w:r w:rsidDel="00000000" w:rsidR="00000000" w:rsidRPr="00000000">
              <w:rPr>
                <w:sz w:val="22"/>
                <w:szCs w:val="22"/>
                <w:rtl w:val="0"/>
              </w:rPr>
              <w:t xml:space="preserve">Encuadra la explotación posterior de ambos productos y no incide sobre la ejecución académica de ninguno, que se desarrolla sin estructura empresarial.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8">
            <w:pPr>
              <w:rPr/>
            </w:pPr>
            <w:r w:rsidDel="00000000" w:rsidR="00000000" w:rsidRPr="00000000">
              <w:rPr>
                <w:sz w:val="22"/>
                <w:szCs w:val="22"/>
                <w:rtl w:val="0"/>
              </w:rPr>
              <w:t xml:space="preserve">El producto de Sánchez se ubica de lleno entre las actividades comprendidas. El de Nuñez se dirige a un sector con regímenes propios, por lo que su encuadre requiere verificación específica.</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9">
            <w:pPr>
              <w:rPr/>
            </w:pPr>
            <w:r w:rsidDel="00000000" w:rsidR="00000000" w:rsidRPr="00000000">
              <w:rPr>
                <w:sz w:val="22"/>
                <w:szCs w:val="22"/>
                <w:rtl w:val="0"/>
              </w:rPr>
              <w:t xml:space="preserve">Ausencia de institución local que registre el problema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A">
            <w:pPr>
              <w:rPr/>
            </w:pPr>
            <w:r w:rsidDel="00000000" w:rsidR="00000000" w:rsidRPr="00000000">
              <w:rPr>
                <w:sz w:val="22"/>
                <w:szCs w:val="22"/>
                <w:rtl w:val="0"/>
              </w:rPr>
              <w:t xml:space="preserve">Ninguno de los dos proyectos encuentra en el ecosistema regional una organización que registre el problema que aborda, lo que obliga a construir la línea de base por instrumento propio.</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B">
            <w:pPr>
              <w:rPr/>
            </w:pPr>
            <w:r w:rsidDel="00000000" w:rsidR="00000000" w:rsidRPr="00000000">
              <w:rPr>
                <w:sz w:val="22"/>
                <w:szCs w:val="22"/>
                <w:rtl w:val="0"/>
              </w:rPr>
              <w:t xml:space="preserve">Sánchez accede a una organización local que confirma el problema en su práctica aunque no lo registre. Nuñez debe recurrir a organismos nacionales ajenos al sector de los recursos, con agendas que no controla, lo que determina el diferimiento de su relevamiento.</w:t>
            </w:r>
            <w:r w:rsidDel="00000000" w:rsidR="00000000" w:rsidRPr="00000000">
              <w:rPr>
                <w:rtl w:val="0"/>
              </w:rPr>
            </w:r>
          </w:p>
        </w:tc>
      </w:tr>
    </w:tbl>
    <w:p w:rsidR="00000000" w:rsidDel="00000000" w:rsidP="00000000" w:rsidRDefault="00000000" w:rsidRPr="00000000" w14:paraId="0000007C">
      <w:pPr>
        <w:spacing w:after="200" w:before="80" w:lineRule="auto"/>
        <w:rPr/>
      </w:pPr>
      <w:r w:rsidDel="00000000" w:rsidR="00000000" w:rsidRPr="00000000">
        <w:rPr>
          <w:i w:val="1"/>
          <w:iCs w:val="1"/>
          <w:sz w:val="20"/>
          <w:szCs w:val="20"/>
          <w:rtl w:val="0"/>
        </w:rPr>
        <w:t xml:space="preserve">Tabla 3. Elementos del encuadre sectorial con implicancia decisoria declarada. Fuente: elaboración propia.</w:t>
      </w:r>
      <w:r w:rsidDel="00000000" w:rsidR="00000000" w:rsidRPr="00000000">
        <w:rPr>
          <w:rtl w:val="0"/>
        </w:rPr>
      </w:r>
    </w:p>
    <w:p w:rsidR="00000000" w:rsidDel="00000000" w:rsidP="00000000" w:rsidRDefault="00000000" w:rsidRPr="00000000" w14:paraId="0000007D">
      <w:pPr>
        <w:pStyle w:val="Heading1"/>
        <w:spacing w:after="120" w:before="240" w:line="480" w:lineRule="auto"/>
        <w:rPr/>
      </w:pPr>
      <w:r w:rsidDel="00000000" w:rsidR="00000000" w:rsidRPr="00000000">
        <w:rPr>
          <w:rtl w:val="0"/>
        </w:rPr>
        <w:t xml:space="preserve">5 · Coordinación del trabajo</w:t>
      </w:r>
      <w:r w:rsidDel="00000000" w:rsidR="00000000" w:rsidRPr="00000000">
        <w:rPr>
          <w:rtl w:val="0"/>
        </w:rPr>
      </w:r>
    </w:p>
    <w:tbl>
      <w:tblPr>
        <w:tblStyle w:val="Table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0"/>
        <w:gridCol w:w="4200"/>
        <w:gridCol w:w="2670"/>
        <w:tblGridChange w:id="0">
          <w:tblGrid>
            <w:gridCol w:w="2200"/>
            <w:gridCol w:w="4200"/>
            <w:gridCol w:w="2670"/>
          </w:tblGrid>
        </w:tblGridChange>
      </w:tblGrid>
      <w:tr>
        <w:trPr>
          <w:cantSplit w:val="0"/>
          <w:tblHeader w:val="1"/>
        </w:trPr>
        <w:tc>
          <w:tcPr>
            <w:shd w:fill="eeeeee" w:val="clear"/>
            <w:tcMar>
              <w:top w:w="70.0" w:type="dxa"/>
              <w:left w:w="90.0" w:type="dxa"/>
              <w:bottom w:w="70.0" w:type="dxa"/>
              <w:right w:w="90.0" w:type="dxa"/>
            </w:tcMar>
          </w:tcPr>
          <w:p w:rsidR="00000000" w:rsidDel="00000000" w:rsidP="00000000" w:rsidRDefault="00000000" w:rsidRPr="00000000" w14:paraId="0000007E">
            <w:pPr>
              <w:rPr/>
            </w:pPr>
            <w:r w:rsidDel="00000000" w:rsidR="00000000" w:rsidRPr="00000000">
              <w:rPr>
                <w:b w:val="1"/>
                <w:bCs w:val="1"/>
                <w:sz w:val="22"/>
                <w:szCs w:val="22"/>
                <w:rtl w:val="0"/>
              </w:rPr>
              <w:t xml:space="preserve">Integrante</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7F">
            <w:pPr>
              <w:rPr/>
            </w:pPr>
            <w:r w:rsidDel="00000000" w:rsidR="00000000" w:rsidRPr="00000000">
              <w:rPr>
                <w:b w:val="1"/>
                <w:bCs w:val="1"/>
                <w:sz w:val="22"/>
                <w:szCs w:val="22"/>
                <w:rtl w:val="0"/>
              </w:rPr>
              <w:t xml:space="preserve">Responsabilidad asumida en este documento</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80">
            <w:pPr>
              <w:rPr/>
            </w:pPr>
            <w:r w:rsidDel="00000000" w:rsidR="00000000" w:rsidRPr="00000000">
              <w:rPr>
                <w:b w:val="1"/>
                <w:bCs w:val="1"/>
                <w:sz w:val="22"/>
                <w:szCs w:val="22"/>
                <w:rtl w:val="0"/>
              </w:rPr>
              <w:t xml:space="preserve">Apartados en que intervino</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1">
            <w:pPr>
              <w:rPr/>
            </w:pPr>
            <w:r w:rsidDel="00000000" w:rsidR="00000000" w:rsidRPr="00000000">
              <w:rPr>
                <w:sz w:val="22"/>
                <w:szCs w:val="22"/>
                <w:rtl w:val="0"/>
              </w:rPr>
              <w:t xml:space="preserve">Sánchez, Joaquín Sebastián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2">
            <w:pPr>
              <w:rPr/>
            </w:pPr>
            <w:r w:rsidDel="00000000" w:rsidR="00000000" w:rsidRPr="00000000">
              <w:rPr>
                <w:sz w:val="22"/>
                <w:szCs w:val="22"/>
                <w:rtl w:val="0"/>
              </w:rPr>
              <w:t xml:space="preserve">Estructuró la caracterización de la dificultad diagnóstica común, analizó la solución experimental adoptada por su desarrollo y colaboró en el análisis de implicancias decisorias del encuadre sectorial.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3">
            <w:pPr>
              <w:rPr/>
            </w:pPr>
            <w:r w:rsidDel="00000000" w:rsidR="00000000" w:rsidRPr="00000000">
              <w:rPr>
                <w:sz w:val="22"/>
                <w:szCs w:val="22"/>
                <w:rtl w:val="0"/>
              </w:rPr>
              <w:t xml:space="preserve">2, 3 (fila Sánchez), 4.3, 4.6</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4">
            <w:pPr>
              <w:rPr/>
            </w:pPr>
            <w:r w:rsidDel="00000000" w:rsidR="00000000" w:rsidRPr="00000000">
              <w:rPr>
                <w:sz w:val="22"/>
                <w:szCs w:val="22"/>
                <w:rtl w:val="0"/>
              </w:rPr>
              <w:t xml:space="preserve">Nuñez, Santiago Agustín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5">
            <w:pPr>
              <w:rPr/>
            </w:pPr>
            <w:r w:rsidDel="00000000" w:rsidR="00000000" w:rsidRPr="00000000">
              <w:rPr>
                <w:sz w:val="22"/>
                <w:szCs w:val="22"/>
                <w:rtl w:val="0"/>
              </w:rPr>
              <w:t xml:space="preserve">Responsable de la carga y coordinación del grupo; redactó los apartados de identificación, delimitación del sector SSI, fuentes sectoriales, disponibilidad de perfiles y los apartados finales de coordinación, decisiones y producción común.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6">
            <w:pPr>
              <w:rPr/>
            </w:pPr>
            <w:r w:rsidDel="00000000" w:rsidR="00000000" w:rsidRPr="00000000">
              <w:rPr>
                <w:sz w:val="22"/>
                <w:szCs w:val="22"/>
                <w:rtl w:val="0"/>
              </w:rPr>
              <w:t xml:space="preserve">1, 3 (fila Nuñez), 4.1, 4.2, 4.3, 4.4, 4.5, 4.6, 5, 6, 7</w:t>
            </w:r>
            <w:r w:rsidDel="00000000" w:rsidR="00000000" w:rsidRPr="00000000">
              <w:rPr>
                <w:rtl w:val="0"/>
              </w:rPr>
            </w:r>
          </w:p>
        </w:tc>
      </w:tr>
    </w:tbl>
    <w:p w:rsidR="00000000" w:rsidDel="00000000" w:rsidP="00000000" w:rsidRDefault="00000000" w:rsidRPr="00000000" w14:paraId="00000087">
      <w:pPr>
        <w:spacing w:after="200" w:before="80" w:lineRule="auto"/>
        <w:rPr/>
      </w:pPr>
      <w:r w:rsidDel="00000000" w:rsidR="00000000" w:rsidRPr="00000000">
        <w:rPr>
          <w:i w:val="1"/>
          <w:iCs w:val="1"/>
          <w:sz w:val="20"/>
          <w:szCs w:val="20"/>
          <w:rtl w:val="0"/>
        </w:rPr>
        <w:t xml:space="preserve">Tabla 4. Reparto de responsabilidades en la producción del documento. Fuente: elaboración propia.</w:t>
      </w:r>
      <w:r w:rsidDel="00000000" w:rsidR="00000000" w:rsidRPr="00000000">
        <w:rPr>
          <w:rtl w:val="0"/>
        </w:rPr>
      </w:r>
    </w:p>
    <w:p w:rsidR="00000000" w:rsidDel="00000000" w:rsidP="00000000" w:rsidRDefault="00000000" w:rsidRPr="00000000" w14:paraId="00000088">
      <w:pPr>
        <w:pStyle w:val="Heading1"/>
        <w:spacing w:after="120" w:before="240" w:line="480" w:lineRule="auto"/>
        <w:rPr/>
      </w:pPr>
      <w:r w:rsidDel="00000000" w:rsidR="00000000" w:rsidRPr="00000000">
        <w:rPr>
          <w:rtl w:val="0"/>
        </w:rPr>
        <w:t xml:space="preserve">6 · Registro de decisiones del grupo</w:t>
      </w:r>
    </w:p>
    <w:p w:rsidR="00000000" w:rsidDel="00000000" w:rsidP="00000000" w:rsidRDefault="00000000" w:rsidRPr="00000000" w14:paraId="00000089">
      <w:pPr>
        <w:spacing w:line="480" w:lineRule="auto"/>
        <w:ind w:firstLine="567"/>
        <w:jc w:val="both"/>
        <w:rPr/>
      </w:pPr>
      <w:r w:rsidDel="00000000" w:rsidR="00000000" w:rsidRPr="00000000">
        <w:rPr>
          <w:rtl w:val="0"/>
        </w:rPr>
        <w:t xml:space="preserve">Se consigna cada decisión metodológica adoptada en común, con indicación de las alternativas evaluadas, de quién sostuvo cada posición y del criterio con que se descartó lo descartado.</w:t>
      </w:r>
    </w:p>
    <w:p w:rsidR="00000000" w:rsidDel="00000000" w:rsidP="00000000" w:rsidRDefault="00000000" w:rsidRPr="00000000" w14:paraId="0000008A">
      <w:pPr>
        <w:rPr/>
      </w:pPr>
      <w:r w:rsidDel="00000000" w:rsidR="00000000" w:rsidRPr="00000000">
        <w:rPr>
          <w:rtl w:val="0"/>
        </w:rPr>
      </w:r>
    </w:p>
    <w:tbl>
      <w:tblPr>
        <w:tblStyle w:val="Table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00"/>
        <w:gridCol w:w="2600"/>
        <w:gridCol w:w="2900"/>
        <w:gridCol w:w="2170"/>
        <w:tblGridChange w:id="0">
          <w:tblGrid>
            <w:gridCol w:w="1400"/>
            <w:gridCol w:w="2600"/>
            <w:gridCol w:w="2900"/>
            <w:gridCol w:w="2170"/>
          </w:tblGrid>
        </w:tblGridChange>
      </w:tblGrid>
      <w:tr>
        <w:trPr>
          <w:cantSplit w:val="0"/>
          <w:tblHeader w:val="1"/>
        </w:trPr>
        <w:tc>
          <w:tcPr>
            <w:shd w:fill="eeeeee" w:val="clear"/>
            <w:tcMar>
              <w:top w:w="70.0" w:type="dxa"/>
              <w:left w:w="90.0" w:type="dxa"/>
              <w:bottom w:w="70.0" w:type="dxa"/>
              <w:right w:w="90.0" w:type="dxa"/>
            </w:tcMar>
          </w:tcPr>
          <w:p w:rsidR="00000000" w:rsidDel="00000000" w:rsidP="00000000" w:rsidRDefault="00000000" w:rsidRPr="00000000" w14:paraId="0000008B">
            <w:pPr>
              <w:rPr/>
            </w:pPr>
            <w:r w:rsidDel="00000000" w:rsidR="00000000" w:rsidRPr="00000000">
              <w:rPr>
                <w:b w:val="1"/>
                <w:bCs w:val="1"/>
                <w:sz w:val="22"/>
                <w:szCs w:val="22"/>
                <w:rtl w:val="0"/>
              </w:rPr>
              <w:t xml:space="preserve">Fecha</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8C">
            <w:pPr>
              <w:rPr/>
            </w:pPr>
            <w:r w:rsidDel="00000000" w:rsidR="00000000" w:rsidRPr="00000000">
              <w:rPr>
                <w:b w:val="1"/>
                <w:bCs w:val="1"/>
                <w:sz w:val="22"/>
                <w:szCs w:val="22"/>
                <w:rtl w:val="0"/>
              </w:rPr>
              <w:t xml:space="preserve">Decisión adoptada</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8D">
            <w:pPr>
              <w:rPr/>
            </w:pPr>
            <w:r w:rsidDel="00000000" w:rsidR="00000000" w:rsidRPr="00000000">
              <w:rPr>
                <w:b w:val="1"/>
                <w:bCs w:val="1"/>
                <w:sz w:val="22"/>
                <w:szCs w:val="22"/>
                <w:rtl w:val="0"/>
              </w:rPr>
              <w:t xml:space="preserve">Alternativas evaluadas y quién las sostuvo</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8E">
            <w:pPr>
              <w:rPr/>
            </w:pPr>
            <w:r w:rsidDel="00000000" w:rsidR="00000000" w:rsidRPr="00000000">
              <w:rPr>
                <w:b w:val="1"/>
                <w:bCs w:val="1"/>
                <w:sz w:val="22"/>
                <w:szCs w:val="22"/>
                <w:rtl w:val="0"/>
              </w:rPr>
              <w:t xml:space="preserve">Criterio de descarte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F">
            <w:pPr>
              <w:rPr/>
            </w:pPr>
            <w:r w:rsidDel="00000000" w:rsidR="00000000" w:rsidRPr="00000000">
              <w:rPr>
                <w:sz w:val="22"/>
                <w:szCs w:val="22"/>
                <w:rtl w:val="0"/>
              </w:rPr>
              <w:t xml:space="preserve">04/09/2026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0">
            <w:pPr>
              <w:rPr/>
            </w:pPr>
            <w:r w:rsidDel="00000000" w:rsidR="00000000" w:rsidRPr="00000000">
              <w:rPr>
                <w:sz w:val="22"/>
                <w:szCs w:val="22"/>
                <w:rtl w:val="0"/>
              </w:rPr>
              <w:t xml:space="preserve">Definir una estrategia metodológica dual para la línea de base de la dificultad diagnóstica: medición empírica controlada sobre entorno virtual (Sánchez) y explicitación de hipótesis inicial de diseño en 70/100 NASA-TLX con diferimiento declarado (Nuñez).</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1">
            <w:pPr>
              <w:rPr/>
            </w:pPr>
            <w:r w:rsidDel="00000000" w:rsidR="00000000" w:rsidRPr="00000000">
              <w:rPr>
                <w:sz w:val="22"/>
                <w:szCs w:val="22"/>
                <w:rtl w:val="0"/>
              </w:rPr>
              <w:t xml:space="preserve">Alternativa A (Sánchez): Exigir mediciones empíricas directas en ambos proyectos antes de la entrega. Alternativa B (Nuñez): Usar encuestas abiertas de opinión en comunidades y foros sobre la percepción del problema.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2">
            <w:pPr>
              <w:rPr/>
            </w:pPr>
            <w:r w:rsidDel="00000000" w:rsidR="00000000" w:rsidRPr="00000000">
              <w:rPr>
                <w:sz w:val="22"/>
                <w:szCs w:val="22"/>
                <w:rtl w:val="0"/>
              </w:rPr>
              <w:t xml:space="preserve">Las encuestas de opinión se descartaron por recoger demanda declarada y no comportamiento ni carga objetiva. Exigir la medición inmediata en el dominio aeroespacial se descartó por la inaccesibilidad temporal a agendas institucionales externas; el diferimiento explícito garantiza la validez sin comprometer datos no obtenidos.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93">
            <w:pPr>
              <w:rPr/>
            </w:pPr>
            <w:r w:rsidDel="00000000" w:rsidR="00000000" w:rsidRPr="00000000">
              <w:rPr>
                <w:sz w:val="22"/>
                <w:szCs w:val="22"/>
                <w:rtl w:val="0"/>
              </w:rPr>
              <w:t xml:space="preserve">04/09/2026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4">
            <w:pPr>
              <w:rPr/>
            </w:pPr>
            <w:r w:rsidDel="00000000" w:rsidR="00000000" w:rsidRPr="00000000">
              <w:rPr>
                <w:sz w:val="22"/>
                <w:szCs w:val="22"/>
                <w:rtl w:val="0"/>
              </w:rPr>
              <w:t xml:space="preserve">Unificar el encuadre sectorial de recursos humanos y costos de desarrollo en el Sector de Software y Servicios Informáticos (SSI) argentino (combinando OPSSI/CESSI y Sysarmy 2026.01), separándolo formalmente del sector del problema de cada proyecto.</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5">
            <w:pPr>
              <w:rPr/>
            </w:pPr>
            <w:r w:rsidDel="00000000" w:rsidR="00000000" w:rsidRPr="00000000">
              <w:rPr>
                <w:sz w:val="22"/>
                <w:szCs w:val="22"/>
                <w:rtl w:val="0"/>
              </w:rPr>
              <w:t xml:space="preserve">Alternativa A (Sánchez): Utilizar de forma exclusiva el parámetro de costo horario obtenido de la entrevista con la referente local (29/08/2026). Alternativa B (Nuñez): Utilizar únicamente las mediciones salariales nacionales e internacionales de las encuestas de industria (Sysarmy / OpenQube).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6">
            <w:pPr>
              <w:rPr/>
            </w:pPr>
            <w:r w:rsidDel="00000000" w:rsidR="00000000" w:rsidRPr="00000000">
              <w:rPr>
                <w:sz w:val="22"/>
                <w:szCs w:val="22"/>
                <w:rtl w:val="0"/>
              </w:rPr>
              <w:t xml:space="preserve">Usar sólo el parámetro local descartaba la ponderación de seniority Senior en IA/Datos requerida por CODI. Usar sólo encuestas nacionales desaprovechaba la evidencia primaria obtenida en la entrevista. Se acordó integrar ambas fuentes para presentar un rango y orden de magnitud representativo tanto local como nacional.</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97">
            <w:pPr>
              <w:rPr/>
            </w:pPr>
            <w:r w:rsidDel="00000000" w:rsidR="00000000" w:rsidRPr="00000000">
              <w:rPr>
                <w:sz w:val="22"/>
                <w:szCs w:val="22"/>
                <w:rtl w:val="0"/>
              </w:rPr>
              <w:t xml:space="preserve">04/09/2026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8">
            <w:pPr>
              <w:rPr/>
            </w:pPr>
            <w:r w:rsidDel="00000000" w:rsidR="00000000" w:rsidRPr="00000000">
              <w:rPr>
                <w:sz w:val="22"/>
                <w:szCs w:val="22"/>
                <w:rtl w:val="0"/>
              </w:rPr>
              <w:t xml:space="preserve">Seleccionar indicadores no paramétricos (mediana y rango intercuartílico) e instrumentos estandarizados de carga cognitiva (NASA-TLX) para la evaluación de la dificultad, descartando el uso de la media aritmética.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9">
            <w:pPr>
              <w:rPr/>
            </w:pPr>
            <w:r w:rsidDel="00000000" w:rsidR="00000000" w:rsidRPr="00000000">
              <w:rPr>
                <w:sz w:val="22"/>
                <w:szCs w:val="22"/>
                <w:rtl w:val="0"/>
              </w:rPr>
              <w:t xml:space="preserve">Alternativa A (Sánchez): Utilizar la media aritmética como métrica central del tiempo de resolución de casos. Alternativa B (Nuñez): Medir la mejora mediante la satisfacción subjetiva general expresada por el usuario.</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A">
            <w:pPr>
              <w:rPr/>
            </w:pPr>
            <w:r w:rsidDel="00000000" w:rsidR="00000000" w:rsidRPr="00000000">
              <w:rPr>
                <w:sz w:val="22"/>
                <w:szCs w:val="22"/>
                <w:rtl w:val="0"/>
              </w:rPr>
              <w:t xml:space="preserve">La media aritmética se descartó debido a la asimetría de los tiempos y la presencia de observaciones censuradas por la derecha (límite de 300 s) que impiden su cálculo matemático exacto. La satisfacción no estandarizada se descartó por falta de rigor, optando por NASA-TLX sustentado en literatura del dominio espacial.</w:t>
            </w:r>
            <w:r w:rsidDel="00000000" w:rsidR="00000000" w:rsidRPr="00000000">
              <w:rPr>
                <w:rtl w:val="0"/>
              </w:rPr>
            </w:r>
          </w:p>
        </w:tc>
      </w:tr>
    </w:tbl>
    <w:p w:rsidR="00000000" w:rsidDel="00000000" w:rsidP="00000000" w:rsidRDefault="00000000" w:rsidRPr="00000000" w14:paraId="0000009B">
      <w:pPr>
        <w:spacing w:after="200" w:before="80" w:lineRule="auto"/>
        <w:rPr/>
      </w:pPr>
      <w:r w:rsidDel="00000000" w:rsidR="00000000" w:rsidRPr="00000000">
        <w:rPr>
          <w:i w:val="1"/>
          <w:iCs w:val="1"/>
          <w:sz w:val="20"/>
          <w:szCs w:val="20"/>
          <w:rtl w:val="0"/>
        </w:rPr>
        <w:t xml:space="preserve">Tabla 5. Decisiones metodológicas adoptadas en común, con atribución nominal. Fuente: elaboración propia.</w:t>
      </w:r>
      <w:r w:rsidDel="00000000" w:rsidR="00000000" w:rsidRPr="00000000">
        <w:rPr>
          <w:rtl w:val="0"/>
        </w:rPr>
      </w:r>
    </w:p>
    <w:p w:rsidR="00000000" w:rsidDel="00000000" w:rsidP="00000000" w:rsidRDefault="00000000" w:rsidRPr="00000000" w14:paraId="0000009C">
      <w:pPr>
        <w:pStyle w:val="Heading1"/>
        <w:spacing w:after="120" w:before="240" w:line="480" w:lineRule="auto"/>
        <w:rPr/>
      </w:pPr>
      <w:r w:rsidDel="00000000" w:rsidR="00000000" w:rsidRPr="00000000">
        <w:rPr>
          <w:rtl w:val="0"/>
        </w:rPr>
        <w:t xml:space="preserve">7 · Declaración de producción común y reutilización</w:t>
      </w:r>
    </w:p>
    <w:p w:rsidR="00000000" w:rsidDel="00000000" w:rsidP="00000000" w:rsidRDefault="00000000" w:rsidRPr="00000000" w14:paraId="0000009D">
      <w:pPr>
        <w:spacing w:line="480" w:lineRule="auto"/>
        <w:ind w:firstLine="567"/>
        <w:jc w:val="both"/>
        <w:rPr/>
      </w:pPr>
      <w:r w:rsidDel="00000000" w:rsidR="00000000" w:rsidRPr="00000000">
        <w:rPr>
          <w:rtl w:val="0"/>
        </w:rPr>
        <w:t xml:space="preserve">Los abajo firmantes declaran que el presente documento constituye producción común del grupo, elaborada de manera conjunta durante la Actividad de Evaluación N.º 1, y que cada integrante lo incorpora al apartado II.5 de su informe individual con declaración de coautoría en el Anexo III.</w:t>
      </w:r>
    </w:p>
    <w:p w:rsidR="00000000" w:rsidDel="00000000" w:rsidP="00000000" w:rsidRDefault="00000000" w:rsidRPr="00000000" w14:paraId="0000009E">
      <w:pPr>
        <w:spacing w:line="480" w:lineRule="auto"/>
        <w:ind w:left="340" w:right="340" w:firstLine="0"/>
        <w:jc w:val="both"/>
        <w:rPr/>
      </w:pPr>
      <w:r w:rsidDel="00000000" w:rsidR="00000000" w:rsidRPr="00000000">
        <w:rPr>
          <w:rtl w:val="0"/>
        </w:rPr>
      </w:r>
    </w:p>
    <w:tbl>
      <w:tblPr>
        <w:tblStyle w:val="Table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200"/>
        <w:gridCol w:w="3270"/>
        <w:tblGridChange w:id="0">
          <w:tblGrid>
            <w:gridCol w:w="3600"/>
            <w:gridCol w:w="2200"/>
            <w:gridCol w:w="3270"/>
          </w:tblGrid>
        </w:tblGridChange>
      </w:tblGrid>
      <w:tr>
        <w:trPr>
          <w:cantSplit w:val="0"/>
          <w:tblHeader w:val="1"/>
        </w:trPr>
        <w:tc>
          <w:tcPr>
            <w:shd w:fill="eeeeee" w:val="clear"/>
            <w:tcMar>
              <w:top w:w="70.0" w:type="dxa"/>
              <w:left w:w="90.0" w:type="dxa"/>
              <w:bottom w:w="70.0" w:type="dxa"/>
              <w:right w:w="90.0" w:type="dxa"/>
            </w:tcMar>
          </w:tcPr>
          <w:p w:rsidR="00000000" w:rsidDel="00000000" w:rsidP="00000000" w:rsidRDefault="00000000" w:rsidRPr="00000000" w14:paraId="0000009F">
            <w:pPr>
              <w:rPr/>
            </w:pPr>
            <w:r w:rsidDel="00000000" w:rsidR="00000000" w:rsidRPr="00000000">
              <w:rPr>
                <w:b w:val="1"/>
                <w:bCs w:val="1"/>
                <w:sz w:val="22"/>
                <w:szCs w:val="22"/>
                <w:rtl w:val="0"/>
              </w:rPr>
              <w:t xml:space="preserve">Integrante</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A0">
            <w:pPr>
              <w:rPr/>
            </w:pPr>
            <w:r w:rsidDel="00000000" w:rsidR="00000000" w:rsidRPr="00000000">
              <w:rPr>
                <w:b w:val="1"/>
                <w:bCs w:val="1"/>
                <w:sz w:val="22"/>
                <w:szCs w:val="22"/>
                <w:rtl w:val="0"/>
              </w:rPr>
              <w:t xml:space="preserve">DNI</w:t>
            </w:r>
            <w:r w:rsidDel="00000000" w:rsidR="00000000" w:rsidRPr="00000000">
              <w:rPr>
                <w:rtl w:val="0"/>
              </w:rPr>
            </w:r>
          </w:p>
        </w:tc>
        <w:tc>
          <w:tcPr>
            <w:shd w:fill="eeeeee" w:val="clear"/>
            <w:tcMar>
              <w:top w:w="70.0" w:type="dxa"/>
              <w:left w:w="90.0" w:type="dxa"/>
              <w:bottom w:w="70.0" w:type="dxa"/>
              <w:right w:w="90.0" w:type="dxa"/>
            </w:tcMar>
          </w:tcPr>
          <w:p w:rsidR="00000000" w:rsidDel="00000000" w:rsidP="00000000" w:rsidRDefault="00000000" w:rsidRPr="00000000" w14:paraId="000000A1">
            <w:pPr>
              <w:rPr/>
            </w:pPr>
            <w:r w:rsidDel="00000000" w:rsidR="00000000" w:rsidRPr="00000000">
              <w:rPr>
                <w:b w:val="1"/>
                <w:bCs w:val="1"/>
                <w:sz w:val="22"/>
                <w:szCs w:val="22"/>
                <w:rtl w:val="0"/>
              </w:rPr>
              <w:t xml:space="preserve">Firma</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2">
            <w:pPr>
              <w:rPr/>
            </w:pPr>
            <w:r w:rsidDel="00000000" w:rsidR="00000000" w:rsidRPr="00000000">
              <w:rPr>
                <w:sz w:val="22"/>
                <w:szCs w:val="22"/>
                <w:rtl w:val="0"/>
              </w:rPr>
              <w:t xml:space="preserve">Sánchez, Joaquín Sebastián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3">
            <w:pPr>
              <w:rPr/>
            </w:pPr>
            <w:r w:rsidDel="00000000" w:rsidR="00000000" w:rsidRPr="00000000">
              <w:rPr>
                <w:sz w:val="22"/>
                <w:szCs w:val="22"/>
                <w:rtl w:val="0"/>
              </w:rPr>
              <w:t xml:space="preserve">45.452.416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4">
            <w:pPr>
              <w:rPr/>
            </w:pPr>
            <w:r w:rsidDel="00000000" w:rsidR="00000000" w:rsidRPr="00000000">
              <w:rPr/>
              <mc:AlternateContent>
                <mc:Choice Requires="wpg">
                  <w:drawing>
                    <wp:inline distB="114300" distT="114300" distL="114300" distR="114300">
                      <wp:extent cx="1962150" cy="749300"/>
                      <wp:effectExtent b="0" l="0" r="0" t="0"/>
                      <wp:docPr id="1" name=""/>
                      <a:graphic>
                        <a:graphicData uri="http://schemas.microsoft.com/office/word/2010/wordprocessingGroup">
                          <wpg:wgp>
                            <wpg:cNvGrpSpPr/>
                            <wpg:grpSpPr>
                              <a:xfrm>
                                <a:off x="2146125" y="2194325"/>
                                <a:ext cx="1962150" cy="749300"/>
                                <a:chOff x="2146125" y="2194325"/>
                                <a:chExt cx="4280475" cy="1637850"/>
                              </a:xfrm>
                            </wpg:grpSpPr>
                            <wps:wsp>
                              <wps:cNvSpPr/>
                              <wps:cNvPr id="2" name="Shape 2"/>
                              <wps:spPr>
                                <a:xfrm>
                                  <a:off x="3642775" y="2934052"/>
                                  <a:ext cx="800575" cy="273225"/>
                                </a:xfrm>
                                <a:custGeom>
                                  <a:rect b="b" l="l" r="r" t="t"/>
                                  <a:pathLst>
                                    <a:path extrusionOk="0" h="10929" w="32023">
                                      <a:moveTo>
                                        <a:pt x="0" y="3145"/>
                                      </a:moveTo>
                                      <a:cubicBezTo>
                                        <a:pt x="1021" y="6209"/>
                                        <a:pt x="2940" y="9729"/>
                                        <a:pt x="6004" y="10750"/>
                                      </a:cubicBezTo>
                                      <a:cubicBezTo>
                                        <a:pt x="8156" y="11467"/>
                                        <a:pt x="10811" y="6350"/>
                                        <a:pt x="9207" y="4746"/>
                                      </a:cubicBezTo>
                                      <a:cubicBezTo>
                                        <a:pt x="7924" y="3463"/>
                                        <a:pt x="6281" y="2599"/>
                                        <a:pt x="4804" y="1544"/>
                                      </a:cubicBezTo>
                                      <a:cubicBezTo>
                                        <a:pt x="3977" y="953"/>
                                        <a:pt x="2002" y="-673"/>
                                        <a:pt x="2002" y="343"/>
                                      </a:cubicBezTo>
                                      <a:cubicBezTo>
                                        <a:pt x="2002" y="2543"/>
                                        <a:pt x="6438" y="960"/>
                                        <a:pt x="8406" y="1944"/>
                                      </a:cubicBezTo>
                                      <a:cubicBezTo>
                                        <a:pt x="11075" y="3278"/>
                                        <a:pt x="9425" y="9950"/>
                                        <a:pt x="12409" y="9950"/>
                                      </a:cubicBezTo>
                                      <a:cubicBezTo>
                                        <a:pt x="15335" y="9950"/>
                                        <a:pt x="13295" y="3031"/>
                                        <a:pt x="16012" y="1944"/>
                                      </a:cubicBezTo>
                                      <a:cubicBezTo>
                                        <a:pt x="18663" y="883"/>
                                        <a:pt x="21539" y="4594"/>
                                        <a:pt x="22816" y="7148"/>
                                      </a:cubicBezTo>
                                      <a:cubicBezTo>
                                        <a:pt x="23174" y="7864"/>
                                        <a:pt x="22015" y="9550"/>
                                        <a:pt x="22816" y="9550"/>
                                      </a:cubicBezTo>
                                      <a:cubicBezTo>
                                        <a:pt x="25348" y="9550"/>
                                        <a:pt x="22954" y="3477"/>
                                        <a:pt x="25218" y="2344"/>
                                      </a:cubicBezTo>
                                      <a:cubicBezTo>
                                        <a:pt x="28173" y="866"/>
                                        <a:pt x="30547" y="6594"/>
                                        <a:pt x="32023" y="955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4433350" y="2455409"/>
                                  <a:ext cx="410275" cy="717375"/>
                                </a:xfrm>
                                <a:custGeom>
                                  <a:rect b="b" l="l" r="r" t="t"/>
                                  <a:pathLst>
                                    <a:path extrusionOk="0" h="28695" w="16411">
                                      <a:moveTo>
                                        <a:pt x="0" y="28696"/>
                                      </a:moveTo>
                                      <a:cubicBezTo>
                                        <a:pt x="5528" y="25931"/>
                                        <a:pt x="6030" y="16646"/>
                                        <a:pt x="4403" y="10683"/>
                                      </a:cubicBezTo>
                                      <a:cubicBezTo>
                                        <a:pt x="3837" y="8607"/>
                                        <a:pt x="3955" y="6400"/>
                                        <a:pt x="3602" y="4278"/>
                                      </a:cubicBezTo>
                                      <a:cubicBezTo>
                                        <a:pt x="3425" y="3217"/>
                                        <a:pt x="3202" y="0"/>
                                        <a:pt x="3202" y="1076"/>
                                      </a:cubicBezTo>
                                      <a:cubicBezTo>
                                        <a:pt x="3202" y="9786"/>
                                        <a:pt x="773" y="19847"/>
                                        <a:pt x="5604" y="27094"/>
                                      </a:cubicBezTo>
                                      <a:cubicBezTo>
                                        <a:pt x="6877" y="29004"/>
                                        <a:pt x="11208" y="25387"/>
                                        <a:pt x="11208" y="23092"/>
                                      </a:cubicBezTo>
                                      <a:cubicBezTo>
                                        <a:pt x="11208" y="22280"/>
                                        <a:pt x="11381" y="20116"/>
                                        <a:pt x="10807" y="20690"/>
                                      </a:cubicBezTo>
                                      <a:cubicBezTo>
                                        <a:pt x="8504" y="22993"/>
                                        <a:pt x="13154" y="28696"/>
                                        <a:pt x="16411" y="2869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4823625" y="2929974"/>
                                  <a:ext cx="780550" cy="447075"/>
                                </a:xfrm>
                                <a:custGeom>
                                  <a:rect b="b" l="l" r="r" t="t"/>
                                  <a:pathLst>
                                    <a:path extrusionOk="0" h="17883" w="31222">
                                      <a:moveTo>
                                        <a:pt x="0" y="8912"/>
                                      </a:moveTo>
                                      <a:cubicBezTo>
                                        <a:pt x="1631" y="7607"/>
                                        <a:pt x="1325" y="1831"/>
                                        <a:pt x="2802" y="3308"/>
                                      </a:cubicBezTo>
                                      <a:cubicBezTo>
                                        <a:pt x="5191" y="5697"/>
                                        <a:pt x="10934" y="7719"/>
                                        <a:pt x="12809" y="4909"/>
                                      </a:cubicBezTo>
                                      <a:cubicBezTo>
                                        <a:pt x="14847" y="1856"/>
                                        <a:pt x="4041" y="-1977"/>
                                        <a:pt x="2401" y="1307"/>
                                      </a:cubicBezTo>
                                      <a:cubicBezTo>
                                        <a:pt x="969" y="4174"/>
                                        <a:pt x="10085" y="-857"/>
                                        <a:pt x="12008" y="1707"/>
                                      </a:cubicBezTo>
                                      <a:cubicBezTo>
                                        <a:pt x="12825" y="2796"/>
                                        <a:pt x="11847" y="4747"/>
                                        <a:pt x="12809" y="5710"/>
                                      </a:cubicBezTo>
                                      <a:cubicBezTo>
                                        <a:pt x="14035" y="6937"/>
                                        <a:pt x="17272" y="5409"/>
                                        <a:pt x="17612" y="3708"/>
                                      </a:cubicBezTo>
                                      <a:cubicBezTo>
                                        <a:pt x="17690" y="3316"/>
                                        <a:pt x="17612" y="2508"/>
                                        <a:pt x="17612" y="2908"/>
                                      </a:cubicBezTo>
                                      <a:cubicBezTo>
                                        <a:pt x="17612" y="4642"/>
                                        <a:pt x="16650" y="6668"/>
                                        <a:pt x="17612" y="8111"/>
                                      </a:cubicBezTo>
                                      <a:cubicBezTo>
                                        <a:pt x="18385" y="9270"/>
                                        <a:pt x="20369" y="9934"/>
                                        <a:pt x="21615" y="9312"/>
                                      </a:cubicBezTo>
                                      <a:cubicBezTo>
                                        <a:pt x="23303" y="8469"/>
                                        <a:pt x="23595" y="5182"/>
                                        <a:pt x="22416" y="3708"/>
                                      </a:cubicBezTo>
                                      <a:cubicBezTo>
                                        <a:pt x="21765" y="2894"/>
                                        <a:pt x="19547" y="775"/>
                                        <a:pt x="20014" y="1707"/>
                                      </a:cubicBezTo>
                                      <a:cubicBezTo>
                                        <a:pt x="22454" y="6574"/>
                                        <a:pt x="28667" y="13468"/>
                                        <a:pt x="24817" y="17318"/>
                                      </a:cubicBezTo>
                                      <a:cubicBezTo>
                                        <a:pt x="22985" y="19150"/>
                                        <a:pt x="17593" y="15372"/>
                                        <a:pt x="18413" y="12915"/>
                                      </a:cubicBezTo>
                                      <a:cubicBezTo>
                                        <a:pt x="19339" y="10139"/>
                                        <a:pt x="22076" y="8265"/>
                                        <a:pt x="24417" y="6510"/>
                                      </a:cubicBezTo>
                                      <a:cubicBezTo>
                                        <a:pt x="25424" y="5755"/>
                                        <a:pt x="25159" y="3308"/>
                                        <a:pt x="26418" y="3308"/>
                                      </a:cubicBezTo>
                                      <a:cubicBezTo>
                                        <a:pt x="28489" y="3308"/>
                                        <a:pt x="25949" y="9312"/>
                                        <a:pt x="28020" y="9312"/>
                                      </a:cubicBezTo>
                                      <a:cubicBezTo>
                                        <a:pt x="30422" y="9312"/>
                                        <a:pt x="30298" y="1346"/>
                                        <a:pt x="28020" y="2107"/>
                                      </a:cubicBezTo>
                                      <a:cubicBezTo>
                                        <a:pt x="26195" y="2717"/>
                                        <a:pt x="29396" y="7519"/>
                                        <a:pt x="31222" y="691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4393300" y="2652425"/>
                                  <a:ext cx="320250" cy="20000"/>
                                </a:xfrm>
                                <a:custGeom>
                                  <a:rect b="b" l="l" r="r" t="t"/>
                                  <a:pathLst>
                                    <a:path extrusionOk="0" h="800" w="12810">
                                      <a:moveTo>
                                        <a:pt x="0" y="800"/>
                                      </a:moveTo>
                                      <a:cubicBezTo>
                                        <a:pt x="4278" y="800"/>
                                        <a:pt x="8532" y="0"/>
                                        <a:pt x="12810"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4693525" y="2872575"/>
                                  <a:ext cx="30025" cy="40025"/>
                                </a:xfrm>
                                <a:custGeom>
                                  <a:rect b="b" l="l" r="r" t="t"/>
                                  <a:pathLst>
                                    <a:path extrusionOk="0" h="1601" w="1201">
                                      <a:moveTo>
                                        <a:pt x="0" y="0"/>
                                      </a:moveTo>
                                      <a:cubicBezTo>
                                        <a:pt x="601" y="801"/>
                                        <a:pt x="601" y="801"/>
                                        <a:pt x="1201" y="160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2148641" y="2664495"/>
                                  <a:ext cx="4274750" cy="1163575"/>
                                </a:xfrm>
                                <a:custGeom>
                                  <a:rect b="b" l="l" r="r" t="t"/>
                                  <a:pathLst>
                                    <a:path extrusionOk="0" h="46543" w="170990">
                                      <a:moveTo>
                                        <a:pt x="137420" y="18330"/>
                                      </a:moveTo>
                                      <a:cubicBezTo>
                                        <a:pt x="147850" y="15485"/>
                                        <a:pt x="157873" y="10851"/>
                                        <a:pt x="167041" y="5121"/>
                                      </a:cubicBezTo>
                                      <a:cubicBezTo>
                                        <a:pt x="168563" y="4170"/>
                                        <a:pt x="171913" y="2387"/>
                                        <a:pt x="170644" y="1118"/>
                                      </a:cubicBezTo>
                                      <a:cubicBezTo>
                                        <a:pt x="168472" y="-1054"/>
                                        <a:pt x="164509" y="718"/>
                                        <a:pt x="161437" y="718"/>
                                      </a:cubicBezTo>
                                      <a:cubicBezTo>
                                        <a:pt x="150115" y="718"/>
                                        <a:pt x="138699" y="2411"/>
                                        <a:pt x="127813" y="5521"/>
                                      </a:cubicBezTo>
                                      <a:cubicBezTo>
                                        <a:pt x="108580" y="11016"/>
                                        <a:pt x="89262" y="16405"/>
                                        <a:pt x="70573" y="23534"/>
                                      </a:cubicBezTo>
                                      <a:cubicBezTo>
                                        <a:pt x="56636" y="28850"/>
                                        <a:pt x="43046" y="35089"/>
                                        <a:pt x="28943" y="39946"/>
                                      </a:cubicBezTo>
                                      <a:cubicBezTo>
                                        <a:pt x="20404" y="42887"/>
                                        <a:pt x="11469" y="44707"/>
                                        <a:pt x="2524" y="45950"/>
                                      </a:cubicBezTo>
                                      <a:cubicBezTo>
                                        <a:pt x="1335" y="46115"/>
                                        <a:pt x="293" y="47138"/>
                                        <a:pt x="123" y="45950"/>
                                      </a:cubicBezTo>
                                      <a:cubicBezTo>
                                        <a:pt x="-371" y="42493"/>
                                        <a:pt x="4822" y="40682"/>
                                        <a:pt x="7728" y="38745"/>
                                      </a:cubicBezTo>
                                      <a:cubicBezTo>
                                        <a:pt x="14492" y="34236"/>
                                        <a:pt x="22293" y="31246"/>
                                        <a:pt x="30144" y="29138"/>
                                      </a:cubicBezTo>
                                      <a:cubicBezTo>
                                        <a:pt x="59445" y="21270"/>
                                        <a:pt x="90504" y="22894"/>
                                        <a:pt x="120608" y="19131"/>
                                      </a:cubicBezTo>
                                      <a:cubicBezTo>
                                        <a:pt x="132489" y="17646"/>
                                        <a:pt x="144503" y="15214"/>
                                        <a:pt x="155433" y="10324"/>
                                      </a:cubicBezTo>
                                      <a:cubicBezTo>
                                        <a:pt x="156728" y="9745"/>
                                        <a:pt x="159638" y="8525"/>
                                        <a:pt x="158635" y="7522"/>
                                      </a:cubicBezTo>
                                      <a:cubicBezTo>
                                        <a:pt x="157499" y="6386"/>
                                        <a:pt x="155437" y="7180"/>
                                        <a:pt x="153832" y="7122"/>
                                      </a:cubicBezTo>
                                      <a:cubicBezTo>
                                        <a:pt x="144223" y="6773"/>
                                        <a:pt x="144232" y="6505"/>
                                        <a:pt x="134618" y="6322"/>
                                      </a:cubicBezTo>
                                      <a:cubicBezTo>
                                        <a:pt x="123212" y="6105"/>
                                        <a:pt x="123210" y="6322"/>
                                        <a:pt x="111802" y="6322"/>
                                      </a:cubicBezTo>
                                      <a:cubicBezTo>
                                        <a:pt x="86584" y="6322"/>
                                        <a:pt x="61366" y="5921"/>
                                        <a:pt x="36148" y="592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2612050" y="2195425"/>
                                  <a:ext cx="830575" cy="1104925"/>
                                </a:xfrm>
                                <a:custGeom>
                                  <a:rect b="b" l="l" r="r" t="t"/>
                                  <a:pathLst>
                                    <a:path extrusionOk="0" h="44197" w="33223">
                                      <a:moveTo>
                                        <a:pt x="0" y="31489"/>
                                      </a:moveTo>
                                      <a:cubicBezTo>
                                        <a:pt x="920" y="35173"/>
                                        <a:pt x="917" y="39612"/>
                                        <a:pt x="3602" y="42297"/>
                                      </a:cubicBezTo>
                                      <a:cubicBezTo>
                                        <a:pt x="5963" y="44658"/>
                                        <a:pt x="11002" y="44783"/>
                                        <a:pt x="13609" y="42697"/>
                                      </a:cubicBezTo>
                                      <a:cubicBezTo>
                                        <a:pt x="24712" y="33814"/>
                                        <a:pt x="7965" y="10328"/>
                                        <a:pt x="18013" y="267"/>
                                      </a:cubicBezTo>
                                      <a:cubicBezTo>
                                        <a:pt x="18546" y="-267"/>
                                        <a:pt x="19375" y="1152"/>
                                        <a:pt x="19614" y="1868"/>
                                      </a:cubicBezTo>
                                      <a:cubicBezTo>
                                        <a:pt x="20635" y="4930"/>
                                        <a:pt x="20238" y="8300"/>
                                        <a:pt x="20815" y="11475"/>
                                      </a:cubicBezTo>
                                      <a:cubicBezTo>
                                        <a:pt x="22105" y="18575"/>
                                        <a:pt x="25033" y="25320"/>
                                        <a:pt x="28020" y="31889"/>
                                      </a:cubicBezTo>
                                      <a:cubicBezTo>
                                        <a:pt x="29008" y="34062"/>
                                        <a:pt x="29087" y="39361"/>
                                        <a:pt x="31222" y="38294"/>
                                      </a:cubicBezTo>
                                      <a:cubicBezTo>
                                        <a:pt x="34810" y="36500"/>
                                        <a:pt x="32023" y="30297"/>
                                        <a:pt x="32023" y="26285"/>
                                      </a:cubicBezTo>
                                      <a:cubicBezTo>
                                        <a:pt x="32023" y="17736"/>
                                        <a:pt x="33223" y="9216"/>
                                        <a:pt x="33223" y="66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2854236" y="2202100"/>
                                  <a:ext cx="848575" cy="1021250"/>
                                </a:xfrm>
                                <a:custGeom>
                                  <a:rect b="b" l="l" r="r" t="t"/>
                                  <a:pathLst>
                                    <a:path extrusionOk="0" h="40850" w="33943">
                                      <a:moveTo>
                                        <a:pt x="23536" y="0"/>
                                      </a:moveTo>
                                      <a:cubicBezTo>
                                        <a:pt x="15209" y="5552"/>
                                        <a:pt x="-5556" y="13338"/>
                                        <a:pt x="1521" y="20415"/>
                                      </a:cubicBezTo>
                                      <a:cubicBezTo>
                                        <a:pt x="5962" y="24856"/>
                                        <a:pt x="13716" y="23529"/>
                                        <a:pt x="19934" y="24417"/>
                                      </a:cubicBezTo>
                                      <a:cubicBezTo>
                                        <a:pt x="21696" y="24669"/>
                                        <a:pt x="24575" y="23929"/>
                                        <a:pt x="25138" y="25618"/>
                                      </a:cubicBezTo>
                                      <a:cubicBezTo>
                                        <a:pt x="25797" y="27596"/>
                                        <a:pt x="22269" y="28847"/>
                                        <a:pt x="20334" y="29621"/>
                                      </a:cubicBezTo>
                                      <a:cubicBezTo>
                                        <a:pt x="15458" y="31570"/>
                                        <a:pt x="10777" y="34043"/>
                                        <a:pt x="6324" y="36826"/>
                                      </a:cubicBezTo>
                                      <a:cubicBezTo>
                                        <a:pt x="5204" y="37526"/>
                                        <a:pt x="2789" y="38529"/>
                                        <a:pt x="3522" y="39628"/>
                                      </a:cubicBezTo>
                                      <a:cubicBezTo>
                                        <a:pt x="5153" y="42072"/>
                                        <a:pt x="9503" y="40035"/>
                                        <a:pt x="12328" y="39228"/>
                                      </a:cubicBezTo>
                                      <a:cubicBezTo>
                                        <a:pt x="19486" y="37184"/>
                                        <a:pt x="27285" y="36950"/>
                                        <a:pt x="33944" y="3362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962150" cy="7493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62150" cy="749300"/>
                              </a:xfrm>
                              <a:prstGeom prst="rect"/>
                              <a:ln/>
                            </pic:spPr>
                          </pic:pic>
                        </a:graphicData>
                      </a:graphic>
                    </wp:inline>
                  </w:drawing>
                </mc:Fallback>
              </mc:AlternateConten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5">
            <w:pPr>
              <w:rPr/>
            </w:pPr>
            <w:r w:rsidDel="00000000" w:rsidR="00000000" w:rsidRPr="00000000">
              <w:rPr>
                <w:sz w:val="22"/>
                <w:szCs w:val="22"/>
                <w:rtl w:val="0"/>
              </w:rPr>
              <w:t xml:space="preserve">Nuñez, Santiago Agustín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6">
            <w:pPr>
              <w:rPr/>
            </w:pPr>
            <w:r w:rsidDel="00000000" w:rsidR="00000000" w:rsidRPr="00000000">
              <w:rPr>
                <w:sz w:val="22"/>
                <w:szCs w:val="22"/>
                <w:rtl w:val="0"/>
              </w:rPr>
              <w:t xml:space="preserve">44.952.958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7">
            <w:pPr>
              <w:rPr/>
            </w:pPr>
            <w:r w:rsidDel="00000000" w:rsidR="00000000" w:rsidRPr="00000000">
              <w:rPr/>
              <mc:AlternateContent>
                <mc:Choice Requires="wpg">
                  <w:drawing>
                    <wp:inline distB="114300" distT="114300" distL="114300" distR="114300">
                      <wp:extent cx="1925003" cy="704850"/>
                      <wp:effectExtent b="0" l="0" r="0" t="0"/>
                      <wp:docPr id="2" name=""/>
                      <a:graphic>
                        <a:graphicData uri="http://schemas.microsoft.com/office/word/2010/wordprocessingShape">
                          <wps:wsp>
                            <wps:cNvSpPr/>
                            <wps:cNvPr id="10" name="Shape 10"/>
                            <wps:spPr>
                              <a:xfrm>
                                <a:off x="1402875" y="527209"/>
                                <a:ext cx="1700500" cy="1734175"/>
                              </a:xfrm>
                              <a:custGeom>
                                <a:rect b="b" l="l" r="r" t="t"/>
                                <a:pathLst>
                                  <a:path extrusionOk="0" h="69367" w="68020">
                                    <a:moveTo>
                                      <a:pt x="0" y="40305"/>
                                    </a:moveTo>
                                    <a:cubicBezTo>
                                      <a:pt x="6417" y="33888"/>
                                      <a:pt x="6080" y="23162"/>
                                      <a:pt x="8120" y="14319"/>
                                    </a:cubicBezTo>
                                    <a:cubicBezTo>
                                      <a:pt x="9094" y="10099"/>
                                      <a:pt x="10057" y="5199"/>
                                      <a:pt x="8120" y="1325"/>
                                    </a:cubicBezTo>
                                    <a:cubicBezTo>
                                      <a:pt x="7863" y="811"/>
                                      <a:pt x="7435" y="-106"/>
                                      <a:pt x="6902" y="107"/>
                                    </a:cubicBezTo>
                                    <a:cubicBezTo>
                                      <a:pt x="1373" y="2319"/>
                                      <a:pt x="5080" y="12303"/>
                                      <a:pt x="6902" y="17973"/>
                                    </a:cubicBezTo>
                                    <a:cubicBezTo>
                                      <a:pt x="10674" y="29711"/>
                                      <a:pt x="12805" y="42055"/>
                                      <a:pt x="17865" y="53298"/>
                                    </a:cubicBezTo>
                                    <a:cubicBezTo>
                                      <a:pt x="19838" y="57681"/>
                                      <a:pt x="24061" y="60920"/>
                                      <a:pt x="25580" y="65480"/>
                                    </a:cubicBezTo>
                                    <a:cubicBezTo>
                                      <a:pt x="26156" y="67207"/>
                                      <a:pt x="23081" y="70071"/>
                                      <a:pt x="21520" y="69134"/>
                                    </a:cubicBezTo>
                                    <a:cubicBezTo>
                                      <a:pt x="15860" y="65738"/>
                                      <a:pt x="10094" y="57936"/>
                                      <a:pt x="12181" y="51674"/>
                                    </a:cubicBezTo>
                                    <a:cubicBezTo>
                                      <a:pt x="14997" y="43226"/>
                                      <a:pt x="30553" y="32252"/>
                                      <a:pt x="23144" y="27312"/>
                                    </a:cubicBezTo>
                                    <a:cubicBezTo>
                                      <a:pt x="22236" y="26707"/>
                                      <a:pt x="22308" y="29557"/>
                                      <a:pt x="22738" y="30560"/>
                                    </a:cubicBezTo>
                                    <a:cubicBezTo>
                                      <a:pt x="24457" y="34572"/>
                                      <a:pt x="30095" y="38776"/>
                                      <a:pt x="34107" y="37057"/>
                                    </a:cubicBezTo>
                                    <a:cubicBezTo>
                                      <a:pt x="39089" y="34922"/>
                                      <a:pt x="37608" y="25522"/>
                                      <a:pt x="34919" y="20815"/>
                                    </a:cubicBezTo>
                                    <a:cubicBezTo>
                                      <a:pt x="34435" y="19968"/>
                                      <a:pt x="33024" y="18379"/>
                                      <a:pt x="32483" y="19191"/>
                                    </a:cubicBezTo>
                                    <a:cubicBezTo>
                                      <a:pt x="30301" y="22465"/>
                                      <a:pt x="33978" y="28667"/>
                                      <a:pt x="37761" y="29748"/>
                                    </a:cubicBezTo>
                                    <a:cubicBezTo>
                                      <a:pt x="39819" y="30336"/>
                                      <a:pt x="42339" y="29231"/>
                                      <a:pt x="43852" y="27718"/>
                                    </a:cubicBezTo>
                                    <a:cubicBezTo>
                                      <a:pt x="46833" y="24737"/>
                                      <a:pt x="48984" y="16697"/>
                                      <a:pt x="45070" y="15131"/>
                                    </a:cubicBezTo>
                                    <a:cubicBezTo>
                                      <a:pt x="42112" y="13948"/>
                                      <a:pt x="40788" y="22217"/>
                                      <a:pt x="43040" y="24470"/>
                                    </a:cubicBezTo>
                                    <a:cubicBezTo>
                                      <a:pt x="45226" y="26657"/>
                                      <a:pt x="49530" y="23142"/>
                                      <a:pt x="51567" y="20815"/>
                                    </a:cubicBezTo>
                                    <a:cubicBezTo>
                                      <a:pt x="52408" y="19854"/>
                                      <a:pt x="54500" y="16664"/>
                                      <a:pt x="53597" y="17567"/>
                                    </a:cubicBezTo>
                                    <a:cubicBezTo>
                                      <a:pt x="50236" y="20928"/>
                                      <a:pt x="51169" y="26891"/>
                                      <a:pt x="48724" y="30966"/>
                                    </a:cubicBezTo>
                                    <a:cubicBezTo>
                                      <a:pt x="45267" y="36728"/>
                                      <a:pt x="37160" y="37971"/>
                                      <a:pt x="30859" y="40305"/>
                                    </a:cubicBezTo>
                                    <a:cubicBezTo>
                                      <a:pt x="25804" y="42177"/>
                                      <a:pt x="21089" y="44967"/>
                                      <a:pt x="16647" y="48020"/>
                                    </a:cubicBezTo>
                                    <a:cubicBezTo>
                                      <a:pt x="15151" y="49049"/>
                                      <a:pt x="12525" y="52218"/>
                                      <a:pt x="14211" y="52892"/>
                                    </a:cubicBezTo>
                                    <a:cubicBezTo>
                                      <a:pt x="19831" y="55140"/>
                                      <a:pt x="25221" y="47816"/>
                                      <a:pt x="30453" y="44772"/>
                                    </a:cubicBezTo>
                                    <a:cubicBezTo>
                                      <a:pt x="38960" y="39822"/>
                                      <a:pt x="47977" y="35535"/>
                                      <a:pt x="55627" y="29342"/>
                                    </a:cubicBezTo>
                                    <a:cubicBezTo>
                                      <a:pt x="59793" y="25970"/>
                                      <a:pt x="63435" y="21979"/>
                                      <a:pt x="66996" y="17973"/>
                                    </a:cubicBezTo>
                                    <a:cubicBezTo>
                                      <a:pt x="67250" y="17687"/>
                                      <a:pt x="68020" y="16843"/>
                                      <a:pt x="67808" y="1716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925003" cy="70485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925003" cy="70485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A8">
      <w:pPr>
        <w:rPr>
          <w:b w:val="1"/>
          <w:bCs w:val="1"/>
          <w:color w:val="000000"/>
        </w:rPr>
      </w:pPr>
      <w:r w:rsidDel="00000000" w:rsidR="00000000" w:rsidRPr="00000000">
        <w:rPr>
          <w:rtl w:val="0"/>
        </w:rPr>
      </w:r>
    </w:p>
    <w:p w:rsidR="00000000" w:rsidDel="00000000" w:rsidP="00000000" w:rsidRDefault="00000000" w:rsidRPr="00000000" w14:paraId="000000A9">
      <w:pPr>
        <w:pStyle w:val="Heading2"/>
        <w:spacing w:after="120" w:before="240" w:line="480" w:lineRule="auto"/>
        <w:rPr/>
      </w:pPr>
      <w:r w:rsidDel="00000000" w:rsidR="00000000" w:rsidRPr="00000000">
        <w:rPr>
          <w:rtl w:val="0"/>
        </w:rPr>
      </w:r>
    </w:p>
    <w:p w:rsidR="00000000" w:rsidDel="00000000" w:rsidP="00000000" w:rsidRDefault="00000000" w:rsidRPr="00000000" w14:paraId="000000AA">
      <w:pPr>
        <w:pStyle w:val="Heading2"/>
        <w:spacing w:after="120" w:before="240" w:line="480" w:lineRule="auto"/>
        <w:rPr/>
      </w:pPr>
      <w:r w:rsidDel="00000000" w:rsidR="00000000" w:rsidRPr="00000000">
        <w:rPr>
          <w:rtl w:val="0"/>
        </w:rPr>
        <w:t xml:space="preserve">Bibliografía</w:t>
      </w:r>
    </w:p>
    <w:p w:rsidR="00000000" w:rsidDel="00000000" w:rsidP="00000000" w:rsidRDefault="00000000" w:rsidRPr="00000000" w14:paraId="000000AB">
      <w:pPr>
        <w:spacing w:line="480" w:lineRule="auto"/>
        <w:jc w:val="both"/>
        <w:rPr/>
      </w:pPr>
      <w:r w:rsidDel="00000000" w:rsidR="00000000" w:rsidRPr="00000000">
        <w:rPr>
          <w:rtl w:val="0"/>
        </w:rPr>
        <w:t xml:space="preserve">Se consignan todas las fuentes citadas en el presente documento, en normas APA. Cada integrante las replica en la bibliografía de su informe individual.</w:t>
      </w:r>
    </w:p>
    <w:p w:rsidR="00000000" w:rsidDel="00000000" w:rsidP="00000000" w:rsidRDefault="00000000" w:rsidRPr="00000000" w14:paraId="000000AC">
      <w:pPr>
        <w:spacing w:line="480" w:lineRule="auto"/>
        <w:ind w:left="0" w:firstLine="0"/>
        <w:rPr/>
      </w:pPr>
      <w:r w:rsidDel="00000000" w:rsidR="00000000" w:rsidRPr="00000000">
        <w:rPr>
          <w:rtl w:val="0"/>
        </w:rPr>
        <w:t xml:space="preserve">Ley N.º 27.506 de Promoción de la Economía del Conocimiento. (2019). Boletín Oficial de la República Argentina.</w:t>
      </w:r>
    </w:p>
    <w:p w:rsidR="00000000" w:rsidDel="00000000" w:rsidP="00000000" w:rsidRDefault="00000000" w:rsidRPr="00000000" w14:paraId="000000AD">
      <w:pPr>
        <w:spacing w:line="480" w:lineRule="auto"/>
        <w:ind w:left="0" w:firstLine="0"/>
        <w:rPr/>
      </w:pPr>
      <w:r w:rsidDel="00000000" w:rsidR="00000000" w:rsidRPr="00000000">
        <w:rPr>
          <w:rtl w:val="0"/>
        </w:rPr>
        <w:t xml:space="preserve">National Aeronautics and Space Administration. (s. f.). NASA Task Load Index (NASA-TLX). Human Systems Integration Division. </w:t>
      </w:r>
      <w:hyperlink r:id="rId8">
        <w:r w:rsidDel="00000000" w:rsidR="00000000" w:rsidRPr="00000000">
          <w:rPr>
            <w:color w:val="1155cc"/>
            <w:u w:val="single"/>
            <w:rtl w:val="0"/>
          </w:rPr>
          <w:t xml:space="preserve">https://www.nasa.gov/human-systems-integration-division/nasa-task-load-index-tlx/</w:t>
        </w:r>
      </w:hyperlink>
      <w:r w:rsidDel="00000000" w:rsidR="00000000" w:rsidRPr="00000000">
        <w:rPr>
          <w:rtl w:val="0"/>
        </w:rPr>
      </w:r>
    </w:p>
    <w:p w:rsidR="00000000" w:rsidDel="00000000" w:rsidP="00000000" w:rsidRDefault="00000000" w:rsidRPr="00000000" w14:paraId="000000AE">
      <w:pPr>
        <w:spacing w:line="480" w:lineRule="auto"/>
        <w:ind w:left="0" w:firstLine="0"/>
        <w:jc w:val="both"/>
        <w:rPr/>
      </w:pPr>
      <w:r w:rsidDel="00000000" w:rsidR="00000000" w:rsidRPr="00000000">
        <w:rPr>
          <w:rtl w:val="0"/>
        </w:rPr>
        <w:t xml:space="preserve">Cámara de la Industria Argentina del Software. (2025, agosto). Reporte de los    principales indicadores de la industria del Software con foco en talento     (julio 2025). CESSI.  </w:t>
      </w:r>
      <w:hyperlink r:id="rId9">
        <w:r w:rsidDel="00000000" w:rsidR="00000000" w:rsidRPr="00000000">
          <w:rPr>
            <w:color w:val="1155cc"/>
            <w:u w:val="single"/>
            <w:rtl w:val="0"/>
          </w:rPr>
          <w:t xml:space="preserve">https://cessi.org.ar/wp-content/uploads/2025/08/CESSI-OPSSI-Reporte-de-los-principales-indicadores-de-la-industria-del-Software-con-Foco-en-Talento_Julio-2025.pdf</w:t>
        </w:r>
      </w:hyperlink>
      <w:r w:rsidDel="00000000" w:rsidR="00000000" w:rsidRPr="00000000">
        <w:rPr>
          <w:rtl w:val="0"/>
        </w:rPr>
      </w:r>
    </w:p>
    <w:p w:rsidR="00000000" w:rsidDel="00000000" w:rsidP="00000000" w:rsidRDefault="00000000" w:rsidRPr="00000000" w14:paraId="000000AF">
      <w:pPr>
        <w:spacing w:line="480" w:lineRule="auto"/>
        <w:ind w:left="0" w:firstLine="0"/>
        <w:jc w:val="both"/>
        <w:rPr/>
      </w:pPr>
      <w:r w:rsidDel="00000000" w:rsidR="00000000" w:rsidRPr="00000000">
        <w:rPr>
          <w:rtl w:val="0"/>
        </w:rPr>
        <w:t xml:space="preserve">Cámara de la Industria Argentina del Software. (s. f.). OPSSI: Observatorio     Permanente de la Industria del Software y Servicios Informáticos.     </w:t>
      </w:r>
    </w:p>
    <w:p w:rsidR="00000000" w:rsidDel="00000000" w:rsidP="00000000" w:rsidRDefault="00000000" w:rsidRPr="00000000" w14:paraId="000000B0">
      <w:pPr>
        <w:spacing w:line="480" w:lineRule="auto"/>
        <w:jc w:val="both"/>
        <w:rPr/>
      </w:pPr>
      <w:r w:rsidDel="00000000" w:rsidR="00000000" w:rsidRPr="00000000">
        <w:rPr>
          <w:rtl w:val="0"/>
        </w:rPr>
        <w:t xml:space="preserve">Recuperado el 3 de septiembre de 2026, de</w:t>
      </w:r>
      <w:r w:rsidDel="00000000" w:rsidR="00000000" w:rsidRPr="00000000">
        <w:rPr>
          <w:color w:val="1155cc"/>
          <w:u w:val="single"/>
          <w:rtl w:val="0"/>
        </w:rPr>
        <w:t xml:space="preserve"> </w:t>
      </w:r>
      <w:hyperlink r:id="rId10">
        <w:r w:rsidDel="00000000" w:rsidR="00000000" w:rsidRPr="00000000">
          <w:rPr>
            <w:color w:val="1155cc"/>
            <w:u w:val="single"/>
            <w:rtl w:val="0"/>
          </w:rPr>
          <w:t xml:space="preserve">https://cessi.org.ar/opssi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1">
      <w:pPr>
        <w:spacing w:line="480" w:lineRule="auto"/>
        <w:ind w:left="0" w:firstLine="0"/>
        <w:rPr/>
      </w:pPr>
      <w:r w:rsidDel="00000000" w:rsidR="00000000" w:rsidRPr="00000000">
        <w:rPr>
          <w:rtl w:val="0"/>
        </w:rPr>
        <w:t xml:space="preserve">Congreso de la Nación Argentina. (2019). Ley N.º 27.506: Régimen de Promoción     de la Economía del Conocimiento (con las modificaciones introducidas por     la Ley N.º 27.570, 2020). Boletín Oficial de la República Argentina.     </w:t>
      </w:r>
      <w:hyperlink r:id="rId11">
        <w:r w:rsidDel="00000000" w:rsidR="00000000" w:rsidRPr="00000000">
          <w:rPr>
            <w:color w:val="1155cc"/>
            <w:u w:val="single"/>
            <w:rtl w:val="0"/>
          </w:rPr>
          <w:t xml:space="preserve">https://www.argentina.gob.ar/normativa/nacional/ley-27506-324101/actualizacion</w:t>
        </w:r>
      </w:hyperlink>
      <w:r w:rsidDel="00000000" w:rsidR="00000000" w:rsidRPr="00000000">
        <w:rPr>
          <w:rtl w:val="0"/>
        </w:rPr>
      </w:r>
    </w:p>
    <w:p w:rsidR="00000000" w:rsidDel="00000000" w:rsidP="00000000" w:rsidRDefault="00000000" w:rsidRPr="00000000" w14:paraId="000000B2">
      <w:pPr>
        <w:spacing w:line="480" w:lineRule="auto"/>
        <w:ind w:left="0" w:firstLine="0"/>
        <w:rPr/>
      </w:pPr>
      <w:r w:rsidDel="00000000" w:rsidR="00000000" w:rsidRPr="00000000">
        <w:rPr>
          <w:rtl w:val="0"/>
        </w:rPr>
        <w:t xml:space="preserve">Nuñez, S. A. (2026). CODI. Proyecto Integrador Final, Actividad de Evaluación N.º 1 [Informe individual no publicado]. Universidad de la Cuenca del Plata.</w:t>
      </w:r>
    </w:p>
    <w:p w:rsidR="00000000" w:rsidDel="00000000" w:rsidP="00000000" w:rsidRDefault="00000000" w:rsidRPr="00000000" w14:paraId="000000B3">
      <w:pPr>
        <w:spacing w:line="480" w:lineRule="auto"/>
        <w:ind w:left="0" w:firstLine="0"/>
        <w:jc w:val="both"/>
        <w:rPr/>
      </w:pPr>
      <w:r w:rsidDel="00000000" w:rsidR="00000000" w:rsidRPr="00000000">
        <w:rPr>
          <w:rtl w:val="0"/>
        </w:rPr>
        <w:t xml:space="preserve">Openqube. (2026). Resultados de la encuesta de sueldos sysarmy 2026.01.     </w:t>
      </w:r>
      <w:hyperlink r:id="rId12">
        <w:r w:rsidDel="00000000" w:rsidR="00000000" w:rsidRPr="00000000">
          <w:rPr>
            <w:color w:val="1155cc"/>
            <w:u w:val="single"/>
            <w:rtl w:val="0"/>
          </w:rPr>
          <w:t xml:space="preserve">https://sueldos.openqube.io/encuesta-sueldos-2026.01/</w:t>
        </w:r>
      </w:hyperlink>
      <w:r w:rsidDel="00000000" w:rsidR="00000000" w:rsidRPr="00000000">
        <w:rPr>
          <w:rtl w:val="0"/>
        </w:rPr>
      </w:r>
    </w:p>
    <w:p w:rsidR="00000000" w:rsidDel="00000000" w:rsidP="00000000" w:rsidRDefault="00000000" w:rsidRPr="00000000" w14:paraId="000000B4">
      <w:pPr>
        <w:spacing w:line="480" w:lineRule="auto"/>
        <w:ind w:left="0" w:firstLine="0"/>
        <w:jc w:val="both"/>
        <w:rPr/>
      </w:pPr>
      <w:r w:rsidDel="00000000" w:rsidR="00000000" w:rsidRPr="00000000">
        <w:rPr>
          <w:rtl w:val="0"/>
        </w:rPr>
        <w:t xml:space="preserve">Silicon Misiones. (2025). Anuario 2025 SiMi: Talento, tecnología e impacto para Misiones. Silicon Misiones. Documento PDF Silicon Misiones cerró 2025 con más de 5 mil talentos formados y un plan     estratégico a cinco años. (2025, 27 de diciembre). Misiones Online. </w:t>
      </w:r>
      <w:r w:rsidDel="00000000" w:rsidR="00000000" w:rsidRPr="00000000">
        <w:rPr>
          <w:color w:val="1155cc"/>
          <w:u w:val="single"/>
          <w:rtl w:val="0"/>
        </w:rPr>
        <w:t xml:space="preserve"> </w:t>
      </w:r>
      <w:hyperlink r:id="rId13">
        <w:r w:rsidDel="00000000" w:rsidR="00000000" w:rsidRPr="00000000">
          <w:rPr>
            <w:color w:val="1155cc"/>
            <w:u w:val="single"/>
            <w:rtl w:val="0"/>
          </w:rPr>
          <w:t xml:space="preserve">https://misionesonline.net/2025/12/27/silicon-misiones-3</w:t>
        </w:r>
      </w:hyperlink>
      <w:r w:rsidDel="00000000" w:rsidR="00000000" w:rsidRPr="00000000">
        <w:rPr>
          <w:rtl w:val="0"/>
        </w:rPr>
        <w:t xml:space="preserve"> </w:t>
      </w:r>
    </w:p>
    <w:p w:rsidR="00000000" w:rsidDel="00000000" w:rsidP="00000000" w:rsidRDefault="00000000" w:rsidRPr="00000000" w14:paraId="000000B5">
      <w:pPr>
        <w:spacing w:line="480" w:lineRule="auto"/>
        <w:ind w:left="0" w:firstLine="0"/>
        <w:jc w:val="both"/>
        <w:rPr>
          <w:b w:val="1"/>
          <w:bCs w:val="1"/>
          <w:color w:val="990000"/>
        </w:rPr>
      </w:pPr>
      <w:r w:rsidDel="00000000" w:rsidR="00000000" w:rsidRPr="00000000">
        <w:rPr>
          <w:rtl w:val="0"/>
        </w:rPr>
        <w:t xml:space="preserve">Sysarmy. (2026, 6 de marzo). Resultados de la encuesta de sueldos 2026.1. </w:t>
      </w:r>
      <w:r w:rsidDel="00000000" w:rsidR="00000000" w:rsidRPr="00000000">
        <w:rPr>
          <w:rtl w:val="0"/>
        </w:rPr>
      </w:r>
    </w:p>
    <w:p w:rsidR="00000000" w:rsidDel="00000000" w:rsidP="00000000" w:rsidRDefault="00000000" w:rsidRPr="00000000" w14:paraId="000000B6">
      <w:pPr>
        <w:spacing w:line="480" w:lineRule="auto"/>
        <w:jc w:val="both"/>
        <w:rPr/>
      </w:pPr>
      <w:hyperlink r:id="rId14">
        <w:r w:rsidDel="00000000" w:rsidR="00000000" w:rsidRPr="00000000">
          <w:rPr>
            <w:color w:val="1155cc"/>
            <w:u w:val="single"/>
            <w:rtl w:val="0"/>
          </w:rPr>
          <w:t xml:space="preserve">https://sysarmy.com/blog/posts/resultados-de-la-encuesta-de-sueldos-2026-1/</w:t>
        </w:r>
      </w:hyperlink>
      <w:r w:rsidDel="00000000" w:rsidR="00000000" w:rsidRPr="00000000">
        <w:rPr>
          <w:rtl w:val="0"/>
        </w:rPr>
      </w:r>
    </w:p>
    <w:p w:rsidR="00000000" w:rsidDel="00000000" w:rsidP="00000000" w:rsidRDefault="00000000" w:rsidRPr="00000000" w14:paraId="000000B7">
      <w:pPr>
        <w:spacing w:line="480" w:lineRule="auto"/>
        <w:ind w:left="0" w:firstLine="0"/>
        <w:rPr/>
      </w:pPr>
      <w:r w:rsidDel="00000000" w:rsidR="00000000" w:rsidRPr="00000000">
        <w:rPr>
          <w:rtl w:val="0"/>
        </w:rPr>
        <w:t xml:space="preserve">Sánchez, J. S. (2026). Plataforma local para la representación, verificación y edición dirigida de la configuración efectiva y su procedencia en herramientas de agentes de programación. Proyecto Integrador Final, Actividad de Evaluación N.º 1 [Informe individual no publicado]. Universidad de la Cuenca del Plata.</w:t>
      </w:r>
    </w:p>
    <w:p w:rsidR="00000000" w:rsidDel="00000000" w:rsidP="00000000" w:rsidRDefault="00000000" w:rsidRPr="00000000" w14:paraId="000000B8">
      <w:pPr>
        <w:spacing w:line="480" w:lineRule="auto"/>
        <w:ind w:left="340" w:right="340" w:firstLine="0"/>
        <w:jc w:val="both"/>
        <w:rPr/>
      </w:pPr>
      <w:r w:rsidDel="00000000" w:rsidR="00000000" w:rsidRPr="00000000">
        <w:rPr>
          <w:rtl w:val="0"/>
        </w:rPr>
      </w:r>
    </w:p>
    <w:sectPr>
      <w:footerReference r:id="rId15" w:type="default"/>
      <w:pgSz w:h="16838" w:w="11906" w:orient="portrait"/>
      <w:pgMar w:bottom="1418" w:top="1418"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Nuñez" w:id="0" w:date="2026-09-16T23:02:11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Rehacer con CODI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rgentina.gob.ar/normativa/nacional/ley-27506-324101/actualizacion" TargetMode="External"/><Relationship Id="rId10" Type="http://schemas.openxmlformats.org/officeDocument/2006/relationships/hyperlink" Target="https://cessi.org.ar/opssi/" TargetMode="External"/><Relationship Id="rId13" Type="http://schemas.openxmlformats.org/officeDocument/2006/relationships/hyperlink" Target="https://misionesonline.net/2025/12/27/silicon-misiones-37/" TargetMode="External"/><Relationship Id="rId12" Type="http://schemas.openxmlformats.org/officeDocument/2006/relationships/hyperlink" Target="https://sueldos.openqube.io/encuesta-sueldos-2026.0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essi.org.ar/wp-content/uploads/2025/08/CESSI-OPSSI-Reporte-de-los-principales-indicadores-de-la-industria-del-Software-con-Foco-en-Talento_Julio-2025.pdf" TargetMode="External"/><Relationship Id="rId15" Type="http://schemas.openxmlformats.org/officeDocument/2006/relationships/footer" Target="footer1.xml"/><Relationship Id="rId14" Type="http://schemas.openxmlformats.org/officeDocument/2006/relationships/hyperlink" Target="https://sysarmy.com/blog/posts/resultados-de-la-encuesta-de-sueldos-2026-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nasa.gov/human-systems-integration-division/nasa-task-load-index-tl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