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98f40e0da2c15dfb4ecab67c7da257cf1aa695c"/>
    <w:p>
      <w:pPr>
        <w:pStyle w:val="Heading1"/>
      </w:pPr>
      <w:r>
        <w:rPr>
          <w:lang w:val="es-AR"/>
        </w:rPr>
        <w:t xml:space="preserve">Instrumento 32 · Lienzo de modelo de negocio del Sistema de Información</w:t>
      </w:r>
    </w:p>
    <w:p>
      <w:pPr>
        <w:pStyle w:val="BlockText"/>
      </w:pPr>
      <w:r>
        <w:rPr>
          <w:lang w:val="es-AR"/>
        </w:rPr>
        <w:t xml:space="preserve">Plantilla oficial migrada desde</w:t>
      </w:r>
      <w:r>
        <w:rPr>
          <w:lang w:val="es-AR"/>
        </w:rPr>
        <w:t xml:space="preserve"> </w:t>
      </w:r>
      <w:r>
        <w:rPr>
          <w:rStyle w:val="VerbatimChar"/>
          <w:lang w:val="es-AR"/>
        </w:rPr>
        <w:t xml:space="preserve">catedra/originales/03_Plantillas_Instrumentos_AE2.docx</w:t>
      </w:r>
      <w:r>
        <w:rPr>
          <w:lang w:val="es-AR"/>
        </w:rPr>
        <w:t xml:space="preserve">. Completar sobre esta estructura;</w:t>
      </w:r>
      <w:r>
        <w:rPr>
          <w:lang w:val="es-AR"/>
        </w:rPr>
        <w:t xml:space="preserve"> </w:t>
      </w:r>
      <w:r>
        <w:rPr>
          <w:rStyle w:val="VerbatimChar"/>
          <w:lang w:val="es-AR"/>
        </w:rPr>
        <w:t xml:space="preserve">/exportar instrumento 32</w:t>
      </w:r>
      <w:r>
        <w:rPr>
          <w:lang w:val="es-AR"/>
        </w:rPr>
        <w:t xml:space="preserve"> </w:t>
      </w:r>
      <w:r>
        <w:rPr>
          <w:lang w:val="es-AR"/>
        </w:rPr>
        <w:t xml:space="preserve">genera el</w:t>
      </w:r>
      <w:r>
        <w:rPr>
          <w:lang w:val="es-AR"/>
        </w:rPr>
        <w:t xml:space="preserve"> </w:t>
      </w:r>
      <w:r>
        <w:rPr>
          <w:rStyle w:val="VerbatimChar"/>
          <w:lang w:val="es-AR"/>
        </w:rPr>
        <w:t xml:space="preserve">.docx</w:t>
      </w:r>
      <w:r>
        <w:rPr>
          <w:lang w:val="es-AR"/>
        </w:rPr>
        <w:t xml:space="preserve"> </w:t>
      </w:r>
      <w:r>
        <w:rPr>
          <w:lang w:val="es-AR"/>
        </w:rPr>
        <w:t xml:space="preserve">en la carpeta que fija la consigna.</w:t>
      </w:r>
    </w:p>
    <w:p>
      <w:pPr>
        <w:pStyle w:val="FirstParagraph"/>
      </w:pPr>
      <w:r>
        <w:rPr>
          <w:i/>
          <w:iCs/>
          <w:lang w:val="es-AR"/>
        </w:rPr>
        <w:t xml:space="preserve">Momento de aplicación: semanas 6 y 7, una vez cerrado el conjunto de requisitos «Must». Destino: Capítulo IV, apartado IV.1, y Portafolio de la Unidad Dos. Plazo: jueves 24 de septiembre.</w:t>
      </w:r>
    </w:p>
    <w:p>
      <w:pPr>
        <w:pStyle w:val="BodyText"/>
      </w:pPr>
      <w:r>
        <w:rPr>
          <w:lang w:val="es-AR"/>
        </w:rPr>
        <w:t xml:space="preserve">Complete los nueve bloques y, para cada uno, la implicancia sobre el alcance comprometido. La columna de implicancia es la que la corrección lee: un lienzo del que no se deriva ninguna decisión no fue usado, fue ilustrado. Si un bloque no produce implicancia alguna, consígnelo expresamente y explique por qué; esa declaración vale más que una frase de relleno.</w:t>
      </w:r>
    </w:p>
    <w:tbl>
      <w:tblPr>
        <w:tblStyle w:val="Table"/>
        <w:tblW w:w="8504" w:type="dxa"/>
        <w:jc w:val="left"/>
        <w:tblInd w:w="0" w:type="dxa"/>
        <w:tblLayout w:type="fixed"/>
        <w:tblLook w:firstRow="1" w:lastRow="0" w:firstColumn="0" w:lastColumn="0" w:noHBand="0" w:noVBand="0" w:val="0020"/>
      </w:tblPr>
      <w:tblGrid>
        <w:gridCol w:w="1474"/>
        <w:gridCol w:w="2041"/>
        <w:gridCol w:w="2912"/>
        <w:gridCol w:w="207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  <w:lang w:val="es-AR"/>
              </w:rPr>
              <w:t xml:space="preserve">Bloque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-AR"/>
              </w:rPr>
              <w:t xml:space="preserve">Pregunta que responde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-AR"/>
              </w:rPr>
              <w:t xml:space="preserve">Contenido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-AR"/>
              </w:rPr>
              <w:t xml:space="preserve">Implicancia sobre el alcance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AR"/>
              </w:rPr>
              <w:t xml:space="preserve">Segmentos de clientes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¿Para quién se crea valor y quién es el usuario efectivo?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Desarrollador que utiliza OpenCode y configura su propio entorno, en los dos perfiles de la muestra: usuario habitual que escribió su configuración y desarrollador que se incorpora a la herramienta o a un proyecto ajeno. El usuario efectivo es quien padece el problema y decide la adopción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Sostiene el agente como eje de navegación, dado que quien se incorpora a un proyecto ajeno desconoce qué archivos existen. La coincidencia entre decisor y usuario confirma el uso individual y local (L-04)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AR"/>
              </w:rPr>
              <w:t xml:space="preserve">Propuesta de valor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¿Qué problema resuelve y qué lo distingue del sustituto actual?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Responde qué valor rige sobre un agente y qué declaración lo determina, y qué decide un permiso con su regla determinante, sobre la semántica de OpenCode 1.18.25, con procedencia por declaración (entrada, archivo y posición), valores implícitos y declaraciones sin efecto. El sustituto (reconstrucción manual o consulta a un agente) no garantiza la corrección ni muestra el origen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RF-02 incorpora el CA-8, que verifica la procedencia de la regla determinante, y se reformula su motivo de prioridad (Anexo III, D-59). RF-02, RF-06 y RF-09 conservan prioridad Must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AR"/>
              </w:rPr>
              <w:t xml:space="preserve">Canales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¿Cómo llega la solución a quien la usa?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Repositorio privado durante el período, con el docente como colaborador, y publicación bajo licencia MIT tras la aprobación del TIF; instalación local nativa y sin privilegios administrativos; difusión en las comunidades de programación basada en agentes a partir de la publicación. El agente que consume la salida por línea de comandos es un canal del mismo desarrollador y no un segmento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Confirma RNF-06 (L-11): Ubuntu 26.04 y Windows 11 para uso y comprobación nativos; el contenedor aloja la regeneración del oráculo y las mediciones con agentes y de RNF-07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AR"/>
              </w:rPr>
              <w:t xml:space="preserve">Relaciones con clientes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¿Qué tipo de vínculo exige la adopción: capacitación, soporte, autoservicio?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Autoservicio, con registro de incidencias en el repositorio y sin soporte directo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La explicación de decisiones y hallazgos debe ser autocontenida y se genera por plantillas deterministas (apartado III.5)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AR"/>
              </w:rPr>
              <w:t xml:space="preserve">Fuentes de ingreso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¿Cómo se sostiene económicamente? Si no hay ingreso, ¿qué lo financia?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Ninguna durante el período: lo financian las horas del autor. Después de la publicación, donaciones y patrocinio por hito, voluntarios e inciertos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Ninguna función depende de un costo recurrente: se excluyen el servidor y el modelo de lenguaje (RNF-05)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AR"/>
              </w:rPr>
              <w:t xml:space="preserve">Recursos clave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¿Qué activos son imprescindibles: datos, infraestructura, conocimiento del dominio?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Conocimiento del mecanismo efectivo de resolución (Anexo VI, A.VI.3), escenarios verificados por ejecución y evaluador de permisos de OpenCode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Son la base de la verificación (RNF-02) pero no una barrera de entrada, porque se publican bajo MIT. La continuidad se sostiene en la utilidad y en la independencia del núcleo (RNF-03), no en la exclusividad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AR"/>
              </w:rPr>
              <w:t xml:space="preserve">Actividades clave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¿Qué actividades no pueden tercerizarse?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Mantener la fidelidad del adaptador respecto del comportamiento de la herramienta y verificarla de manera automática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La verificación automática contra OpenCode 1.18.25 es condición de toda versión publicada (RNF-02)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AR"/>
              </w:rPr>
              <w:t xml:space="preserve">Socios clave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¿De quién depende la operación y con qué grado de criticidad?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Proyecto OpenCode, con criticidad alta, como fuente del esquema y del código reutilizado; referente de EMSA, como validador; comunidades de desarrolladores, como fuente de participantes y de futuros adaptadores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La licencia de RIGE conserva la atribución que exige la licencia MIT de OpenCode (Capítulo X). La dependencia del proveedor sostiene la versión congelada y la advertencia de RF-05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AR"/>
              </w:rPr>
              <w:t xml:space="preserve">Estructura de costos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¿Dónde se concentra el costo y qué lo hace variar?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Costo provisorio del proyecto de unos $1,93 millones (USD 1.246) en el período, del cual $1.207.136 es inversión en la construcción (136 h técnicas) y el desembolso se limita a $154.500 en suscripciones; el resto es costo de oportunidad y aportes en especie (Capítulo X). La línea de base y la medición final emplean agentes sobre la suscripción ChatGPT Plus, con el consumo registrado en tokens. El costo recurrente principal es la readaptación ante cada versión: con intervenciones agrupadas trimestralmente, unos $820.000 por año (apartado X.3)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Cada herramienta adicional multiplica el costo recurrente: sostiene la exclusión de otras herramientas y la versión congelada (L-05)</w:t>
            </w:r>
          </w:p>
        </w:tc>
      </w:tr>
    </w:tbl>
    <w:p/>
    <w:tbl>
      <w:tblPr>
        <w:tblStyle w:val="Table"/>
        <w:tblW w:w="8504" w:type="dxa"/>
        <w:jc w:val="left"/>
        <w:tblInd w:w="0" w:type="dxa"/>
        <w:tblLayout w:type="fixed"/>
        <w:tblLook w:firstRow="0" w:lastRow="0" w:firstColumn="0" w:lastColumn="0" w:noHBand="0" w:noVBand="0" w:val="0000"/>
      </w:tblPr>
      <w:tblGrid>
        <w:gridCol w:w="8504"/>
      </w:tblGrid>
      <w:tr>
        <w:tc>
          <w:tcPr/>
          <w:p>
            <w:pPr>
              <w:pStyle w:val="Compact"/>
            </w:pPr>
            <w:r>
              <w:rPr>
                <w:b/>
                <w:bCs/>
                <w:lang w:val="es-AR"/>
              </w:rPr>
              <w:t xml:space="preserve">▶ EJEMPLO DE UNA FILA COMPLETADA (CASO «SANTA ANA»)</w:t>
            </w:r>
          </w:p>
          <w:p>
            <w:pPr>
              <w:pStyle w:val="Compact"/>
            </w:pPr>
            <w:r>
              <w:rPr>
                <w:lang w:val="es-AR"/>
              </w:rPr>
              <w:t xml:space="preserve">Bloque: socios clave. Contenido: estudio contable externo que liquida sueldos y lleva la contabilidad de la cooperativa. Implicancia sobre el alcance: confirma la exclusión de contabilidad y nómina, que deja de ser una comodidad del equipo y pasa a ser coherencia con la estructura real del negocio; y obliga a definir un formato de exportación hacia el estudio, que se convierte en el requisito RF-09. Un bloque, una exclusión sostenida y un requisito nuevo.</w:t>
            </w:r>
          </w:p>
        </w:tc>
      </w:tr>
    </w:tbl>
    <w:p>
      <w:pPr>
        <w:pStyle w:val="BodyText"/>
      </w:pPr>
      <w:r>
        <w:rPr>
          <w:b/>
          <w:bCs/>
          <w:lang w:val="es-AR"/>
        </w:rPr>
        <w:t xml:space="preserve">Derivación obligatoria hacia el Capítulo IV</w:t>
      </w:r>
    </w:p>
    <w:tbl>
      <w:tblPr>
        <w:tblStyle w:val="Table"/>
        <w:tblW w:w="8504" w:type="dxa"/>
        <w:jc w:val="left"/>
        <w:tblInd w:w="0" w:type="dxa"/>
        <w:tblLayout w:type="fixed"/>
        <w:tblLook w:firstRow="1" w:lastRow="0" w:firstColumn="0" w:lastColumn="0" w:noHBand="0" w:noVBand="0" w:val="0020"/>
      </w:tblPr>
      <w:tblGrid>
        <w:gridCol w:w="2126"/>
        <w:gridCol w:w="637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  <w:lang w:val="es-AR"/>
              </w:rPr>
              <w:t xml:space="preserve">Pregunta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-AR"/>
              </w:rPr>
              <w:t xml:space="preserve">Respuesta del equipo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AR"/>
              </w:rPr>
              <w:t xml:space="preserve">¿Qué decisión de alcance cambió por causa del lienzo?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RF-02 incorpora el CA-8, que exige informar el archivo y la línea de la regla determinante, y cambia su motivo de prioridad: el diferencial pasa de la explicación de la decisión a su combinación con la procedencia por declaración (Anexo III, D-59). El lienzo también confirma la circunscripción a OpenCode 1.18.25 (L-05) y el descarte de la inversión y de los modelos con funciones pagas o servicio alojado (apartado IV.1)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AR"/>
              </w:rPr>
              <w:t xml:space="preserve">¿Qué bloque resultó más determinante y por qué?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Propuesta de valor. Contrastada con las fuerzas del apartado IV.3, mostró que Amp y Codex ya evalúan una acción y devuelven la regla coincidente, de modo que el diferencial declarado carecía de un criterio de aceptación que lo verificara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AR"/>
              </w:rPr>
              <w:t xml:space="preserve">¿Qué requisito nuevo se originó en el lienzo, si alguno?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Ninguno. El lienzo originó un criterio de aceptación nuevo en un requisito existente (RF-02, CA-8) y no un requisito nuevo, porque la capacidad ya estaba enunciada en RF-02</w:t>
            </w:r>
          </w:p>
        </w:tc>
      </w:tr>
    </w:tbl>
    <w:bookmarkEnd w:id="9"/>
    <w:sectPr>
      <w:footerReference r:id="rIdPie" w:type="default"/>
      <w:footerReference r:id="rIdPieVacio" w:type="first"/>
      <w:pgSz w:h="16838" w:w="11906"/>
      <w:pgMar w:bottom="1417" w:footer="720" w:gutter="0" w:header="720" w:left="1701" w:right="1701" w:top="1417"/>
      <w:pgNumType w:start="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spacing w:before="0" w:after="0" w:line="240" w:lineRule="auto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end"/>
    </w:r>
  </w:p>
</w:ftr>
</file>

<file path=word/footer2.xml><?xml version="1.0" encoding="utf-8"?>
<w:ftr xmlns:w="http://schemas.openxmlformats.org/wordprocessingml/2006/main">
  <w:p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color w:val="000000"/>
        <w:sz w:val="24"/>
        <w:szCs w:val="24"/>
        <w:lang w:val="es-AR"/>
      </w:rPr>
    </w:rPrDefault>
    <w:pPrDefault>
      <w:pPr>
        <w:spacing w:after="0"/>
      </w:pPr>
    </w:pPrDefault>
  </w:docDefaults>
  <w:latentStyles w:count="276" w:defLockedState="0" w:defQFormat="0" w:defSemiHidden="0" w:defUIPriority="0" w:defUnhideWhenUsed="0"/>
  <w:style w:styleId="Normal" w:type="paragraph">
    <w:name w:val="Normal"/>
    <w:qFormat/>
    <w:pPr>
      <w:spacing w:after="0" w:before="0" w:line="480" w:lineRule="auto"/>
      <w:jc w:val="both"/>
    </w:pPr>
    <w:rPr>
      <w:rFonts w:ascii="Times New Roman" w:cs="Times New Roman" w:eastAsia="Times New Roman" w:hAnsi="Times New Roman"/>
      <w:color w:val="000000"/>
      <w:sz w:val="24"/>
      <w:szCs w:val="24"/>
      <w:lang w:val="es-AR"/>
    </w:rPr>
  </w:style>
  <w:style w:styleId="BodyText" w:type="paragraph">
    <w:name w:val="Body Text"/>
    <w:basedOn w:val="Normal"/>
    <w:qFormat/>
    <w:pPr>
      <w:spacing w:after="200" w:before="200" w:line="480" w:lineRule="auto"/>
      <w:ind w:firstLine="720"/>
      <w:jc w:val="both"/>
    </w:pPr>
    <w:rPr>
      <w:rFonts w:ascii="Times New Roman" w:cs="Times New Roman" w:eastAsia="Times New Roman" w:hAnsi="Times New Roman"/>
      <w:color w:val="000000"/>
    </w:rPr>
  </w:style>
  <w:style w:styleId="FirstParagraph" w:type="paragraph">
    <w:name w:val="First Paragraph"/>
    <w:basedOn w:val="BodyText"/>
    <w:qFormat/>
    <w:pPr>
      <w:spacing w:after="200" w:before="200" w:line="480" w:lineRule="auto"/>
      <w:ind w:firstLine="720"/>
      <w:jc w:val="both"/>
    </w:pPr>
    <w:rPr>
      <w:rFonts w:ascii="Times New Roman" w:cs="Times New Roman" w:eastAsia="Times New Roman" w:hAnsi="Times New Roman"/>
      <w:color w:val="000000"/>
    </w:rPr>
  </w:style>
  <w:style w:styleId="Compact" w:type="paragraph">
    <w:name w:val="Compact"/>
    <w:basedOn w:val="BodyText"/>
    <w:qFormat/>
    <w:pPr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color w:val="000000"/>
      <w:sz w:val="20"/>
      <w:szCs w:val="20"/>
    </w:rPr>
  </w:style>
  <w:style w:styleId="Title" w:type="paragraph">
    <w:name w:val="Title"/>
    <w:basedOn w:val="Normal"/>
    <w:qFormat/>
    <w:pPr>
      <w:spacing w:after="240" w:before="0" w:line="360" w:lineRule="auto"/>
      <w:jc w:val="center"/>
    </w:pPr>
    <w:rPr>
      <w:rFonts w:ascii="Times New Roman" w:cs="Times New Roman" w:eastAsia="Times New Roman" w:hAnsi="Times New Roman"/>
      <w:color w:val="000000"/>
      <w:b/>
      <w:sz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  <w:pPr>
      <w:spacing w:after="0" w:before="0" w:line="480" w:lineRule="auto"/>
      <w:jc w:val="both"/>
      <w:ind w:hanging="720" w:left="720"/>
    </w:pPr>
    <w:rPr>
      <w:rFonts w:ascii="Times New Roman" w:cs="Times New Roman" w:eastAsia="Times New Roman" w:hAnsi="Times New Roman"/>
      <w:color w:val="000000"/>
    </w:rPr>
  </w:style>
  <w:style w:styleId="Heading1" w:type="paragraph">
    <w:name w:val="heading 1"/>
    <w:basedOn w:val="Normal"/>
    <w:qFormat/>
    <w:next w:val="BodyText"/>
    <w:pPr>
      <w:keepNext/>
      <w:spacing w:after="240" w:before="0" w:line="360" w:lineRule="auto"/>
      <w:ind w:firstLine="0"/>
      <w:jc w:val="center"/>
      <w:outlineLvl w:val="0"/>
    </w:pPr>
    <w:rPr>
      <w:rFonts w:ascii="Times New Roman" w:cs="Times New Roman" w:eastAsia="Times New Roman" w:hAnsi="Times New Roman"/>
      <w:color w:val="000000"/>
      <w:b/>
      <w:sz w:val="28"/>
      <w:szCs w:val="28"/>
    </w:rPr>
  </w:style>
  <w:style w:styleId="Heading2" w:type="paragraph">
    <w:name w:val="heading 2"/>
    <w:basedOn w:val="Normal"/>
    <w:qFormat/>
    <w:next w:val="BodyText"/>
    <w:pPr>
      <w:keepNext/>
      <w:spacing w:after="200" w:before="240" w:line="480" w:lineRule="auto"/>
      <w:ind w:firstLine="0"/>
      <w:jc w:val="left"/>
      <w:outlineLvl w:val="1"/>
    </w:pPr>
    <w:rPr>
      <w:rFonts w:ascii="Times New Roman" w:cs="Times New Roman" w:eastAsia="Times New Roman" w:hAnsi="Times New Roman"/>
      <w:color w:val="000000"/>
      <w:b/>
      <w:sz w:val="26"/>
      <w:szCs w:val="26"/>
    </w:rPr>
  </w:style>
  <w:style w:styleId="Heading3" w:type="paragraph">
    <w:name w:val="heading 3"/>
    <w:basedOn w:val="Normal"/>
    <w:qFormat/>
    <w:next w:val="BodyText"/>
    <w:pPr>
      <w:keepNext/>
      <w:spacing w:after="0" w:before="240" w:line="480" w:lineRule="auto"/>
      <w:ind w:firstLine="0"/>
      <w:jc w:val="left"/>
      <w:outlineLvl w:val="2"/>
    </w:pPr>
    <w:rPr>
      <w:rFonts w:ascii="Times New Roman" w:cs="Times New Roman" w:eastAsia="Times New Roman" w:hAnsi="Times New Roman"/>
      <w:color w:val="000000"/>
      <w:b/>
      <w:sz w:val="24"/>
      <w:szCs w:val="24"/>
    </w:rPr>
  </w:style>
  <w:style w:styleId="Heading4" w:type="paragraph">
    <w:name w:val="heading 4"/>
    <w:basedOn w:val="Normal"/>
    <w:qFormat/>
    <w:next w:val="BodyText"/>
    <w:pPr>
      <w:keepNext/>
      <w:spacing w:after="0" w:before="120" w:line="480" w:lineRule="auto"/>
      <w:ind w:firstLine="0"/>
      <w:jc w:val="left"/>
      <w:outlineLvl w:val="3"/>
    </w:pPr>
    <w:rPr>
      <w:rFonts w:ascii="Times New Roman" w:cs="Times New Roman" w:eastAsia="Times New Roman" w:hAnsi="Times New Roman"/>
      <w:color w:val="000000"/>
      <w:b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Normal"/>
    <w:qFormat/>
    <w:pPr>
      <w:spacing w:after="0" w:before="0" w:line="480" w:lineRule="auto"/>
      <w:jc w:val="both"/>
      <w:ind w:left="720" w:right="720"/>
    </w:pPr>
    <w:rPr>
      <w:rFonts w:ascii="Times New Roman" w:cs="Times New Roman" w:eastAsia="Times New Roman" w:hAnsi="Times New Roman"/>
      <w:color w:val="000000"/>
    </w:rPr>
  </w:style>
  <w:style w:styleId="FootnoteText" w:type="paragraph">
    <w:name w:val="Footnote Text"/>
    <w:basedOn w:val="Normal"/>
    <w:qFormat/>
    <w:pPr>
      <w:spacing w:after="0" w:before="0" w:line="240" w:lineRule="auto"/>
      <w:jc w:val="both"/>
    </w:pPr>
    <w:rPr>
      <w:rFonts w:ascii="Times New Roman" w:cs="Times New Roman" w:eastAsia="Times New Roman" w:hAnsi="Times New Roman"/>
      <w:color w:val="000000"/>
      <w:sz w:val="20"/>
      <w:szCs w:val="20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styleId="Table" w:type="table">
    <w:name w:val="Table"/>
    <w:basedOn w:val="TableNormal"/>
    <w:uiPriority w:val="99"/>
    <w:pPr>
      <w:spacing w:after="0" w:before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80"/>
        <w:bottom w:type="dxa" w:w="40"/>
        <w:right w:type="dxa" w:w="80"/>
      </w:tblCellMar>
    </w:tblPr>
    <w:tblStylePr w:type="firstRow">
      <w:rPr>
        <w:b/>
        <w:color w:val="000000"/>
      </w:rPr>
      <w:tcPr>
        <w:shd w:color="auto" w:fill="D9D9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qFormat/>
    <w:pPr>
      <w:spacing w:after="240" w:before="120" w:line="240" w:lineRule="auto"/>
      <w:jc w:val="left"/>
    </w:pPr>
    <w:rPr>
      <w:rFonts w:ascii="Times New Roman" w:cs="Times New Roman" w:eastAsia="Times New Roman" w:hAnsi="Times New Roman"/>
      <w:color w:val="000000"/>
      <w:i/>
      <w:sz w:val="20"/>
      <w:szCs w:val="20"/>
    </w:rPr>
  </w:style>
  <w:style w:styleId="TableCaption" w:type="paragraph">
    <w:name w:val="Table Caption"/>
    <w:basedOn w:val="Caption"/>
    <w:qFormat/>
    <w:pPr>
      <w:spacing w:after="240" w:before="120" w:line="240" w:lineRule="auto"/>
    </w:pPr>
    <w:rPr>
      <w:rFonts w:ascii="Times New Roman" w:cs="Times New Roman" w:eastAsia="Times New Roman" w:hAnsi="Times New Roman"/>
      <w:color w:val="000000"/>
      <w:i/>
      <w:sz w:val="20"/>
    </w:rPr>
  </w:style>
  <w:style w:styleId="ImageCaption" w:type="paragraph">
    <w:name w:val="Image Caption"/>
    <w:basedOn w:val="Caption"/>
    <w:qFormat/>
    <w:pPr>
      <w:spacing w:after="240" w:before="120" w:line="240" w:lineRule="auto"/>
    </w:pPr>
    <w:rPr>
      <w:rFonts w:ascii="Times New Roman" w:cs="Times New Roman" w:eastAsia="Times New Roman" w:hAnsi="Times New Roman"/>
      <w:color w:val="000000"/>
      <w:i/>
      <w:sz w:val="20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aratulaNumeral" w:type="paragraph">
    <w:name w:val="Carátula Numeral"/>
    <w:basedOn w:val="Normal"/>
    <w:qFormat/>
    <w:pPr>
      <w:spacing w:after="240" w:before="0" w:line="240" w:lineRule="auto"/>
      <w:jc w:val="center"/>
    </w:pPr>
    <w:rPr>
      <w:rFonts w:ascii="Times New Roman" w:cs="Times New Roman" w:eastAsia="Times New Roman" w:hAnsi="Times New Roman"/>
      <w:color w:val="000000"/>
      <w:b/>
      <w:sz w:val="28"/>
      <w:szCs w:val="28"/>
    </w:rPr>
  </w:style>
  <w:style w:customStyle="1" w:styleId="CaratulaTitulo" w:type="paragraph">
    <w:name w:val="Carátula Título"/>
    <w:basedOn w:val="Normal"/>
    <w:qFormat/>
    <w:pPr>
      <w:spacing w:after="0" w:before="0" w:line="360" w:lineRule="auto"/>
      <w:jc w:val="center"/>
      <w:outlineLvl w:val="0"/>
    </w:pPr>
    <w:rPr>
      <w:rFonts w:ascii="Times New Roman" w:cs="Times New Roman" w:eastAsia="Times New Roman" w:hAnsi="Times New Roman"/>
      <w:color w:val="000000"/>
      <w:b/>
      <w:caps/>
      <w:sz w:val="28"/>
      <w:szCs w:val="28"/>
    </w:rPr>
  </w:style>
  <w:style w:customStyle="1" w:styleId="Portada" w:type="paragraph">
    <w:name w:val="Portada"/>
    <w:basedOn w:val="Normal"/>
    <w:qFormat/>
    <w:pPr>
      <w:spacing w:after="200" w:before="200" w:line="480" w:lineRule="auto"/>
      <w:ind w:firstLine="0"/>
      <w:jc w:val="center"/>
    </w:pPr>
    <w:rPr>
      <w:rFonts w:ascii="Times New Roman" w:cs="Times New Roman" w:eastAsia="Times New Roman" w:hAnsi="Times New Roman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Pie" Target="footer1.xml" Type="http://schemas.openxmlformats.org/officeDocument/2006/relationships/footer" /><Relationship Id="rIdPieVacio" Target="footer2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es-AR</dc:language>
  <cp:keywords/>
  <dcterms:created xsi:type="dcterms:W3CDTF">2026-10-02T17:31:31Z</dcterms:created>
  <dcterms:modified xsi:type="dcterms:W3CDTF">2026-10-02T17:31:31Z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/>
  </property>
  <property fmtid="{D5CDD505-2E9C-101B-9397-08002B2CF9AE}" pid="3" name="csl">
    <vt:lpwstr>C:\Users\Joa\Documents\RIGE-TIF-Sanchez-IngSistemas-UCP\tools\apa.csl</vt:lpwstr>
  </property>
  <property fmtid="{D5CDD505-2E9C-101B-9397-08002B2CF9AE}" pid="4" name="reference-section-title">
    <vt:lpwstr>BIBLIOGRAFÍA</vt:lpwstr>
  </property>
</Properties>
</file>