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a65f83995486570b1d977ca27807f0de4a52ec"/>
    <w:p>
      <w:pPr>
        <w:pStyle w:val="Heading1"/>
      </w:pPr>
      <w:r>
        <w:rPr>
          <w:lang w:val="es-AR"/>
        </w:rPr>
        <w:t xml:space="preserve">Instrumento 34 · Planilla de dimensionamiento de recursos</w:t>
      </w:r>
    </w:p>
    <w:p>
      <w:pPr>
        <w:pStyle w:val="BlockText"/>
      </w:pPr>
      <w:r>
        <w:rPr>
          <w:lang w:val="es-AR"/>
        </w:rPr>
        <w:t xml:space="preserve">Plantilla oficial migrada desde</w:t>
      </w:r>
      <w:r>
        <w:rPr>
          <w:lang w:val="es-AR"/>
        </w:rPr>
        <w:t xml:space="preserve"> </w:t>
      </w:r>
      <w:r>
        <w:rPr>
          <w:rStyle w:val="VerbatimChar"/>
          <w:lang w:val="es-AR"/>
        </w:rPr>
        <w:t xml:space="preserve">catedra/originales/03_Plantillas_Instrumentos_AE2.docx</w:t>
      </w:r>
      <w:r>
        <w:rPr>
          <w:lang w:val="es-AR"/>
        </w:rPr>
        <w:t xml:space="preserve">. Completar sobre esta estructura;</w:t>
      </w:r>
      <w:r>
        <w:rPr>
          <w:lang w:val="es-AR"/>
        </w:rPr>
        <w:t xml:space="preserve"> </w:t>
      </w:r>
      <w:r>
        <w:rPr>
          <w:rStyle w:val="VerbatimChar"/>
          <w:lang w:val="es-AR"/>
        </w:rPr>
        <w:t xml:space="preserve">/exportar instrumento 34</w:t>
      </w:r>
      <w:r>
        <w:rPr>
          <w:lang w:val="es-AR"/>
        </w:rPr>
        <w:t xml:space="preserve"> </w:t>
      </w:r>
      <w:r>
        <w:rPr>
          <w:lang w:val="es-AR"/>
        </w:rPr>
        <w:t xml:space="preserve">genera el</w:t>
      </w:r>
      <w:r>
        <w:rPr>
          <w:lang w:val="es-AR"/>
        </w:rPr>
        <w:t xml:space="preserve"> </w:t>
      </w:r>
      <w:r>
        <w:rPr>
          <w:rStyle w:val="VerbatimChar"/>
          <w:lang w:val="es-AR"/>
        </w:rPr>
        <w:t xml:space="preserve">.docx</w:t>
      </w:r>
      <w:r>
        <w:rPr>
          <w:lang w:val="es-AR"/>
        </w:rPr>
        <w:t xml:space="preserve"> </w:t>
      </w:r>
      <w:r>
        <w:rPr>
          <w:lang w:val="es-AR"/>
        </w:rPr>
        <w:t xml:space="preserve">en la carpeta que fija la consigna.</w:t>
      </w:r>
    </w:p>
    <w:p>
      <w:pPr>
        <w:pStyle w:val="FirstParagraph"/>
      </w:pPr>
      <w:r>
        <w:rPr>
          <w:i/>
          <w:iCs/>
          <w:lang w:val="es-AR"/>
        </w:rPr>
        <w:t xml:space="preserve">Momento de aplicación: semana 8, con el catálogo y el plan de iteraciones ya cerrados. Destino: Capítulo X y Portafolio de la Unidad Dos. Plazo: jueves 1.º de octubre. La versión operativa de esta planilla, con sus totales calculados, está en la hoja «Recursos» del Libro de trabajo de la AE2, alojado en /03-requisitos.</w:t>
      </w:r>
    </w:p>
    <w:tbl>
      <w:tblPr>
        <w:tblStyle w:val="Table"/>
        <w:tblW w:w="8504" w:type="dxa"/>
        <w:jc w:val="left"/>
        <w:tblInd w:w="0" w:type="dxa"/>
        <w:tblLayout w:type="fixed"/>
        <w:tblLook w:firstRow="1" w:lastRow="0" w:firstColumn="0" w:lastColumn="0" w:noHBand="0" w:noVBand="0" w:val="0020"/>
      </w:tblPr>
      <w:tblGrid>
        <w:gridCol w:w="1323"/>
        <w:gridCol w:w="1323"/>
        <w:gridCol w:w="945"/>
        <w:gridCol w:w="1228"/>
        <w:gridCol w:w="945"/>
        <w:gridCol w:w="2740"/>
      </w:tblGrid>
      <w:tr>
        <w:trPr>
          <w:tblHeader w:val="on"/>
        </w:trPr>
        <w:tc>
          <w:tcPr/>
          <w:p>
            <w:pPr>
              <w:pStyle w:val="Compact"/>
            </w:pPr>
            <w:r>
              <w:rPr>
                <w:b/>
                <w:bCs/>
                <w:lang w:val="es-AR"/>
              </w:rPr>
              <w:t xml:space="preserve">Clase</w:t>
            </w:r>
          </w:p>
        </w:tc>
        <w:tc>
          <w:tcPr/>
          <w:p>
            <w:pPr>
              <w:pStyle w:val="Compact"/>
            </w:pPr>
            <w:r>
              <w:rPr>
                <w:b/>
                <w:bCs/>
                <w:lang w:val="es-AR"/>
              </w:rPr>
              <w:t xml:space="preserve">Concepto</w:t>
            </w:r>
          </w:p>
        </w:tc>
        <w:tc>
          <w:tcPr/>
          <w:p>
            <w:pPr>
              <w:pStyle w:val="Compact"/>
            </w:pPr>
            <w:r>
              <w:rPr>
                <w:b/>
                <w:bCs/>
                <w:lang w:val="es-AR"/>
              </w:rPr>
              <w:t xml:space="preserve">Cantidad</w:t>
            </w:r>
          </w:p>
        </w:tc>
        <w:tc>
          <w:tcPr/>
          <w:p>
            <w:pPr>
              <w:pStyle w:val="Compact"/>
            </w:pPr>
            <w:r>
              <w:rPr>
                <w:b/>
                <w:bCs/>
                <w:lang w:val="es-AR"/>
              </w:rPr>
              <w:t xml:space="preserve">Unidad</w:t>
            </w:r>
          </w:p>
        </w:tc>
        <w:tc>
          <w:tcPr/>
          <w:p>
            <w:pPr>
              <w:pStyle w:val="Compact"/>
            </w:pPr>
            <w:r>
              <w:rPr>
                <w:b/>
                <w:bCs/>
                <w:lang w:val="es-AR"/>
              </w:rPr>
              <w:t xml:space="preserve">Costo unitario</w:t>
            </w:r>
          </w:p>
        </w:tc>
        <w:tc>
          <w:tcPr/>
          <w:p>
            <w:pPr>
              <w:pStyle w:val="Compact"/>
            </w:pPr>
            <w:r>
              <w:rPr>
                <w:b/>
                <w:bCs/>
                <w:lang w:val="es-AR"/>
              </w:rPr>
              <w:t xml:space="preserve">Fuente, período y justificación de la asignación</w:t>
            </w:r>
          </w:p>
        </w:tc>
      </w:tr>
      <w:tr>
        <w:tc>
          <w:tcPr/>
          <w:p>
            <w:pPr>
              <w:pStyle w:val="Compact"/>
            </w:pPr>
            <w:r>
              <w:rPr>
                <w:lang w:val="es-AR"/>
              </w:rPr>
              <w:t xml:space="preserve">Humanos</w:t>
            </w:r>
          </w:p>
        </w:tc>
        <w:tc>
          <w:tcPr/>
          <w:p>
            <w:pPr>
              <w:pStyle w:val="Compact"/>
            </w:pPr>
            <w:r>
              <w:rPr>
                <w:lang w:val="es-AR"/>
              </w:rPr>
              <w:t xml:space="preserve">Autor, perfil único de desarrollo: capacidad técnica</w:t>
            </w:r>
          </w:p>
        </w:tc>
        <w:tc>
          <w:tcPr/>
          <w:p>
            <w:pPr>
              <w:pStyle w:val="Compact"/>
            </w:pPr>
            <w:r>
              <w:rPr>
                <w:lang w:val="es-AR"/>
              </w:rPr>
              <w:t xml:space="preserve">136</w:t>
            </w:r>
          </w:p>
        </w:tc>
        <w:tc>
          <w:tcPr/>
          <w:p>
            <w:pPr>
              <w:pStyle w:val="Compact"/>
            </w:pPr>
            <w:r>
              <w:rPr>
                <w:lang w:val="es-AR"/>
              </w:rPr>
              <w:t xml:space="preserve">hora</w:t>
            </w:r>
          </w:p>
        </w:tc>
        <w:tc>
          <w:tcPr/>
          <w:p>
            <w:pPr>
              <w:pStyle w:val="Compact"/>
            </w:pPr>
            <w:r>
              <w:rPr>
                <w:lang w:val="es-AR"/>
              </w:rPr>
              <w:t xml:space="preserve">8876</w:t>
            </w:r>
          </w:p>
        </w:tc>
        <w:tc>
          <w:tcPr/>
          <w:p>
            <w:pPr>
              <w:pStyle w:val="Compact"/>
            </w:pPr>
            <w:r>
              <w:rPr>
                <w:lang w:val="es-AR"/>
              </w:rPr>
              <w:t xml:space="preserve">CAPEX: construye RIGE. Costo de hora en pesos (USD 5,74) derivado de la mediana bruta mensual de seniority junior de Sysarmy 2026.01 (Sysarmy, 2026), según la tabla 34.2. Las 136 h cubren las tareas de los dieciocho requisitos Must de la Tabla 18 (apartado V.4); los requisitos Should no reciben horas. La autoría es individual (apartado V.3): una sola persona con una sola tarifa cubre el núcleo, el adaptador, el almacén y las dos interfaces, con una interfaz web mínima (Anexo III, D-37). Separar perfiles exigiría tarifas distintas para las mismas horas</w:t>
            </w:r>
          </w:p>
        </w:tc>
      </w:tr>
      <w:tr>
        <w:tc>
          <w:tcPr/>
          <w:p>
            <w:pPr>
              <w:pStyle w:val="Compact"/>
            </w:pPr>
            <w:r>
              <w:rPr>
                <w:lang w:val="es-AR"/>
              </w:rPr>
              <w:t xml:space="preserve">Humanos</w:t>
            </w:r>
          </w:p>
        </w:tc>
        <w:tc>
          <w:tcPr/>
          <w:p>
            <w:pPr>
              <w:pStyle w:val="Compact"/>
            </w:pPr>
            <w:r>
              <w:rPr>
                <w:lang w:val="es-AR"/>
              </w:rPr>
              <w:t xml:space="preserve">Autor: reserva documental y de validación</w:t>
            </w:r>
          </w:p>
        </w:tc>
        <w:tc>
          <w:tcPr/>
          <w:p>
            <w:pPr>
              <w:pStyle w:val="Compact"/>
            </w:pPr>
            <w:r>
              <w:rPr>
                <w:lang w:val="es-AR"/>
              </w:rPr>
              <w:t xml:space="preserve">54</w:t>
            </w:r>
          </w:p>
        </w:tc>
        <w:tc>
          <w:tcPr/>
          <w:p>
            <w:pPr>
              <w:pStyle w:val="Compact"/>
            </w:pPr>
            <w:r>
              <w:rPr>
                <w:lang w:val="es-AR"/>
              </w:rPr>
              <w:t xml:space="preserve">hora</w:t>
            </w:r>
          </w:p>
        </w:tc>
        <w:tc>
          <w:tcPr/>
          <w:p>
            <w:pPr>
              <w:pStyle w:val="Compact"/>
            </w:pPr>
            <w:r>
              <w:rPr>
                <w:lang w:val="es-AR"/>
              </w:rPr>
              <w:t xml:space="preserve">8876</w:t>
            </w:r>
          </w:p>
        </w:tc>
        <w:tc>
          <w:tcPr/>
          <w:p>
            <w:pPr>
              <w:pStyle w:val="Compact"/>
            </w:pPr>
            <w:r>
              <w:rPr>
                <w:lang w:val="es-AR"/>
              </w:rPr>
              <w:t xml:space="preserve">OPEX del proyecto: informe, línea de base y validación. Mismo costo de hora (Sysarmy, 2026). Financia el cierre del informe de la AE2 (14 h), la Ventana y las correcciones del AE1 (20 h), que incluyen la línea de base con agentes (16 a 23 h, Anexo III, D-41), los Capítulos VI y IX (13 h) y la preparación de la medición final (7 h), según el apartado V.4. No se asigna a requisitos</w:t>
            </w:r>
          </w:p>
        </w:tc>
      </w:tr>
      <w:tr>
        <w:tc>
          <w:tcPr/>
          <w:p>
            <w:pPr>
              <w:pStyle w:val="Compact"/>
            </w:pPr>
            <w:r>
              <w:rPr>
                <w:lang w:val="es-AR"/>
              </w:rPr>
              <w:t xml:space="preserve">Humanos</w:t>
            </w:r>
          </w:p>
        </w:tc>
        <w:tc>
          <w:tcPr/>
          <w:p>
            <w:pPr>
              <w:pStyle w:val="Compact"/>
            </w:pPr>
            <w:r>
              <w:rPr>
                <w:lang w:val="es-AR"/>
              </w:rPr>
              <w:t xml:space="preserve">Referente técnica de la organización consultada (recurso externo)</w:t>
            </w:r>
          </w:p>
        </w:tc>
        <w:tc>
          <w:tcPr/>
          <w:p>
            <w:pPr>
              <w:pStyle w:val="Compact"/>
            </w:pPr>
            <w:r>
              <w:rPr>
                <w:lang w:val="es-AR"/>
              </w:rPr>
              <w:t xml:space="preserve">—</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Sin costo y fuera del cómputo de horas del proyecto, que corresponden solo al autor. Dedicación registrada: sesión de validación del 26/09/2026 (35 min, presencial), más la constancia de la fase de cierre (apartado V.4). Su participación sostiene el estado «Validado» del catálogo y la conformidad de la medición final</w:t>
            </w:r>
          </w:p>
        </w:tc>
      </w:tr>
      <w:tr>
        <w:tc>
          <w:tcPr/>
          <w:p>
            <w:pPr>
              <w:pStyle w:val="Compact"/>
            </w:pPr>
            <w:r>
              <w:rPr>
                <w:lang w:val="es-AR"/>
              </w:rPr>
              <w:t xml:space="preserve">Físicos y materiales</w:t>
            </w:r>
          </w:p>
        </w:tc>
        <w:tc>
          <w:tcPr/>
          <w:p>
            <w:pPr>
              <w:pStyle w:val="Compact"/>
            </w:pPr>
            <w:r>
              <w:rPr>
                <w:lang w:val="es-AR"/>
              </w:rPr>
              <w:t xml:space="preserve">Notebook Samsung Galaxy Book3 (750XFG): Intel Core i7-1355U (10 núcleos, 12 hilos), 16 GB LPDDR4x, SSD NVMe de 512 GB, Windows 11 Home 10.0.26200</w:t>
            </w:r>
          </w:p>
        </w:tc>
        <w:tc>
          <w:tcPr/>
          <w:p>
            <w:pPr>
              <w:pStyle w:val="Compact"/>
            </w:pPr>
            <w:r>
              <w:rPr>
                <w:lang w:val="es-AR"/>
              </w:rPr>
              <w:t xml:space="preserve">190</w:t>
            </w:r>
          </w:p>
        </w:tc>
        <w:tc>
          <w:tcPr/>
          <w:p>
            <w:pPr>
              <w:pStyle w:val="Compact"/>
            </w:pPr>
            <w:r>
              <w:rPr>
                <w:lang w:val="es-AR"/>
              </w:rPr>
              <w:t xml:space="preserve">hora de uso</w:t>
            </w:r>
          </w:p>
        </w:tc>
        <w:tc>
          <w:tcPr/>
          <w:p>
            <w:pPr>
              <w:pStyle w:val="Compact"/>
            </w:pPr>
            <w:r>
              <w:rPr>
                <w:lang w:val="es-AR"/>
              </w:rPr>
              <w:t xml:space="preserve">441,35</w:t>
            </w:r>
          </w:p>
        </w:tc>
        <w:tc>
          <w:tcPr/>
          <w:p>
            <w:pPr>
              <w:pStyle w:val="Compact"/>
            </w:pPr>
            <w:r>
              <w:rPr>
                <w:lang w:val="es-AR"/>
              </w:rPr>
              <w:t xml:space="preserve">OPEX: amortización sobre el valor de reposición de 2200000 (USD 1423,95), oferta de caja abierta del 01/10/2026 (Tienda oficial MUDI, s. f.), con 36 meses de vida útil como supuesto del autor y 138,465 h activas medidas del 30/08 al 30/09/2026 en el reporte de batería del 01/10/2026. La oferta de caja abierta subestima la amortización, con un efecto menor. Costo por hora USD 0,29; imputación provisoria de 83856 (USD 54,28), hasta sumar las horas desatendidas de la línea de base dentro del período; las de la medición final corresponden a la fase de cierre. El inicio y el fin de esas ejecuciones se registran en la bitácora. Con 190 h, la sensibilidad de la vida útil arroja 125784 para 24 meses y 62892 para 48 meses, una variación de ±2,2 % del costo del proyecto. Septiembre es un único mes de referencia y el denominador se recalcula con las horas de octubre y noviembre; el reporte cuenta tiempo activo y queda sin constancia la inclusión de corridas desatendidas con la pantalla apagada. Equipo propio, adquirido en enero de 2025; no se adquiere. Aloja el desarrollo, Windows 11 (RNF-06) y el entorno Linux de referencia (Anexo III, D-47). RIGE opera localmente y sin servidor (RNF-05). Especificaciones medidas el 28/09/2026</w:t>
            </w:r>
          </w:p>
        </w:tc>
      </w:tr>
      <w:tr>
        <w:tc>
          <w:tcPr/>
          <w:p>
            <w:pPr>
              <w:pStyle w:val="Compact"/>
            </w:pPr>
            <w:r>
              <w:rPr>
                <w:lang w:val="es-AR"/>
              </w:rPr>
              <w:t xml:space="preserve">Físicos y materiales</w:t>
            </w:r>
          </w:p>
        </w:tc>
        <w:tc>
          <w:tcPr/>
          <w:p>
            <w:pPr>
              <w:pStyle w:val="Compact"/>
            </w:pPr>
            <w:r>
              <w:rPr>
                <w:lang w:val="es-AR"/>
              </w:rPr>
              <w:t xml:space="preserve">Conexión a internet, espacio de trabajo y agua</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OPEX: aporte en especie del grupo familiar, sin valorizar; incluye la climatización y la iluminación del ambiente compartido. La conexión es necesaria para el desarrollo, el canal de integración continua y la medición con agentes, pero no para el uso de RIGE, que no realiza conexiones salientes (RNF-05).</w:t>
            </w:r>
          </w:p>
        </w:tc>
      </w:tr>
      <w:tr>
        <w:tc>
          <w:tcPr/>
          <w:p>
            <w:pPr>
              <w:pStyle w:val="Compact"/>
            </w:pPr>
            <w:r>
              <w:rPr>
                <w:lang w:val="es-AR"/>
              </w:rPr>
              <w:t xml:space="preserve">Físicos y materiales</w:t>
            </w:r>
          </w:p>
        </w:tc>
        <w:tc>
          <w:tcPr/>
          <w:p>
            <w:pPr>
              <w:pStyle w:val="Compact"/>
            </w:pPr>
            <w:r>
              <w:rPr>
                <w:lang w:val="es-AR"/>
              </w:rPr>
              <w:t xml:space="preserve">Energía del equipo</w:t>
            </w:r>
          </w:p>
        </w:tc>
        <w:tc>
          <w:tcPr/>
          <w:p>
            <w:pPr>
              <w:pStyle w:val="Compact"/>
            </w:pPr>
            <w:r>
              <w:rPr>
                <w:lang w:val="es-AR"/>
              </w:rPr>
              <w:t xml:space="preserve">1,9 a 3,8</w:t>
            </w:r>
          </w:p>
        </w:tc>
        <w:tc>
          <w:tcPr/>
          <w:p>
            <w:pPr>
              <w:pStyle w:val="Compact"/>
            </w:pPr>
            <w:r>
              <w:rPr>
                <w:lang w:val="es-AR"/>
              </w:rPr>
              <w:t xml:space="preserve">kWh</w:t>
            </w:r>
          </w:p>
        </w:tc>
        <w:tc>
          <w:tcPr/>
          <w:p>
            <w:pPr>
              <w:pStyle w:val="Compact"/>
            </w:pPr>
            <w:r>
              <w:rPr>
                <w:lang w:val="es-AR"/>
              </w:rPr>
              <w:t xml:space="preserve">314,18</w:t>
            </w:r>
          </w:p>
        </w:tc>
        <w:tc>
          <w:tcPr/>
          <w:p>
            <w:pPr>
              <w:pStyle w:val="Compact"/>
            </w:pPr>
            <w:r>
              <w:rPr>
                <w:lang w:val="es-AR"/>
              </w:rPr>
              <w:t xml:space="preserve">OPEX: aporte en especie del grupo familiar. Costo marginal (USD 0,20 por kWh) calculado sobre la factura del suministro del lugar de trabajo, período del 17/04 al 15/05/2026: energía, Ley provincial 2620/89 (1,5 %), FNEE e IVA del 21 %. Los bloques de 30 y 86 kWh tienen el mismo precio, 253,573 por kWh, por lo que el costo marginal es independiente del escalón. El alumbrado público se trata como cargo fijo bajo un supuesto declarado; el costo promedio de 391,70 (USD 0,25) por kWh queda como cota superior. La tarifa queda sin actualizar ante aumentos posteriores. Con 190 h a 10 a 20 W, orden de magnitud de 597 a 1194 (USD 0,39 a 0,77); el rango es un supuesto del autor sobre una muestra de 7,7 W a carga liviana del 01/10/2026 para cubrir contenedores y agentes. Aun con 60 W durante 190 h al costo promedio, la cota es de 4465, el 0,23 % del costo del proyecto. Se imputa la energía del equipo; la climatización y la iluminación del ambiente quedan en el aporte en especie sin valorizar. El cálculo final incorpora las horas de ejecución desatendida de la línea de base; las de la medición final corresponden a la fase de cierre (Anexo III, D-62)</w:t>
            </w:r>
          </w:p>
        </w:tc>
      </w:tr>
      <w:tr>
        <w:tc>
          <w:tcPr/>
          <w:p>
            <w:pPr>
              <w:pStyle w:val="Compact"/>
            </w:pPr>
            <w:r>
              <w:rPr>
                <w:lang w:val="es-AR"/>
              </w:rPr>
              <w:t xml:space="preserve">Financieros</w:t>
            </w:r>
          </w:p>
        </w:tc>
        <w:tc>
          <w:tcPr/>
          <w:p>
            <w:pPr>
              <w:pStyle w:val="Compact"/>
            </w:pPr>
            <w:r>
              <w:rPr>
                <w:lang w:val="es-AR"/>
              </w:rPr>
              <w:t xml:space="preserve">Suscripción ChatGPT Plus para la medición con agentes</w:t>
            </w:r>
          </w:p>
        </w:tc>
        <w:tc>
          <w:tcPr/>
          <w:p>
            <w:pPr>
              <w:pStyle w:val="Compact"/>
            </w:pPr>
            <w:r>
              <w:rPr>
                <w:lang w:val="es-AR"/>
              </w:rPr>
              <w:t xml:space="preserve">2</w:t>
            </w:r>
          </w:p>
        </w:tc>
        <w:tc>
          <w:tcPr/>
          <w:p>
            <w:pPr>
              <w:pStyle w:val="Compact"/>
            </w:pPr>
            <w:r>
              <w:rPr>
                <w:lang w:val="es-AR"/>
              </w:rPr>
              <w:t xml:space="preserve">mes</w:t>
            </w:r>
          </w:p>
        </w:tc>
        <w:tc>
          <w:tcPr/>
          <w:p>
            <w:pPr>
              <w:pStyle w:val="Compact"/>
            </w:pPr>
            <w:r>
              <w:rPr>
                <w:lang w:val="es-AR"/>
              </w:rPr>
              <w:t xml:space="preserve">30900</w:t>
            </w:r>
          </w:p>
        </w:tc>
        <w:tc>
          <w:tcPr/>
          <w:p>
            <w:pPr>
              <w:pStyle w:val="Compact"/>
            </w:pPr>
            <w:r>
              <w:rPr>
                <w:lang w:val="es-AR"/>
              </w:rPr>
              <w:t xml:space="preserve">OPEX: USD 20 mensuales a precio de lista de OpenAI (s. f.-a), consultado el 01/10/2026, por el tipo de cambio único del BNA. Sostiene la ejecución de los agentes con modelos de OpenAI desde OpenCode en la línea de base y en la medición final, durante octubre y noviembre de 2026 (Anexo III, D-48); también sostiene el apoyo a la escritura del código con Codex (apartado X.4). El consumo se registra en tokens por caso y por modelo y se valoriza a precio de lista de la API solo como equivalente informativo (tabla 34.2). Si los límites de uso impiden completar la medición, se reducen las repeticiones de los modelos secundarios antes que el principal. Precio de lista sin impuestos; el cobro real del 30/09/2026 es de 33135,34 (USD 21,45), un 7,2 % mayor por el tipo de cambio y los cargos que aplica el medio de pago</w:t>
            </w:r>
          </w:p>
        </w:tc>
      </w:tr>
      <w:tr>
        <w:tc>
          <w:tcPr/>
          <w:p>
            <w:pPr>
              <w:pStyle w:val="Compact"/>
            </w:pPr>
            <w:r>
              <w:rPr>
                <w:lang w:val="es-AR"/>
              </w:rPr>
              <w:t xml:space="preserve">Financieros</w:t>
            </w:r>
          </w:p>
        </w:tc>
        <w:tc>
          <w:tcPr/>
          <w:p>
            <w:pPr>
              <w:pStyle w:val="Compact"/>
            </w:pPr>
            <w:r>
              <w:rPr>
                <w:lang w:val="es-AR"/>
              </w:rPr>
              <w:t xml:space="preserve">Suscripción Claude Pro para el apoyo al contraste, la coherencia y la redacción</w:t>
            </w:r>
          </w:p>
        </w:tc>
        <w:tc>
          <w:tcPr/>
          <w:p>
            <w:pPr>
              <w:pStyle w:val="Compact"/>
            </w:pPr>
            <w:r>
              <w:rPr>
                <w:lang w:val="es-AR"/>
              </w:rPr>
              <w:t xml:space="preserve">3</w:t>
            </w:r>
          </w:p>
        </w:tc>
        <w:tc>
          <w:tcPr/>
          <w:p>
            <w:pPr>
              <w:pStyle w:val="Compact"/>
            </w:pPr>
            <w:r>
              <w:rPr>
                <w:lang w:val="es-AR"/>
              </w:rPr>
              <w:t xml:space="preserve">mes</w:t>
            </w:r>
          </w:p>
        </w:tc>
        <w:tc>
          <w:tcPr/>
          <w:p>
            <w:pPr>
              <w:pStyle w:val="Compact"/>
            </w:pPr>
            <w:r>
              <w:rPr>
                <w:lang w:val="es-AR"/>
              </w:rPr>
              <w:t xml:space="preserve">30900</w:t>
            </w:r>
          </w:p>
        </w:tc>
        <w:tc>
          <w:tcPr/>
          <w:p>
            <w:pPr>
              <w:pStyle w:val="Compact"/>
            </w:pPr>
            <w:r>
              <w:rPr>
                <w:lang w:val="es-AR"/>
              </w:rPr>
              <w:t xml:space="preserve">OPEX: USD 20 a precio de lista con facturación mensual de Anthropic (s. f.), consultado el 01/10/2026, sin impuestos, por el tipo de cambio único del BNA; septiembre a noviembre de 2026. La suscripción se imputa al autor y sostiene las funciones de apoyo declaradas en la fila tecnológica de Claude Code (Anexo III, D-49 y D-62)</w:t>
            </w:r>
          </w:p>
        </w:tc>
      </w:tr>
      <w:tr>
        <w:tc>
          <w:tcPr/>
          <w:p>
            <w:pPr>
              <w:pStyle w:val="Compact"/>
            </w:pPr>
            <w:r>
              <w:rPr>
                <w:lang w:val="es-AR"/>
              </w:rPr>
              <w:t xml:space="preserve">Tecnológicos</w:t>
            </w:r>
          </w:p>
        </w:tc>
        <w:tc>
          <w:tcPr/>
          <w:p>
            <w:pPr>
              <w:pStyle w:val="Compact"/>
            </w:pPr>
            <w:r>
              <w:rPr>
                <w:lang w:val="es-AR"/>
              </w:rPr>
              <w:t xml:space="preserve">Lenguaje TypeScript</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Apache 2.0. Versión 7.0.2, fijada en forma exacta; solo verifica tipos y no interviene en la ejecución (Anexo III, D-56). Permite ejecutar sin adaptación el código del evaluador de permisos de OpenCode, escrito en TypeScript. Alternativa descartada: otro lenguaje, que obliga a portar el evaluador y contradice la incorporación del evaluador por copia (Anexo III, D-06 y D-42)</w:t>
            </w:r>
          </w:p>
        </w:tc>
      </w:tr>
      <w:tr>
        <w:tc>
          <w:tcPr/>
          <w:p>
            <w:pPr>
              <w:pStyle w:val="Compact"/>
            </w:pPr>
            <w:r>
              <w:rPr>
                <w:lang w:val="es-AR"/>
              </w:rPr>
              <w:t xml:space="preserve">Tecnológicos</w:t>
            </w:r>
          </w:p>
        </w:tc>
        <w:tc>
          <w:tcPr/>
          <w:p>
            <w:pPr>
              <w:pStyle w:val="Compact"/>
            </w:pPr>
            <w:r>
              <w:rPr>
                <w:lang w:val="es-AR"/>
              </w:rPr>
              <w:t xml:space="preserve">Entorno de ejecución Bun 1.3.14</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Es la misma versión que declara OpenCode 1.18.25 en</w:t>
            </w:r>
            <w:r>
              <w:rPr>
                <w:lang w:val="es-AR"/>
              </w:rPr>
              <w:t xml:space="preserve"> </w:t>
            </w:r>
            <w:r>
              <w:rPr>
                <w:rStyle w:val="VerbatimChar"/>
                <w:lang w:val="es-AR"/>
              </w:rPr>
              <w:t xml:space="preserve">packageManager</w:t>
            </w:r>
            <w:r>
              <w:rPr>
                <w:lang w:val="es-AR"/>
              </w:rPr>
              <w:t xml:space="preserve">. Integra SQLite, ejecutor de pruebas y servidor HTTP, con un solo prerrequisito para la cátedra. Alternativa descartada: Node.js LTS, porque ejecutar las funciones copiadas en el mismo motor de JavaScript que el oráculo (Bun) elimina una fuente de divergencia (Anexo III, D-42)</w:t>
            </w:r>
          </w:p>
        </w:tc>
      </w:tr>
      <w:tr>
        <w:tc>
          <w:tcPr/>
          <w:p>
            <w:pPr>
              <w:pStyle w:val="Compact"/>
            </w:pPr>
            <w:r>
              <w:rPr>
                <w:lang w:val="es-AR"/>
              </w:rPr>
              <w:t xml:space="preserve">Tecnológicos</w:t>
            </w:r>
          </w:p>
        </w:tc>
        <w:tc>
          <w:tcPr/>
          <w:p>
            <w:pPr>
              <w:pStyle w:val="Compact"/>
            </w:pPr>
            <w:r>
              <w:rPr>
                <w:lang w:val="es-AR"/>
              </w:rPr>
              <w:t xml:space="preserve">Motor de base de datos SQLite embebido (</w:t>
            </w:r>
            <w:r>
              <w:rPr>
                <w:rStyle w:val="VerbatimChar"/>
                <w:lang w:val="es-AR"/>
              </w:rPr>
              <w:t xml:space="preserve">bun:sqlite</w:t>
            </w:r>
            <w:r>
              <w:rPr>
                <w:lang w:val="es-AR"/>
              </w:rPr>
              <w:t xml:space="preserve">)</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Dominio público. Es un motor real, con esquema creado por guion y sin servidor ni credenciales. Alternativa descartada: PostgreSQL, que agrega un servicio y credenciales sin requisito que lo justifique (Anexo III, D-45 y D-23)</w:t>
            </w:r>
          </w:p>
        </w:tc>
      </w:tr>
      <w:tr>
        <w:tc>
          <w:tcPr/>
          <w:p>
            <w:pPr>
              <w:pStyle w:val="Compact"/>
            </w:pPr>
            <w:r>
              <w:rPr>
                <w:lang w:val="es-AR"/>
              </w:rPr>
              <w:t xml:space="preserve">Tecnológicos</w:t>
            </w:r>
          </w:p>
        </w:tc>
        <w:tc>
          <w:tcPr/>
          <w:p>
            <w:pPr>
              <w:pStyle w:val="Compact"/>
            </w:pPr>
            <w:r>
              <w:rPr>
                <w:lang w:val="es-AR"/>
              </w:rPr>
              <w:t xml:space="preserve">Evaluador de permisos de OpenCode 1.18.25, incorporado por copia atribuida</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«Copyright (c) 2025 opencode». Se copian cuatro funciones puras y las reglas nativas, y se conserva la atribución. Alternativas descartadas: dependencia del paquete publicado (no expone el módulo) e invocación del binario (confunde producto y oráculo) (Anexo III, D-06 y D-44)</w:t>
            </w:r>
          </w:p>
        </w:tc>
      </w:tr>
      <w:tr>
        <w:tc>
          <w:tcPr/>
          <w:p>
            <w:pPr>
              <w:pStyle w:val="Compact"/>
            </w:pPr>
            <w:r>
              <w:rPr>
                <w:lang w:val="es-AR"/>
              </w:rPr>
              <w:t xml:space="preserve">Tecnológicos</w:t>
            </w:r>
          </w:p>
        </w:tc>
        <w:tc>
          <w:tcPr/>
          <w:p>
            <w:pPr>
              <w:pStyle w:val="Compact"/>
            </w:pPr>
            <w:r>
              <w:rPr>
                <w:lang w:val="es-AR"/>
              </w:rPr>
              <w:t xml:space="preserve">OpenCode 1.18.25 como oráculo y herramienta de prueba y de medición</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Licencia MIT. Es la versión congelada. Fija los resultados de referencia (Anexo III, D-34) y ejecuta los agentes de la medición con modelos de OpenAI sobre ChatGPT Plus (Anexo III, D-41 y D-48; apartado X.3)</w:t>
            </w:r>
          </w:p>
        </w:tc>
      </w:tr>
      <w:tr>
        <w:tc>
          <w:tcPr/>
          <w:p>
            <w:pPr>
              <w:pStyle w:val="Compact"/>
            </w:pPr>
            <w:r>
              <w:rPr>
                <w:lang w:val="es-AR"/>
              </w:rPr>
              <w:t xml:space="preserve">Tecnológicos</w:t>
            </w:r>
          </w:p>
        </w:tc>
        <w:tc>
          <w:tcPr/>
          <w:p>
            <w:pPr>
              <w:pStyle w:val="Compact"/>
            </w:pPr>
            <w:r>
              <w:rPr>
                <w:lang w:val="es-AR"/>
              </w:rPr>
              <w:t xml:space="preserve">Imagen de contenedor Ubuntu 26.04 con Docker Desktop 4.90.0 sobre WSL 2 (2.7.10)</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Docker Desktop: gratuito para uso personal, educativo, en proyectos de código abierto no comerciales y en empresas de menos de 250 empleados y menos de USD 10 millones de ingresos anuales (Docker Subscription Service Agreement, §3.2, consultado el 28/09/2026). WSL 2: componente de Windows. Aloja el oráculo, la medición con agentes y la de RNF-07, con aislamiento y reproducibilidad por construcción. Alternativas descartadas: distribución WSL dedicada y máquina virtual completa (Anexo III, D-47). Recursos fijados con</w:t>
            </w:r>
            <w:r>
              <w:rPr>
                <w:lang w:val="es-AR"/>
              </w:rPr>
              <w:t xml:space="preserve"> </w:t>
            </w:r>
            <w:r>
              <w:rPr>
                <w:rStyle w:val="VerbatimChar"/>
                <w:lang w:val="es-AR"/>
              </w:rPr>
              <w:t xml:space="preserve">.wslconfig</w:t>
            </w:r>
            <w:r>
              <w:rPr>
                <w:lang w:val="es-AR"/>
              </w:rPr>
              <w:t xml:space="preserve"> </w:t>
            </w:r>
            <w:r>
              <w:rPr>
                <w:lang w:val="es-AR"/>
              </w:rPr>
              <w:t xml:space="preserve">(8 GB, 12 procesadores)</w:t>
            </w:r>
          </w:p>
        </w:tc>
      </w:tr>
      <w:tr>
        <w:tc>
          <w:tcPr/>
          <w:p>
            <w:pPr>
              <w:pStyle w:val="Compact"/>
            </w:pPr>
            <w:r>
              <w:rPr>
                <w:lang w:val="es-AR"/>
              </w:rPr>
              <w:t xml:space="preserve">Tecnológicos</w:t>
            </w:r>
          </w:p>
        </w:tc>
        <w:tc>
          <w:tcPr/>
          <w:p>
            <w:pPr>
              <w:pStyle w:val="Compact"/>
            </w:pPr>
            <w:r>
              <w:rPr>
                <w:lang w:val="es-AR"/>
              </w:rPr>
              <w:t xml:space="preserve">GitHub: repositorio y canal de integración continua (GitHub Actions)</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Plan gratuito. El repositorio es</w:t>
            </w:r>
            <w:r>
              <w:rPr>
                <w:lang w:val="es-AR"/>
              </w:rPr>
              <w:t xml:space="preserve"> </w:t>
            </w:r>
            <w:r>
              <w:rPr>
                <w:b/>
                <w:bCs/>
                <w:lang w:val="es-AR"/>
              </w:rPr>
              <w:t xml:space="preserve">privado, con el docente como colaborador</w:t>
            </w:r>
            <w:r>
              <w:rPr>
                <w:lang w:val="es-AR"/>
              </w:rPr>
              <w:t xml:space="preserve">, conforme a la regla de acceso de la cátedra (Guía AE2, §2.3); se publica bajo licencia MIT tras la aprobación. En un repositorio privado, GitHub Actions consume la cuota del plan gratuito, de 2.000 minutos mensuales en ejecutores estándar (documentación de facturación de GitHub, consultada el 28/09/2026). Es el servicio que nombran la guía de comprobación del v1 y las reglas de la cátedra (</w:t>
            </w:r>
            <w:r>
              <w:rPr>
                <w:rStyle w:val="VerbatimChar"/>
                <w:lang w:val="es-AR"/>
              </w:rPr>
              <w:t xml:space="preserve">.github/workflows/ci.yml</w:t>
            </w:r>
            <w:r>
              <w:rPr>
                <w:lang w:val="es-AR"/>
              </w:rPr>
              <w:t xml:space="preserve">). Alternativa descartada: GitLab CI, que obliga a replicar el repositorio (Anexo III, D-46)</w:t>
            </w:r>
          </w:p>
        </w:tc>
      </w:tr>
      <w:tr>
        <w:tc>
          <w:tcPr/>
          <w:p>
            <w:pPr>
              <w:pStyle w:val="Compact"/>
            </w:pPr>
            <w:r>
              <w:rPr>
                <w:lang w:val="es-AR"/>
              </w:rPr>
              <w:t xml:space="preserve">Tecnológicos</w:t>
            </w:r>
          </w:p>
        </w:tc>
        <w:tc>
          <w:tcPr/>
          <w:p>
            <w:pPr>
              <w:pStyle w:val="Compact"/>
            </w:pPr>
            <w:r>
              <w:rPr>
                <w:lang w:val="es-AR"/>
              </w:rPr>
              <w:t xml:space="preserve">Asistente de contraste, coherencia y redacción Claude Code (plan Claude Pro, Anthropic)</w:t>
            </w:r>
          </w:p>
        </w:tc>
        <w:tc>
          <w:tcPr/>
          <w:p>
            <w:pPr>
              <w:pStyle w:val="Compact"/>
            </w:pPr>
            <w:r>
              <w:rPr>
                <w:lang w:val="es-AR"/>
              </w:rPr>
              <w:t xml:space="preserve">1</w:t>
            </w:r>
          </w:p>
        </w:tc>
        <w:tc>
          <w:tcPr/>
          <w:p>
            <w:pPr>
              <w:pStyle w:val="Compact"/>
            </w:pPr>
            <w:r>
              <w:rPr>
                <w:lang w:val="es-AR"/>
              </w:rPr>
              <w:t xml:space="preserve">suscripción</w:t>
            </w:r>
          </w:p>
        </w:tc>
        <w:tc>
          <w:tcPr/>
          <w:p>
            <w:pPr>
              <w:pStyle w:val="Compact"/>
            </w:pPr>
            <w:r>
              <w:rPr>
                <w:lang w:val="es-AR"/>
              </w:rPr>
              <w:t xml:space="preserve">0</w:t>
            </w:r>
          </w:p>
        </w:tc>
        <w:tc>
          <w:tcPr/>
          <w:p>
            <w:pPr>
              <w:pStyle w:val="Compact"/>
            </w:pPr>
            <w:r>
              <w:rPr>
                <w:lang w:val="es-AR"/>
              </w:rPr>
              <w:t xml:space="preserve">Suscripción personal del autor, pagada desde julio de 2026; su costo de septiembre a noviembre se imputa en la fila financiera de Claude Pro (Anexo III, D-49 y D-62). La estimación de horas de la Tabla 18 no supone su uso. Asiste en el contraste de alternativas, la verificación de coherencia y la redacción sobre contenido propio. Las decisiones, los datos, la validación con la referente y la aceptación de las pruebas quedan a cargo del autor. Su función y los artefactos afectados se declaran en la bitácora y en el archivo de lectura del v1</w:t>
            </w:r>
          </w:p>
        </w:tc>
      </w:tr>
      <w:tr>
        <w:tc>
          <w:tcPr/>
          <w:p>
            <w:pPr>
              <w:pStyle w:val="Compact"/>
            </w:pPr>
            <w:r>
              <w:rPr>
                <w:lang w:val="es-AR"/>
              </w:rPr>
              <w:t xml:space="preserve">Tecnológicos</w:t>
            </w:r>
          </w:p>
        </w:tc>
        <w:tc>
          <w:tcPr/>
          <w:p>
            <w:pPr>
              <w:pStyle w:val="Compact"/>
            </w:pPr>
            <w:r>
              <w:rPr>
                <w:lang w:val="es-AR"/>
              </w:rPr>
              <w:t xml:space="preserve">Codex, gpt-6.1-sol, sobre ChatGPT Plus</w:t>
            </w:r>
          </w:p>
        </w:tc>
        <w:tc>
          <w:tcPr/>
          <w:p>
            <w:pPr>
              <w:pStyle w:val="Compact"/>
            </w:pPr>
            <w:r>
              <w:rPr>
                <w:lang w:val="es-AR"/>
              </w:rPr>
              <w:t xml:space="preserve">1</w:t>
            </w:r>
          </w:p>
        </w:tc>
        <w:tc>
          <w:tcPr/>
          <w:p>
            <w:pPr>
              <w:pStyle w:val="Compact"/>
            </w:pPr>
            <w:r>
              <w:rPr>
                <w:lang w:val="es-AR"/>
              </w:rPr>
              <w:t xml:space="preserve">herramienta</w:t>
            </w:r>
          </w:p>
        </w:tc>
        <w:tc>
          <w:tcPr/>
          <w:p>
            <w:pPr>
              <w:pStyle w:val="Compact"/>
            </w:pPr>
            <w:r>
              <w:rPr>
                <w:lang w:val="es-AR"/>
              </w:rPr>
              <w:t xml:space="preserve">0</w:t>
            </w:r>
          </w:p>
        </w:tc>
        <w:tc>
          <w:tcPr/>
          <w:p>
            <w:pPr>
              <w:pStyle w:val="Compact"/>
            </w:pPr>
            <w:r>
              <w:rPr>
                <w:lang w:val="es-AR"/>
              </w:rPr>
              <w:t xml:space="preserve">Asiste en la escritura del código sobre fichas del autor, revisada por el autor, y en la redacción sobre contenido propio (Anexo III, D-49). La suscripción figura en la partida financiera y su función y los artefactos afectados se declaran en la bitácora y en el archivo de lectura del v1</w:t>
            </w:r>
          </w:p>
        </w:tc>
      </w:tr>
      <w:tr>
        <w:tc>
          <w:tcPr/>
          <w:p>
            <w:pPr>
              <w:pStyle w:val="Compact"/>
            </w:pPr>
            <w:r>
              <w:rPr>
                <w:lang w:val="es-AR"/>
              </w:rPr>
              <w:t xml:space="preserve">Tecnológicos</w:t>
            </w:r>
          </w:p>
        </w:tc>
        <w:tc>
          <w:tcPr/>
          <w:p>
            <w:pPr>
              <w:pStyle w:val="Compact"/>
            </w:pPr>
            <w:r>
              <w:rPr>
                <w:lang w:val="es-AR"/>
              </w:rPr>
              <w:t xml:space="preserve">Trello</w:t>
            </w:r>
          </w:p>
        </w:tc>
        <w:tc>
          <w:tcPr/>
          <w:p>
            <w:pPr>
              <w:pStyle w:val="Compact"/>
            </w:pPr>
            <w:r>
              <w:rPr>
                <w:lang w:val="es-AR"/>
              </w:rPr>
              <w:t xml:space="preserve">1</w:t>
            </w:r>
          </w:p>
        </w:tc>
        <w:tc>
          <w:tcPr/>
          <w:p>
            <w:pPr>
              <w:pStyle w:val="Compact"/>
            </w:pPr>
            <w:r>
              <w:rPr>
                <w:lang w:val="es-AR"/>
              </w:rPr>
              <w:t xml:space="preserve">servicio</w:t>
            </w:r>
          </w:p>
        </w:tc>
        <w:tc>
          <w:tcPr/>
          <w:p>
            <w:pPr>
              <w:pStyle w:val="Compact"/>
            </w:pPr>
            <w:r>
              <w:rPr>
                <w:lang w:val="es-AR"/>
              </w:rPr>
              <w:t xml:space="preserve">0</w:t>
            </w:r>
          </w:p>
        </w:tc>
        <w:tc>
          <w:tcPr/>
          <w:p>
            <w:pPr>
              <w:pStyle w:val="Compact"/>
            </w:pPr>
            <w:r>
              <w:rPr>
                <w:lang w:val="es-AR"/>
              </w:rPr>
              <w:t xml:space="preserve">Tablero de gestión exigido por la consigna, en su plan gratuito</w:t>
            </w:r>
          </w:p>
        </w:tc>
      </w:tr>
      <w:tr>
        <w:tc>
          <w:tcPr/>
          <w:p>
            <w:pPr>
              <w:pStyle w:val="Compact"/>
            </w:pPr>
            <w:r>
              <w:rPr>
                <w:lang w:val="es-AR"/>
              </w:rPr>
              <w:t xml:space="preserve">Tecnológicos</w:t>
            </w:r>
          </w:p>
        </w:tc>
        <w:tc>
          <w:tcPr/>
          <w:p>
            <w:pPr>
              <w:pStyle w:val="Compact"/>
            </w:pPr>
            <w:r>
              <w:rPr>
                <w:lang w:val="es-AR"/>
              </w:rPr>
              <w:t xml:space="preserve">matplotlib 3.11.0</w:t>
            </w:r>
          </w:p>
        </w:tc>
        <w:tc>
          <w:tcPr/>
          <w:p>
            <w:pPr>
              <w:pStyle w:val="Compact"/>
            </w:pPr>
            <w:r>
              <w:rPr>
                <w:lang w:val="es-AR"/>
              </w:rPr>
              <w:t xml:space="preserve">1</w:t>
            </w:r>
          </w:p>
        </w:tc>
        <w:tc>
          <w:tcPr/>
          <w:p>
            <w:pPr>
              <w:pStyle w:val="Compact"/>
            </w:pPr>
            <w:r>
              <w:rPr>
                <w:lang w:val="es-AR"/>
              </w:rPr>
              <w:t xml:space="preserve">licencia</w:t>
            </w:r>
          </w:p>
        </w:tc>
        <w:tc>
          <w:tcPr/>
          <w:p>
            <w:pPr>
              <w:pStyle w:val="Compact"/>
            </w:pPr>
            <w:r>
              <w:rPr>
                <w:lang w:val="es-AR"/>
              </w:rPr>
              <w:t xml:space="preserve">0</w:t>
            </w:r>
          </w:p>
        </w:tc>
        <w:tc>
          <w:tcPr/>
          <w:p>
            <w:pPr>
              <w:pStyle w:val="Compact"/>
            </w:pPr>
            <w:r>
              <w:rPr>
                <w:lang w:val="es-AR"/>
              </w:rPr>
              <w:t xml:space="preserve">Generación de las figuras; licencia de matplotlib, basada en PSF</w:t>
            </w:r>
          </w:p>
        </w:tc>
      </w:tr>
      <w:tr>
        <w:tc>
          <w:tcPr/>
          <w:p>
            <w:pPr>
              <w:pStyle w:val="Compact"/>
            </w:pPr>
            <w:r>
              <w:rPr>
                <w:lang w:val="es-AR"/>
              </w:rPr>
              <w:t xml:space="preserve">Otros</w:t>
            </w:r>
          </w:p>
        </w:tc>
        <w:tc>
          <w:tcPr/>
          <w:p>
            <w:pPr>
              <w:pStyle w:val="Compact"/>
            </w:pPr>
            <w:r>
              <w:rPr>
                <w:lang w:val="es-AR"/>
              </w:rPr>
              <w:t xml:space="preserve">Licencias de terceros y atribución</w:t>
            </w:r>
          </w:p>
        </w:tc>
        <w:tc>
          <w:tcPr/>
          <w:p>
            <w:pPr>
              <w:pStyle w:val="Compact"/>
            </w:pPr>
            <w:r>
              <w:rPr>
                <w:lang w:val="es-AR"/>
              </w:rPr>
              <w:t xml:space="preserve">1</w:t>
            </w:r>
          </w:p>
        </w:tc>
        <w:tc>
          <w:tcPr/>
          <w:p>
            <w:pPr>
              <w:pStyle w:val="Compact"/>
            </w:pPr>
            <w:r>
              <w:rPr>
                <w:lang w:val="es-AR"/>
              </w:rPr>
              <w:t xml:space="preserve">obligación</w:t>
            </w:r>
          </w:p>
        </w:tc>
        <w:tc>
          <w:tcPr/>
          <w:p>
            <w:pPr>
              <w:pStyle w:val="Compact"/>
            </w:pPr>
            <w:r>
              <w:rPr>
                <w:lang w:val="es-AR"/>
              </w:rPr>
              <w:t xml:space="preserve">0</w:t>
            </w:r>
          </w:p>
        </w:tc>
        <w:tc>
          <w:tcPr/>
          <w:p>
            <w:pPr>
              <w:pStyle w:val="Compact"/>
            </w:pPr>
            <w:r>
              <w:rPr>
                <w:lang w:val="es-AR"/>
              </w:rPr>
              <w:t xml:space="preserve">Se publica la atribución MIT de OpenCode junto al código copiado y la licencia MIT de RIGE (Anexo III, D-31). No hay licencias pagas</w:t>
            </w:r>
          </w:p>
        </w:tc>
      </w:tr>
      <w:tr>
        <w:tc>
          <w:tcPr/>
          <w:p>
            <w:pPr>
              <w:pStyle w:val="Compact"/>
            </w:pPr>
            <w:r>
              <w:rPr>
                <w:lang w:val="es-AR"/>
              </w:rPr>
              <w:t xml:space="preserve">Otros</w:t>
            </w:r>
          </w:p>
        </w:tc>
        <w:tc>
          <w:tcPr/>
          <w:p>
            <w:pPr>
              <w:pStyle w:val="Compact"/>
            </w:pPr>
            <w:r>
              <w:rPr>
                <w:lang w:val="es-AR"/>
              </w:rPr>
              <w:t xml:space="preserve">Capacitación</w:t>
            </w:r>
          </w:p>
        </w:tc>
        <w:tc>
          <w:tcPr/>
          <w:p>
            <w:pPr>
              <w:pStyle w:val="Compact"/>
            </w:pPr>
            <w:r>
              <w:rPr>
                <w:lang w:val="es-AR"/>
              </w:rPr>
              <w:t xml:space="preserve">0</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Sin horas propias: el autor declara experiencia previa en TypeScript (Anexo III, D-42). El estudio del código de OpenCode se realizó en el relevamiento (Anexo I, A.I.3), y la curva de Bun se absorbe en las tareas de la Tabla 18</w:t>
            </w:r>
          </w:p>
        </w:tc>
      </w:tr>
      <w:tr>
        <w:tc>
          <w:tcPr/>
          <w:p>
            <w:pPr>
              <w:pStyle w:val="Compact"/>
            </w:pPr>
            <w:r>
              <w:rPr>
                <w:lang w:val="es-AR"/>
              </w:rPr>
              <w:t xml:space="preserve">Otros</w:t>
            </w:r>
          </w:p>
        </w:tc>
        <w:tc>
          <w:tcPr/>
          <w:p>
            <w:pPr>
              <w:pStyle w:val="Compact"/>
            </w:pPr>
            <w:r>
              <w:rPr>
                <w:lang w:val="es-AR"/>
              </w:rPr>
              <w:t xml:space="preserve">Migración de datos</w:t>
            </w:r>
          </w:p>
        </w:tc>
        <w:tc>
          <w:tcPr/>
          <w:p>
            <w:pPr>
              <w:pStyle w:val="Compact"/>
            </w:pPr>
            <w:r>
              <w:rPr>
                <w:lang w:val="es-AR"/>
              </w:rPr>
              <w:t xml:space="preserve">0</w:t>
            </w:r>
          </w:p>
        </w:tc>
        <w:tc>
          <w:tcPr/>
          <w:p>
            <w:pPr>
              <w:pStyle w:val="Compact"/>
            </w:pPr>
            <w:r>
              <w:rPr>
                <w:lang w:val="es-AR"/>
              </w:rPr>
              <w:t xml:space="preserve">—</w:t>
            </w:r>
          </w:p>
        </w:tc>
        <w:tc>
          <w:tcPr/>
          <w:p>
            <w:pPr>
              <w:pStyle w:val="Compact"/>
            </w:pPr>
            <w:r>
              <w:rPr>
                <w:lang w:val="es-AR"/>
              </w:rPr>
              <w:t xml:space="preserve">0</w:t>
            </w:r>
          </w:p>
        </w:tc>
        <w:tc>
          <w:tcPr/>
          <w:p>
            <w:pPr>
              <w:pStyle w:val="Compact"/>
            </w:pPr>
            <w:r>
              <w:rPr>
                <w:lang w:val="es-AR"/>
              </w:rPr>
              <w:t xml:space="preserve">No aplica. RIGE es de solo lectura y no reemplaza ningún repositorio de datos: lee las entradas de configuración en su lugar. El sustituto que desplaza es un procedimiento, manual o delegado en un agente, y no una planilla</w:t>
            </w:r>
          </w:p>
        </w:tc>
      </w:tr>
      <w:tr>
        <w:tc>
          <w:tcPr/>
          <w:p>
            <w:pPr>
              <w:pStyle w:val="Compact"/>
            </w:pPr>
            <w:r>
              <w:rPr>
                <w:lang w:val="es-AR"/>
              </w:rPr>
              <w:t xml:space="preserve">Otros</w:t>
            </w:r>
          </w:p>
        </w:tc>
        <w:tc>
          <w:tcPr/>
          <w:p>
            <w:pPr>
              <w:pStyle w:val="Compact"/>
            </w:pPr>
            <w:r>
              <w:rPr>
                <w:lang w:val="es-AR"/>
              </w:rPr>
              <w:t xml:space="preserve">Soporte posterior al período</w:t>
            </w:r>
          </w:p>
        </w:tc>
        <w:tc>
          <w:tcPr/>
          <w:p>
            <w:pPr>
              <w:pStyle w:val="Compact"/>
            </w:pPr>
            <w:r>
              <w:rPr>
                <w:lang w:val="es-AR"/>
              </w:rPr>
              <w:t xml:space="preserve">0</w:t>
            </w:r>
          </w:p>
        </w:tc>
        <w:tc>
          <w:tcPr/>
          <w:p>
            <w:pPr>
              <w:pStyle w:val="Compact"/>
            </w:pPr>
            <w:r>
              <w:rPr>
                <w:lang w:val="es-AR"/>
              </w:rPr>
              <w:t xml:space="preserve">hora</w:t>
            </w:r>
          </w:p>
        </w:tc>
        <w:tc>
          <w:tcPr/>
          <w:p>
            <w:pPr>
              <w:pStyle w:val="Compact"/>
            </w:pPr>
            <w:r>
              <w:rPr>
                <w:lang w:val="es-AR"/>
              </w:rPr>
              <w:t xml:space="preserve">0</w:t>
            </w:r>
          </w:p>
        </w:tc>
        <w:tc>
          <w:tcPr/>
          <w:p>
            <w:pPr>
              <w:pStyle w:val="Compact"/>
            </w:pPr>
            <w:r>
              <w:rPr>
                <w:lang w:val="es-AR"/>
              </w:rPr>
              <w:t xml:space="preserve">OPEX posterior, fuera del presupuesto: readaptación ante nuevas versiones de OpenCode, estimada a partir de la Tabla 18 en 4 a 22 h por intervención, de 35504 a 195272 (USD 22,98 a 126,39). Punto de equilibrio, definido como el ingreso anual por patrocinio que iguala el costo anual de sostenimiento, con intervenciones agrupadas trimestralmente y la cota alta: 88 h por 8876 = 781088, más 38839 de amortización y 276 a 553 de energía; total de 820203 a 820480 por año (USD 530,88 a 531,05), unos 68360 por mes (USD 44,25), sin patrocinio asegurado. El canal previsto es GitHub Sponsors, sin comisión sobre aportes de cuentas personales (GitHub, s. f.-a): 9 patrocinadores de USD 5 (o 45 de USD 1, o 5 de USD 10). Entre intervenciones, RIGE advierte si la versión instalada difiere de la que reproduce (RF-05) (apartados IV.1 y X.3; Anexo III, D-62)</w:t>
            </w:r>
          </w:p>
        </w:tc>
      </w:tr>
    </w:tbl>
    <w:p>
      <w:pPr>
        <w:pStyle w:val="BodyText"/>
      </w:pPr>
      <w:r>
        <w:rPr>
          <w:i/>
          <w:iCs/>
          <w:lang w:val="es-AR"/>
        </w:rPr>
        <w:t xml:space="preserve">Fase de cierre posterior al período (fuera del cómputo, igual que en el apartado V.4): 48 h estimadas × $8876 (USD 5,74) = $426048 (USD 275,76) de costo de oportunidad adicional, declarado como estimación. Financia la medición final y la constancia de la referente. La referente figura con «—» en cantidad porque su dedicación no integra las horas del proyecto.</w:t>
      </w:r>
    </w:p>
    <w:p>
      <w:pPr>
        <w:pStyle w:val="BodyText"/>
      </w:pPr>
      <w:r>
        <w:rPr>
          <w:i/>
          <w:iCs/>
          <w:lang w:val="es-AR"/>
        </w:rPr>
        <w:t xml:space="preserve">Las cifras en pesos se expresan sin separador de miles para que la hoja «Recursos» del libro las calcule. Se emplea un único tipo de cambio en ambas direcciones: billete vendedor del Banco de la Nación Argentina del 01/10/2026, 1545 pesos por USD (Banco de la Nación Argentina, s. f.). El costo valorizado del proyecto es provisorio: de 1925393 a 1925990 (USD 1246,21 a 1246,60), con CAPEX de 1207136 (USD 781,32) y desembolso de 154500 (USD 100,00); los aportes sin valorizar quedan declarados fuera de esa suma (Anexo III, D-62).</w:t>
      </w:r>
    </w:p>
    <w:p>
      <w:pPr>
        <w:pStyle w:val="BodyText"/>
      </w:pPr>
      <w:r>
        <w:rPr>
          <w:b/>
          <w:bCs/>
          <w:lang w:val="es-AR"/>
        </w:rPr>
        <w:t xml:space="preserve">34.2 · Las tres preguntas aplicadas a cada cifra de costo</w:t>
      </w:r>
    </w:p>
    <w:tbl>
      <w:tblPr>
        <w:tblStyle w:val="Table"/>
        <w:tblW w:w="8504" w:type="dxa"/>
        <w:jc w:val="left"/>
        <w:tblInd w:w="0" w:type="dxa"/>
        <w:tblLayout w:type="fixed"/>
        <w:tblLook w:firstRow="1" w:lastRow="0" w:firstColumn="0" w:lastColumn="0" w:noHBand="0" w:noVBand="0" w:val="0020"/>
      </w:tblPr>
      <w:tblGrid>
        <w:gridCol w:w="1473"/>
        <w:gridCol w:w="1701"/>
        <w:gridCol w:w="3629"/>
        <w:gridCol w:w="1701"/>
      </w:tblGrid>
      <w:tr>
        <w:trPr>
          <w:tblHeader w:val="on"/>
        </w:trPr>
        <w:tc>
          <w:tcPr/>
          <w:p>
            <w:pPr>
              <w:pStyle w:val="Compact"/>
            </w:pPr>
            <w:r>
              <w:rPr>
                <w:b/>
                <w:bCs/>
                <w:lang w:val="es-AR"/>
              </w:rPr>
              <w:t xml:space="preserve">Cifra empleada</w:t>
            </w:r>
          </w:p>
        </w:tc>
        <w:tc>
          <w:tcPr/>
          <w:p>
            <w:pPr>
              <w:pStyle w:val="Compact"/>
            </w:pPr>
            <w:r>
              <w:rPr>
                <w:b/>
                <w:bCs/>
                <w:lang w:val="es-AR"/>
              </w:rPr>
              <w:t xml:space="preserve">¿Quién la produjo?</w:t>
            </w:r>
          </w:p>
        </w:tc>
        <w:tc>
          <w:tcPr/>
          <w:p>
            <w:pPr>
              <w:pStyle w:val="Compact"/>
            </w:pPr>
            <w:r>
              <w:rPr>
                <w:b/>
                <w:bCs/>
                <w:lang w:val="es-AR"/>
              </w:rPr>
              <w:t xml:space="preserve">¿Con qué método y sobre qué universo?</w:t>
            </w:r>
          </w:p>
        </w:tc>
        <w:tc>
          <w:tcPr/>
          <w:p>
            <w:pPr>
              <w:pStyle w:val="Compact"/>
            </w:pPr>
            <w:r>
              <w:rPr>
                <w:b/>
                <w:bCs/>
                <w:lang w:val="es-AR"/>
              </w:rPr>
              <w:t xml:space="preserve">¿Para qué período de referencia?</w:t>
            </w:r>
          </w:p>
        </w:tc>
      </w:tr>
      <w:tr>
        <w:tc>
          <w:tcPr/>
          <w:p>
            <w:pPr>
              <w:pStyle w:val="Compact"/>
            </w:pPr>
            <w:r>
              <w:rPr>
                <w:lang w:val="es-AR"/>
              </w:rPr>
              <w:t xml:space="preserve">$1538500 mensuales: mediana bruta mensual de seniority junior (USD 995,79)</w:t>
            </w:r>
          </w:p>
        </w:tc>
        <w:tc>
          <w:tcPr/>
          <w:p>
            <w:pPr>
              <w:pStyle w:val="Compact"/>
            </w:pPr>
            <w:r>
              <w:rPr>
                <w:lang w:val="es-AR"/>
              </w:rPr>
              <w:t xml:space="preserve">Sysarmy, con análisis de OpenQube (Sysarmy, 2026)</w:t>
            </w:r>
          </w:p>
        </w:tc>
        <w:tc>
          <w:tcPr/>
          <w:p>
            <w:pPr>
              <w:pStyle w:val="Compact"/>
            </w:pPr>
            <w:r>
              <w:rPr>
                <w:lang w:val="es-AR"/>
              </w:rPr>
              <w:t xml:space="preserve">Encuesta en línea de participación voluntaria a la comunidad tecnológica argentina: 4939 respuestas analizadas. Sesgo de autoselección, sin recorte regional. [DATO PENDIENTE: verificación directa de la mediana en el tablero de OpenQube]</w:t>
            </w:r>
          </w:p>
        </w:tc>
        <w:tc>
          <w:tcPr/>
          <w:p>
            <w:pPr>
              <w:pStyle w:val="Compact"/>
            </w:pPr>
            <w:r>
              <w:rPr>
                <w:lang w:val="es-AR"/>
              </w:rPr>
              <w:t xml:space="preserve">Diciembre de 2025 a febrero de 2026; publicada el 06/03/2026</w:t>
            </w:r>
          </w:p>
        </w:tc>
      </w:tr>
      <w:tr>
        <w:tc>
          <w:tcPr/>
          <w:p>
            <w:pPr>
              <w:pStyle w:val="Compact"/>
            </w:pPr>
            <w:r>
              <w:rPr>
                <w:lang w:val="es-AR"/>
              </w:rPr>
              <w:t xml:space="preserve">$8876 (USD 5,74) por hora: costo de hora de referencia</w:t>
            </w:r>
          </w:p>
        </w:tc>
        <w:tc>
          <w:tcPr/>
          <w:p>
            <w:pPr>
              <w:pStyle w:val="Compact"/>
            </w:pPr>
            <w:r>
              <w:rPr>
                <w:lang w:val="es-AR"/>
              </w:rPr>
              <w:t xml:space="preserve">Elaboración propia sobre Sysarmy (2026)</w:t>
            </w:r>
          </w:p>
        </w:tc>
        <w:tc>
          <w:tcPr/>
          <w:p>
            <w:pPr>
              <w:pStyle w:val="Compact"/>
            </w:pPr>
            <w:r>
              <w:rPr>
                <w:lang w:val="es-AR"/>
              </w:rPr>
              <w:t xml:space="preserve">$1538500 / 173,33 h, con jornada completa de 40 h semanales como supuesto declarado (40 × 52 / 12). Referencia de salario bruto sin contribuciones patronales</w:t>
            </w:r>
          </w:p>
        </w:tc>
        <w:tc>
          <w:tcPr/>
          <w:p>
            <w:pPr>
              <w:pStyle w:val="Compact"/>
            </w:pPr>
            <w:r>
              <w:rPr>
                <w:lang w:val="es-AR"/>
              </w:rPr>
              <w:t xml:space="preserve">Diciembre de 2025 a febrero de 2026; sin actualización al período del proyecto</w:t>
            </w:r>
          </w:p>
        </w:tc>
      </w:tr>
      <w:tr>
        <w:tc>
          <w:tcPr/>
          <w:p>
            <w:pPr>
              <w:pStyle w:val="Compact"/>
            </w:pPr>
            <w:r>
              <w:rPr>
                <w:lang w:val="es-AR"/>
              </w:rPr>
              <w:t xml:space="preserve">USD 20 mensuales: ChatGPT Plus</w:t>
            </w:r>
          </w:p>
        </w:tc>
        <w:tc>
          <w:tcPr/>
          <w:p>
            <w:pPr>
              <w:pStyle w:val="Compact"/>
            </w:pPr>
            <w:r>
              <w:rPr>
                <w:lang w:val="es-AR"/>
              </w:rPr>
              <w:t xml:space="preserve">OpenAI, documentación comercial (OpenAI, s. f.-a)</w:t>
            </w:r>
          </w:p>
        </w:tc>
        <w:tc>
          <w:tcPr/>
          <w:p>
            <w:pPr>
              <w:pStyle w:val="Compact"/>
            </w:pPr>
            <w:r>
              <w:rPr>
                <w:lang w:val="es-AR"/>
              </w:rPr>
              <w:t xml:space="preserve">Precio de lista de una suscripción individual, con Codex incluido; las aplicaciones de terceros comparten el cupo del plan. Sostiene la medición y se declara como costo recurrente (Anexo III, D-48)</w:t>
            </w:r>
          </w:p>
        </w:tc>
        <w:tc>
          <w:tcPr/>
          <w:p>
            <w:pPr>
              <w:pStyle w:val="Compact"/>
            </w:pPr>
            <w:r>
              <w:rPr>
                <w:lang w:val="es-AR"/>
              </w:rPr>
              <w:t xml:space="preserve">Consultado el 01/10/2026; suscripción para octubre y noviembre de 2026</w:t>
            </w:r>
          </w:p>
        </w:tc>
      </w:tr>
      <w:tr>
        <w:tc>
          <w:tcPr/>
          <w:p>
            <w:pPr>
              <w:pStyle w:val="Compact"/>
            </w:pPr>
            <w:r>
              <w:rPr>
                <w:lang w:val="es-AR"/>
              </w:rPr>
              <w:t xml:space="preserve">USD 2,00 / 0,10 / 10,00 por millón de tokens: gpt-6.1-sol</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USD 10,00 / 1,00 / 50,00 por millón de tokens: gpt-6-astra</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USD 0,10 / 0,01 / 0,50 por millón de tokens: gpt-6-luna</w:t>
            </w:r>
          </w:p>
        </w:tc>
        <w:tc>
          <w:tcPr/>
          <w:p>
            <w:pPr>
              <w:pStyle w:val="Compact"/>
            </w:pPr>
            <w:r>
              <w:rPr>
                <w:lang w:val="es-AR"/>
              </w:rPr>
              <w:t xml:space="preserve">OpenAI, documentación comercial de la API (OpenAI, s. f.-b)</w:t>
            </w:r>
          </w:p>
        </w:tc>
        <w:tc>
          <w:tcPr/>
          <w:p>
            <w:pPr>
              <w:pStyle w:val="Compact"/>
            </w:pPr>
            <w:r>
              <w:rPr>
                <w:lang w:val="es-AR"/>
              </w:rPr>
              <w:t xml:space="preserve">Tarifa estándar de contexto corto para entrada, entrada en caché y salida, en ese orden. Equivalente informativo del consumo registrado en sesiones, sin representar un gasto por ejecución. Anexo I, A.I.10 (tarifas congeladas al 01/10/2026)</w:t>
            </w:r>
          </w:p>
        </w:tc>
        <w:tc>
          <w:tcPr/>
          <w:p>
            <w:pPr>
              <w:pStyle w:val="Compact"/>
            </w:pPr>
            <w:r>
              <w:rPr>
                <w:lang w:val="es-AR"/>
              </w:rPr>
              <w:t xml:space="preserve">Consultado el 01/10/2026</w:t>
            </w:r>
          </w:p>
        </w:tc>
      </w:tr>
      <w:tr>
        <w:tc>
          <w:tcPr/>
          <w:p>
            <w:pPr>
              <w:pStyle w:val="Compact"/>
            </w:pPr>
            <w:r>
              <w:rPr>
                <w:lang w:val="es-AR"/>
              </w:rPr>
              <w:t xml:space="preserve">1545 pesos por USD: tipo de cambio único</w:t>
            </w:r>
          </w:p>
        </w:tc>
        <w:tc>
          <w:tcPr/>
          <w:p>
            <w:pPr>
              <w:pStyle w:val="Compact"/>
            </w:pPr>
            <w:r>
              <w:rPr>
                <w:lang w:val="es-AR"/>
              </w:rPr>
              <w:t xml:space="preserve">Banco de la Nación Argentina, banco público que publica sus propias cotizaciones (Banco de la Nación Argentina, s. f.)</w:t>
            </w:r>
          </w:p>
        </w:tc>
        <w:tc>
          <w:tcPr/>
          <w:p>
            <w:pPr>
              <w:pStyle w:val="Compact"/>
            </w:pPr>
            <w:r>
              <w:rPr>
                <w:lang w:val="es-AR"/>
              </w:rPr>
              <w:t xml:space="preserve">Cotización institucional minorista de billete vendedor; no es una encuesta ni un promedio del mercado. Se usa para ambas direcciones de conversión</w:t>
            </w:r>
          </w:p>
        </w:tc>
        <w:tc>
          <w:tcPr/>
          <w:p>
            <w:pPr>
              <w:pStyle w:val="Compact"/>
            </w:pPr>
            <w:r>
              <w:rPr>
                <w:lang w:val="es-AR"/>
              </w:rPr>
              <w:t xml:space="preserve">01/10/2026, actualización de billetes de las 17:00; factor fijado para el proyecto</w:t>
            </w:r>
          </w:p>
        </w:tc>
      </w:tr>
      <w:tr>
        <w:tc>
          <w:tcPr/>
          <w:p>
            <w:pPr>
              <w:pStyle w:val="Compact"/>
            </w:pPr>
            <w:r>
              <w:rPr>
                <w:lang w:val="es-AR"/>
              </w:rPr>
              <w:t xml:space="preserve">2200000 (USD 1423,95): valor de reposición del equipo</w:t>
            </w:r>
          </w:p>
        </w:tc>
        <w:tc>
          <w:tcPr/>
          <w:p>
            <w:pPr>
              <w:pStyle w:val="Compact"/>
            </w:pPr>
            <w:r>
              <w:rPr>
                <w:lang w:val="es-AR"/>
              </w:rPr>
              <w:t xml:space="preserve">Tienda oficial MUDI, vendedor identificado en la captura del autor (Tienda oficial MUDI, s. f.)</w:t>
            </w:r>
          </w:p>
        </w:tc>
        <w:tc>
          <w:tcPr/>
          <w:p>
            <w:pPr>
              <w:pStyle w:val="Compact"/>
            </w:pPr>
            <w:r>
              <w:rPr>
                <w:lang w:val="es-AR"/>
              </w:rPr>
              <w:t xml:space="preserve">Oferta individual de caja abierta del mismo modelo y configuración; no es un relevamiento de mercado ni un precio de transacción. Tiende a subestimar el valor de reposición y subestima la amortización, con un efecto menor</w:t>
            </w:r>
          </w:p>
        </w:tc>
        <w:tc>
          <w:tcPr/>
          <w:p>
            <w:pPr>
              <w:pStyle w:val="Compact"/>
            </w:pPr>
            <w:r>
              <w:rPr>
                <w:lang w:val="es-AR"/>
              </w:rPr>
              <w:t xml:space="preserve">Publicación sin fecha; captura del autor del 01/10/2026</w:t>
            </w:r>
          </w:p>
        </w:tc>
      </w:tr>
      <w:tr>
        <w:tc>
          <w:tcPr/>
          <w:p>
            <w:pPr>
              <w:pStyle w:val="Compact"/>
            </w:pPr>
            <w:r>
              <w:rPr>
                <w:lang w:val="es-AR"/>
              </w:rPr>
              <w:t xml:space="preserve">441,35 (USD 0,29) por hora de uso del equipo</w:t>
            </w:r>
          </w:p>
        </w:tc>
        <w:tc>
          <w:tcPr/>
          <w:p>
            <w:pPr>
              <w:pStyle w:val="Compact"/>
            </w:pPr>
            <w:r>
              <w:rPr>
                <w:lang w:val="es-AR"/>
              </w:rPr>
              <w:t xml:space="preserve">Elaboración propia sobre el reporte de batería del sistema del 01/10/2026</w:t>
            </w:r>
          </w:p>
        </w:tc>
        <w:tc>
          <w:tcPr/>
          <w:p>
            <w:pPr>
              <w:pStyle w:val="Compact"/>
            </w:pPr>
            <w:r>
              <w:rPr>
                <w:lang w:val="es-AR"/>
              </w:rPr>
              <w:t xml:space="preserve">Amortización lineal: 2200000 / 36 meses = 61111,11 por mes (USD 39,55), dividido por 138,465 h activas medidas en el único equipo del autor; aplicado a las horas del proyecto y sujeto a completar las desatendidas. Septiembre es un único mes de referencia y el denominador se recalcula con octubre y noviembre; el reporte cuenta tiempo activo y queda sin constancia la inclusión de corridas desatendidas con la pantalla apagada</w:t>
            </w:r>
          </w:p>
        </w:tc>
        <w:tc>
          <w:tcPr/>
          <w:p>
            <w:pPr>
              <w:pStyle w:val="Compact"/>
            </w:pPr>
            <w:r>
              <w:rPr>
                <w:lang w:val="es-AR"/>
              </w:rPr>
              <w:t xml:space="preserve">Uso activo del 30/08 al 30/09/2026; referencia provisoria para el período del proyecto</w:t>
            </w:r>
          </w:p>
        </w:tc>
      </w:tr>
      <w:tr>
        <w:tc>
          <w:tcPr/>
          <w:p>
            <w:pPr>
              <w:pStyle w:val="Compact"/>
            </w:pPr>
            <w:r>
              <w:rPr>
                <w:lang w:val="es-AR"/>
              </w:rPr>
              <w:t xml:space="preserve">36 meses: vida útil del equipo</w:t>
            </w:r>
          </w:p>
        </w:tc>
        <w:tc>
          <w:tcPr/>
          <w:p>
            <w:pPr>
              <w:pStyle w:val="Compact"/>
            </w:pPr>
            <w:r>
              <w:rPr>
                <w:lang w:val="es-AR"/>
              </w:rPr>
              <w:t xml:space="preserve">Autor</w:t>
            </w:r>
          </w:p>
        </w:tc>
        <w:tc>
          <w:tcPr/>
          <w:p>
            <w:pPr>
              <w:pStyle w:val="Compact"/>
            </w:pPr>
            <w:r>
              <w:rPr>
                <w:lang w:val="es-AR"/>
              </w:rPr>
              <w:t xml:space="preserve">Supuesto declarado de vida útil para la amortización; no es una medición de durabilidad ni una garantía del fabricante. Sensibilidad con 190 h: 24 meses, 125784; 48 meses, 62892, una variación de ±2,2 % del costo del proyecto</w:t>
            </w:r>
          </w:p>
        </w:tc>
        <w:tc>
          <w:tcPr/>
          <w:p>
            <w:pPr>
              <w:pStyle w:val="Compact"/>
            </w:pPr>
            <w:r>
              <w:rPr>
                <w:lang w:val="es-AR"/>
              </w:rPr>
              <w:t xml:space="preserve">Adoptado el 01/10/2026 para el costo del proyecto</w:t>
            </w:r>
          </w:p>
        </w:tc>
      </w:tr>
      <w:tr>
        <w:tc>
          <w:tcPr/>
          <w:p>
            <w:pPr>
              <w:pStyle w:val="Compact"/>
            </w:pPr>
            <w:r>
              <w:rPr>
                <w:lang w:val="es-AR"/>
              </w:rPr>
              <w:t xml:space="preserve">314,18 (USD 0,20) por kWh: costo marginal de energía</w:t>
            </w:r>
          </w:p>
        </w:tc>
        <w:tc>
          <w:tcPr/>
          <w:p>
            <w:pPr>
              <w:pStyle w:val="Compact"/>
            </w:pPr>
            <w:r>
              <w:rPr>
                <w:lang w:val="es-AR"/>
              </w:rPr>
              <w:t xml:space="preserve">Elaboración propia sobre la factura del suministro del lugar de trabajo</w:t>
            </w:r>
          </w:p>
        </w:tc>
        <w:tc>
          <w:tcPr/>
          <w:p>
            <w:pPr>
              <w:pStyle w:val="Compact"/>
            </w:pPr>
            <w:r>
              <w:rPr>
                <w:lang w:val="es-AR"/>
              </w:rPr>
              <w:t xml:space="preserve">Un suministro, 116 kWh facturados: energía, Ley provincial 2620/89 (1,5 %), FNEE e IVA del 21 %; se excluyen la cuota de servicio y, bajo un supuesto declarado de cargo fijo, el alumbrado público. Los bloques de 30 y 86 kWh tienen igual precio, 253,573 por kWh. Costo promedio: 391,70 (USD 0,25) por kWh</w:t>
            </w:r>
          </w:p>
        </w:tc>
        <w:tc>
          <w:tcPr/>
          <w:p>
            <w:pPr>
              <w:pStyle w:val="Compact"/>
            </w:pPr>
            <w:r>
              <w:rPr>
                <w:lang w:val="es-AR"/>
              </w:rPr>
              <w:t xml:space="preserve">Factura del 17/04 al 15/05/2026, anterior al proyecto; sin actualización por aumentos posteriores</w:t>
            </w:r>
          </w:p>
        </w:tc>
      </w:tr>
      <w:tr>
        <w:tc>
          <w:tcPr/>
          <w:p>
            <w:pPr>
              <w:pStyle w:val="Compact"/>
            </w:pPr>
            <w:r>
              <w:rPr>
                <w:lang w:val="es-AR"/>
              </w:rPr>
              <w:t xml:space="preserve">10 a 20 W: rango de potencia</w:t>
            </w:r>
          </w:p>
        </w:tc>
        <w:tc>
          <w:tcPr/>
          <w:p>
            <w:pPr>
              <w:pStyle w:val="Compact"/>
            </w:pPr>
            <w:r>
              <w:rPr>
                <w:lang w:val="es-AR"/>
              </w:rPr>
              <w:t xml:space="preserve">Ingeniero</w:t>
            </w:r>
          </w:p>
        </w:tc>
        <w:tc>
          <w:tcPr/>
          <w:p>
            <w:pPr>
              <w:pStyle w:val="Compact"/>
            </w:pPr>
            <w:r>
              <w:rPr>
                <w:lang w:val="es-AR"/>
              </w:rPr>
              <w:t xml:space="preserve">Supuesto sobre una muestra de 7,7 W a carga liviana tomada mediante</w:t>
            </w:r>
            <w:r>
              <w:rPr>
                <w:lang w:val="es-AR"/>
              </w:rPr>
              <w:t xml:space="preserve"> </w:t>
            </w:r>
            <w:r>
              <w:rPr>
                <w:rStyle w:val="VerbatimChar"/>
                <w:lang w:val="es-AR"/>
              </w:rPr>
              <w:t xml:space="preserve">BatteryStatus.DischargeRate</w:t>
            </w:r>
            <w:r>
              <w:rPr>
                <w:lang w:val="es-AR"/>
              </w:rPr>
              <w:t xml:space="preserve"> </w:t>
            </w:r>
            <w:r>
              <w:rPr>
                <w:lang w:val="es-AR"/>
              </w:rPr>
              <w:t xml:space="preserve">en el único equipo del autor; el rango cubre el trabajo con contenedores y agentes</w:t>
            </w:r>
          </w:p>
        </w:tc>
        <w:tc>
          <w:tcPr/>
          <w:p>
            <w:pPr>
              <w:pStyle w:val="Compact"/>
            </w:pPr>
            <w:r>
              <w:rPr>
                <w:lang w:val="es-AR"/>
              </w:rPr>
              <w:t xml:space="preserve">01/10/2026</w:t>
            </w:r>
          </w:p>
        </w:tc>
      </w:tr>
      <w:tr>
        <w:tc>
          <w:tcPr/>
          <w:p>
            <w:pPr>
              <w:pStyle w:val="Compact"/>
            </w:pPr>
            <w:r>
              <w:rPr>
                <w:lang w:val="es-AR"/>
              </w:rPr>
              <w:t xml:space="preserve">USD 20 = 30900 mensuales: Claude Pro</w:t>
            </w:r>
          </w:p>
        </w:tc>
        <w:tc>
          <w:tcPr/>
          <w:p>
            <w:pPr>
              <w:pStyle w:val="Compact"/>
            </w:pPr>
            <w:r>
              <w:rPr>
                <w:lang w:val="es-AR"/>
              </w:rPr>
              <w:t xml:space="preserve">Anthropic PBC, proveedor con interés comercial directo (Anthropic, s. f.)</w:t>
            </w:r>
          </w:p>
        </w:tc>
        <w:tc>
          <w:tcPr/>
          <w:p>
            <w:pPr>
              <w:pStyle w:val="Compact"/>
            </w:pPr>
            <w:r>
              <w:rPr>
                <w:lang w:val="es-AR"/>
              </w:rPr>
              <w:t xml:space="preserve">Oferta comercial oficial de una suscripción individual con facturación mensual, sin impuestos aplicables; no acredita el cobro efectivo al autor</w:t>
            </w:r>
          </w:p>
        </w:tc>
        <w:tc>
          <w:tcPr/>
          <w:p>
            <w:pPr>
              <w:pStyle w:val="Compact"/>
            </w:pPr>
            <w:r>
              <w:rPr>
                <w:lang w:val="es-AR"/>
              </w:rPr>
              <w:t xml:space="preserve">Página sin fecha, consultada el 28/09 y el 01/10/2026; precio mantenido constante para septiembre a noviembre de 2026</w:t>
            </w:r>
          </w:p>
        </w:tc>
      </w:tr>
      <w:tr>
        <w:tc>
          <w:tcPr/>
          <w:p>
            <w:pPr>
              <w:pStyle w:val="Compact"/>
            </w:pPr>
            <w:r>
              <w:rPr>
                <w:lang w:val="es-AR"/>
              </w:rPr>
              <w:t xml:space="preserve">Cadencia de OpenCode: 227 versiones estables, mediana de 15,5 h; 43 cambios declarados y 23 posibles</w:t>
            </w:r>
          </w:p>
        </w:tc>
        <w:tc>
          <w:tcPr/>
          <w:p>
            <w:pPr>
              <w:pStyle w:val="Compact"/>
            </w:pPr>
            <w:r>
              <w:rPr>
                <w:lang w:val="es-AR"/>
              </w:rPr>
              <w:t xml:space="preserve">Equipo y colaboradores de OpenCode; GitHub publica los metadatos (anomalyco, s. f.-c; anomalyco, s. f.-d)</w:t>
            </w:r>
          </w:p>
        </w:tc>
        <w:tc>
          <w:tcPr/>
          <w:p>
            <w:pPr>
              <w:pStyle w:val="Compact"/>
            </w:pPr>
            <w:r>
              <w:rPr>
                <w:lang w:val="es-AR"/>
              </w:rPr>
              <w:t xml:space="preserve">Conteo propio sobre tres páginas de 100 registros de la API, con selección por fecha y etiqueta estable, sin borradores ni prereleases; clasificación de las notas de las 227 versiones por cambios de configuración, permisos o agentes. Registro del productor sin auditoría independiente; no equivale a readaptaciones necesarias de RIGE</w:t>
            </w:r>
          </w:p>
        </w:tc>
        <w:tc>
          <w:tcPr/>
          <w:p>
            <w:pPr>
              <w:pStyle w:val="Compact"/>
            </w:pPr>
            <w:r>
              <w:rPr>
                <w:lang w:val="es-AR"/>
              </w:rPr>
              <w:t xml:space="preserve">01/01 al 30/09/2026; consulta del 01/10/2026</w:t>
            </w:r>
          </w:p>
        </w:tc>
      </w:tr>
      <w:tr>
        <w:tc>
          <w:tcPr/>
          <w:p>
            <w:pPr>
              <w:pStyle w:val="Compact"/>
            </w:pPr>
            <w:r>
              <w:rPr>
                <w:lang w:val="es-AR"/>
              </w:rPr>
              <w:t xml:space="preserve">0 % de comisión y Argentina admitida: GitHub Sponsors</w:t>
            </w:r>
          </w:p>
        </w:tc>
        <w:tc>
          <w:tcPr/>
          <w:p>
            <w:pPr>
              <w:pStyle w:val="Compact"/>
            </w:pPr>
            <w:r>
              <w:rPr>
                <w:lang w:val="es-AR"/>
              </w:rPr>
              <w:t xml:space="preserve">GitHub, operador del servicio (GitHub, s. f.-a)</w:t>
            </w:r>
          </w:p>
        </w:tc>
        <w:tc>
          <w:tcPr/>
          <w:p>
            <w:pPr>
              <w:pStyle w:val="Compact"/>
            </w:pPr>
            <w:r>
              <w:rPr>
                <w:lang w:val="es-AR"/>
              </w:rPr>
              <w:t xml:space="preserve">Documentación institucional de regiones y comisiones: mantenedores residentes en Argentina y patrocinios de cuentas personales; condiciones publicadas, sin muestra</w:t>
            </w:r>
          </w:p>
        </w:tc>
        <w:tc>
          <w:tcPr/>
          <w:p>
            <w:pPr>
              <w:pStyle w:val="Compact"/>
            </w:pPr>
            <w:r>
              <w:rPr>
                <w:lang w:val="es-AR"/>
              </w:rPr>
              <w:t xml:space="preserve">Consulta del 02/10/2026</w:t>
            </w:r>
          </w:p>
        </w:tc>
      </w:tr>
    </w:tbl>
    <w:p/>
    <w:tbl>
      <w:tblPr>
        <w:tblStyle w:val="Table"/>
        <w:tblW w:w="8504" w:type="dxa"/>
        <w:jc w:val="left"/>
        <w:tblInd w:w="0" w:type="dxa"/>
        <w:tblLayout w:type="fixed"/>
        <w:tblLook w:firstRow="0" w:lastRow="0" w:firstColumn="0" w:lastColumn="0" w:noHBand="0" w:noVBand="0" w:val="0000"/>
      </w:tblPr>
      <w:tblGrid>
        <w:gridCol w:w="8504"/>
      </w:tblGrid>
      <w:tr>
        <w:tc>
          <w:tcPr/>
          <w:p>
            <w:pPr>
              <w:pStyle w:val="Compact"/>
            </w:pPr>
            <w:r>
              <w:rPr>
                <w:b/>
                <w:bCs/>
                <w:lang w:val="es-AR"/>
              </w:rPr>
              <w:t xml:space="preserve">⚠ RECORDATORIO</w:t>
            </w:r>
          </w:p>
          <w:p>
            <w:pPr>
              <w:pStyle w:val="Compact"/>
            </w:pPr>
            <w:r>
              <w:rPr>
                <w:lang w:val="es-AR"/>
              </w:rPr>
              <w:t xml:space="preserve">No se promedian cifras de universos distintos. Si dos relevamientos del sector miden poblaciones diferentes, se cita cada uno con su universo y se declara cuál se adopta y por qué; el promedio de ambos no mide nada. Si ninguna fuente supera las tres preguntas, la cifra no entra: se declara la imposibilidad, que es una respuesta metodológicamente correcta y así se pondera.</w:t>
            </w:r>
          </w:p>
        </w:tc>
      </w:tr>
    </w:tbl>
    <w:p>
      <w:pPr>
        <w:pStyle w:val="BodyText"/>
      </w:pPr>
      <w:r>
        <w:rPr>
          <w:b/>
          <w:bCs/>
          <w:lang w:val="es-AR"/>
        </w:rPr>
        <w:t xml:space="preserve">34.3 · Verificación de coherencia con el Capítulo V</w:t>
      </w:r>
    </w:p>
    <w:tbl>
      <w:tblPr>
        <w:tblStyle w:val="Table"/>
        <w:tblW w:w="8504" w:type="dxa"/>
        <w:jc w:val="left"/>
        <w:tblInd w:w="0" w:type="dxa"/>
        <w:tblLayout w:type="fixed"/>
        <w:tblLook w:firstRow="1" w:lastRow="0" w:firstColumn="0" w:lastColumn="0" w:noHBand="0" w:noVBand="0" w:val="0020"/>
      </w:tblPr>
      <w:tblGrid>
        <w:gridCol w:w="3882"/>
        <w:gridCol w:w="4622"/>
      </w:tblGrid>
      <w:tr>
        <w:trPr>
          <w:tblHeader w:val="on"/>
        </w:trPr>
        <w:tc>
          <w:tcPr/>
          <w:p>
            <w:pPr>
              <w:pStyle w:val="Compact"/>
            </w:pPr>
            <w:r>
              <w:rPr>
                <w:b/>
                <w:bCs/>
                <w:lang w:val="es-AR"/>
              </w:rPr>
              <w:t xml:space="preserve">Verificación</w:t>
            </w:r>
          </w:p>
        </w:tc>
        <w:tc>
          <w:tcPr/>
          <w:p>
            <w:pPr>
              <w:pStyle w:val="Compact"/>
            </w:pPr>
            <w:r>
              <w:rPr>
                <w:b/>
                <w:bCs/>
                <w:lang w:val="es-AR"/>
              </w:rPr>
              <w:t xml:space="preserve">Valor</w:t>
            </w:r>
          </w:p>
        </w:tc>
      </w:tr>
      <w:tr>
        <w:tc>
          <w:tcPr/>
          <w:p>
            <w:pPr>
              <w:pStyle w:val="Compact"/>
            </w:pPr>
            <w:r>
              <w:rPr>
                <w:lang w:val="es-AR"/>
              </w:rPr>
              <w:t xml:space="preserve">Horas humanas comprometidas en el Capítulo X</w:t>
            </w:r>
          </w:p>
        </w:tc>
        <w:tc>
          <w:tcPr/>
          <w:p>
            <w:pPr>
              <w:pStyle w:val="Compact"/>
            </w:pPr>
            <w:r>
              <w:rPr>
                <w:lang w:val="es-AR"/>
              </w:rPr>
              <w:t xml:space="preserve">190 h: 136 técnicas y 54 de reserva</w:t>
            </w:r>
          </w:p>
        </w:tc>
      </w:tr>
      <w:tr>
        <w:tc>
          <w:tcPr/>
          <w:p>
            <w:pPr>
              <w:pStyle w:val="Compact"/>
            </w:pPr>
            <w:r>
              <w:rPr>
                <w:lang w:val="es-AR"/>
              </w:rPr>
              <w:t xml:space="preserve">Presupuesto efectivo de horas del Capítulo V (Instrumento 24)</w:t>
            </w:r>
          </w:p>
        </w:tc>
        <w:tc>
          <w:tcPr/>
          <w:p>
            <w:pPr>
              <w:pStyle w:val="Compact"/>
            </w:pPr>
            <w:r>
              <w:rPr>
                <w:lang w:val="es-AR"/>
              </w:rPr>
              <w:t xml:space="preserve">190 h: 136 técnicas y 54 de reserva (Tabla 17, apartado V.4)</w:t>
            </w:r>
          </w:p>
        </w:tc>
      </w:tr>
      <w:tr>
        <w:tc>
          <w:tcPr/>
          <w:p>
            <w:pPr>
              <w:pStyle w:val="Compact"/>
            </w:pPr>
            <w:r>
              <w:rPr>
                <w:lang w:val="es-AR"/>
              </w:rPr>
              <w:t xml:space="preserve">¿Coinciden? Si no, qué se ajusta y en cuál de los dos capítulos</w:t>
            </w:r>
          </w:p>
        </w:tc>
        <w:tc>
          <w:tcPr/>
          <w:p>
            <w:pPr>
              <w:pStyle w:val="Compact"/>
            </w:pPr>
            <w:r>
              <w:rPr>
                <w:lang w:val="es-AR"/>
              </w:rPr>
              <w:t xml:space="preserve">Sí. Las 48 h estimadas de la fase de cierre, posteriores al período, se declaran aparte en ambos capítulos y no integran el cómputo</w:t>
            </w:r>
          </w:p>
        </w:tc>
      </w:tr>
    </w:tbl>
    <w:bookmarkEnd w:id="9"/>
    <w:sectPr>
      <w:footerReference r:id="rIdPie" w:type="default"/>
      <w:footerReference r:id="rIdPieVacio" w:type="first"/>
      <w:pgSz w:h="16838" w:w="11906"/>
      <w:pgMar w:bottom="1417" w:footer="720" w:gutter="0" w:header="720" w:left="1701" w:right="1701" w:top="1417"/>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line="240" w:lineRule="auto"/>
    </w:pPr>
    <w:r>
      <w:rPr>
        <w:sz w:val="20"/>
      </w:rPr>
      <w:fldChar w:fldCharType="begin"/>
    </w:r>
    <w:r>
      <w:rPr>
        <w:sz w:val="20"/>
      </w:rPr>
      <w:instrText xml:space="preserve"> PAGE </w:instrText>
    </w:r>
    <w:r>
      <w:rPr>
        <w:sz w:val="20"/>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2026-10-02T17:31:32Z</dcterms:created>
  <dcterms:modified xsi:type="dcterms:W3CDTF">2026-10-02T17:31:32Z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