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UNIVERSIDAD DE LA CUENCA DEL PLATA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Facultad de Ingeniería, Tecnología y Arquitectura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Ingeniería en Sistemas de Información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PROYECTO INTEGRADOR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Actividad de Evaluación N.º 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Capítulo III · Capítulo IV . Capítulo V . Capítulo X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RIGE: PLATAFORMA LOCAL PARA LA RESOLUCIÓN Y EXPLICACIÓN DE LA CONFIGURACIÓN EFECTIVA Y SU PROCEDENCIA EN HERRAMIENTAS DE PROGRAMACIÓN BASADAS EN AGENTES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Sánchez, Joaquín Sebastián — DNI 45.452.416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Docente Titular: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PosDr. Darío Ezequiel Díaz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Comisión A · Sede Posadas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Posadas, Misiones —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48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line="240" w:lineRule="auto"/>
        <w:jc w:val="center"/>
        <w:rPr>
          <w:vertAlign w:val="baseline"/>
        </w:rPr>
      </w:pPr>
      <w:bookmarkStart w:colFirst="0" w:colLast="0" w:name="_63lerk2w2wmk" w:id="0"/>
      <w:bookmarkEnd w:id="0"/>
      <w:r w:rsidDel="00000000" w:rsidR="00000000" w:rsidRPr="00000000">
        <w:rPr>
          <w:vertAlign w:val="baseline"/>
          <w:rtl w:val="0"/>
        </w:rPr>
        <w:t xml:space="preserve">III</w:t>
      </w:r>
    </w:p>
    <w:p w:rsidR="00000000" w:rsidDel="00000000" w:rsidP="00000000" w:rsidRDefault="00000000" w:rsidRPr="00000000" w14:paraId="00000011">
      <w:pPr>
        <w:pStyle w:val="Heading1"/>
        <w:spacing w:line="360" w:lineRule="auto"/>
        <w:jc w:val="center"/>
        <w:rPr>
          <w:vertAlign w:val="baseline"/>
        </w:rPr>
      </w:pPr>
      <w:bookmarkStart w:colFirst="0" w:colLast="0" w:name="_wvs3t9fi2ed2" w:id="1"/>
      <w:bookmarkEnd w:id="1"/>
      <w:r w:rsidDel="00000000" w:rsidR="00000000" w:rsidRPr="00000000">
        <w:rPr>
          <w:vertAlign w:val="baseline"/>
          <w:rtl w:val="0"/>
        </w:rPr>
        <w:t xml:space="preserve">ENTORNO Y DOMINIO DEL SISTEMA DE INFORMACIÓN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III.1 · Entorno del Sistema de Información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  <w:t xml:space="preserve">El entorno comprende los elementos que quedan fuera del control del sistema y condicionan sus decisiones de diseño. La selección aplica un criterio de pertinencia: un elemento integra el entorno solo si su supresión modifica alguna decisión del proyecto. La tabla presenta la fuente que acredita cada elemento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y su implicancia de diseño.</w:t>
      </w:r>
      <w:r w:rsidDel="00000000" w:rsidR="00000000" w:rsidRPr="00000000">
        <w:rPr>
          <w:rtl w:val="0"/>
        </w:rPr>
      </w:r>
    </w:p>
    <w:tbl>
      <w:tblPr>
        <w:tblStyle w:val="Table1"/>
        <w:tblW w:w="8595.0" w:type="dxa"/>
        <w:jc w:val="left"/>
        <w:tblInd w:w="-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2115"/>
        <w:gridCol w:w="2115"/>
        <w:gridCol w:w="2850"/>
        <w:tblGridChange w:id="0">
          <w:tblGrid>
            <w:gridCol w:w="1515"/>
            <w:gridCol w:w="2115"/>
            <w:gridCol w:w="2115"/>
            <w:gridCol w:w="2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Fuente (Cap. II / acta)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Implicancia de diseño declarada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4.7265624999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externos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que configura su propio entorno de trabajo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AE1, I.6.4 (Tabla 9); acta del 26/09/2026, L-13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representación adopta el agente como eje de navegación, porque quien se incorpora a un proyecto ajeno desconoce qué archivos existen. Las decisiones de permiso y los hallazgos incluyen una explicación en lenguaje natural de sus motivos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Licencia MIT de OpenCode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AE1, Anexo II, A.II.3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Habilita incorporar las funciones de evaluación de permisos de la herramienta con obligación de atribución y condiciona las alternativas de licenciamiento de la plataforma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vecinos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OpenCode 1.18.25, con su esquema de configuración publicado, su cadencia de versiones y sus modos de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AE1, Anexo I, A.I.3 y A.I.6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 la referencia para verificar la corrección de los resultados, sin que RIGE lo ejecute ni lo modifique. Los cambios de las reglas de precedencia y de fusión entre versiones obligan a fijar la versión 1.18.25 y a advertir cuando la instalada difiere. Como la documentación describe un modelo incompleto, el adaptador resuelve según el comportamiento verificado del código. Además, RIGE declara junto a sus resultados que el conjunto de herramientas ofrecido varía con el modo de ejecución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vecinos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Agente de programación que crea o modifica configuración por encargo del desarrollador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de validación del 26/09/2026, E-01; AE1, II.6.1, hallazgo HA-3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Exige una salida estructurada, determinista y legible por máquina, con ruta y posición exactas, esquema versionado y códigos de salida definidos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vecinos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Editor de texto del desarrollador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del 26/09/2026, L-01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RIGE informa la localización de cada declaración en formato ruta:línea:columna, que el editor reconoce (RF-12). La apertura y la edición corresponden al editor, fuera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archivos local y permisos de lectura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del 26/09/2026, sección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RIGE audita el entorno individual del desarrollador. Las rutas que requieren privilegios administrativos y las políticas de administración centralizada quedan fuera del 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Rutas de configuración dependientes del sistema operativo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del 26/09/2026, L-11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descubrimiento de entradas resuelve las rutas según el sistema operativo y origina un requisito de portabilidad sobre Ubuntu 26.04 y Windows 11 (RNF-06)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Variables de entorno del proceso de RIGE, que pueden diferir de las de la terminal desde la cual se ejecuta OpenCode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del 26/09/2026, sección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RIGE resuelve sobre las variables de entorno de su propio proceso y declara esta condición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Escritura concurrente sobre las entradas mientras RIGE opera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Acta de validación del 26/09/2026, E-02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resultado declara sobre qué estado de las entradas se resuelve, identificado por el resumen del conjunto leído</w:t>
            </w:r>
          </w:p>
        </w:tc>
      </w:tr>
    </w:tbl>
    <w:p w:rsidR="00000000" w:rsidDel="00000000" w:rsidP="00000000" w:rsidRDefault="00000000" w:rsidRPr="00000000" w14:paraId="0000003C">
      <w:pPr>
        <w:pStyle w:val="Heading4"/>
        <w:rPr>
          <w:vertAlign w:val="baseline"/>
        </w:rPr>
      </w:pPr>
      <w:bookmarkStart w:colFirst="0" w:colLast="0" w:name="_6t0bllpce8yn" w:id="2"/>
      <w:bookmarkEnd w:id="2"/>
      <w:r w:rsidDel="00000000" w:rsidR="00000000" w:rsidRPr="00000000">
        <w:rPr>
          <w:vertAlign w:val="baseline"/>
          <w:rtl w:val="0"/>
        </w:rPr>
        <w:t xml:space="preserve">Tabla 1. Elementos del entorno del sistema, con su fuente y su implicancia de diseño. Fuente: elaboración propia.</w:t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Cuatro elementos considerados quedan fuera de la tabla por motivos distintos. Dos no superan el criterio de pertinencia: Electricidad de Misiones S. A. y su referente pertenecen al entorno del proyecto, pues la organización queda fuera del ámbito de implantación del sistema; la Ley N.º 27.506 encuadra la actividad económica del sector, se trata en el Capítulo IV y carece de efecto sobre el diseño. El contenido de las variables de entorno se reserva por el riesgo de exposición de credenciales.</w:t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Los otros dos elementos se reclasifican con la misma prueba que ordena el apartado III.2. Los servidores MCP y LSP declarados en la configuración pertenecen al dominio: RIGE lee su declaración y su estado de habilitación como parte del ecosistema que representa. Su disponibilidad efectiva queda fuera del alcance, conforme al apartado III.4.</w:t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El agente de programación que consume la salida por línea de comandos es el elemento más determinante para la arquitectura. Mientras los demás restringen el alcance o el comportamiento de una función, este introduce una interfaz que el diseño original no contempla. Exige una salida idéntica ante entradas idénticas, un esquema versionado con compromiso de compatibilidad, la ruta y la posición exactas de cada declaración determinante y códigos de salida que distinguen el error de la ausencia de resultado. Estas condiciones surgen del consumo por máquina y alcanzan al núcleo, que debe producir un resultado estructurado antes de cualquier presentación. La versión congelada de la herramienta constituye la restricción más fuerte del proyecto; el agente consumidor, en cambio, determina la forma del sistema, con E-01 y E-02 especificados como criterios de aceptación de RF-03 y de RF-17, respectivamente.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III.2 · Dominio del Sistema de Información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III.2.1 · Frontera entre el entorno y el dominio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dominio es el recorte del mundo que el sistema representa y sobre cuyo estado responde. La frontera se traza elemento por elemento con una sola prueba: si el sistema controla el estado de esa cosa o si lo padece. Lo que RIGE recibe ya formado, y frente a lo cual solo puede adaptarse, integra el entorno; lo que RIGE construye y da por válido integra el dominio.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Esa prueba produce un desdoblamiento que conviene declarar de manera expresa. Los archivos de configuración pertenecen al entorno: RIGE no los modifica y los recibe con el contenido que otros escribieron. La representación que RIGE construye a partir de ellos pertenece, en cambio, al dominio: la declaración con su entrada, su archivo y su posición; la cadena ordenada de reglas de un agente; el hallazgo localizado; y la resolución fechada que agrupa todo ello. El archivo como registro externo y su representación resuelta son dos objetos distintos, y esa distinción sostiene el modo de operación de solo lectura declarado en el apartado III.4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17" w:top="1417" w:left="1701" w:right="170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left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Las referencias a apartados, tablas y anexos del informe de la Actividad de Evaluación N.º 1 se identifican expresamente como tales, pues este documento numera sus propias tablas y figuras desde la unidad.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sz w:val="22"/>
        <w:szCs w:val="22"/>
      </w:rPr>
      <w:drawing>
        <wp:inline distB="114300" distT="114300" distL="114300" distR="114300">
          <wp:extent cx="3138488" cy="48020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38488" cy="4802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>
        <w:spacing w:after="200" w:before="200" w:line="48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line="360" w:lineRule="auto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before="240" w:lineRule="auto"/>
      <w:ind w:firstLine="0"/>
      <w:jc w:val="left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0" w:before="240" w:lineRule="auto"/>
      <w:ind w:firstLine="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240" w:before="120" w:line="240" w:lineRule="auto"/>
      <w:ind w:firstLine="0"/>
      <w:jc w:val="left"/>
    </w:pPr>
    <w:rPr>
      <w:i w:val="1"/>
      <w:i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240" w:before="0" w:line="360" w:lineRule="auto"/>
      <w:jc w:val="center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spacing w:after="240" w:before="0" w:line="360" w:lineRule="auto"/>
      <w:jc w:val="center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table" w:styleId="Table1">
    <w:basedOn w:val="TableNormal"/>
    <w:pPr>
      <w:spacing w:after="0" w:before="0" w:line="240" w:lineRule="auto"/>
    </w:pPr>
    <w:rPr>
      <w:rFonts w:ascii="Calibri" w:cs="Calibri" w:eastAsia="Calibri" w:hAnsi="Calibri"/>
      <w:color w:val="000000"/>
      <w:sz w:val="19"/>
      <w:szCs w:val="19"/>
    </w:r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  <w:tblStylePr w:type="firstRow">
      <w:rPr>
        <w:b w:val="1"/>
        <w:bCs w:val="1"/>
        <w:color w:val="000000"/>
      </w:rPr>
      <w:tcPr>
        <w:shd w:fill="d9d9d9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</vt:lpwstr>
  </property>
  <property fmtid="{D5CDD505-2E9C-101B-9397-08002B2CF9AE}" pid="3" name="csl">
    <vt:lpwstr>C:\Users\Joa\Documents\RIGE-TIF-Sanchez-IngSistemas-UCP\tools\apa.csl</vt:lpwstr>
  </property>
  <property fmtid="{D5CDD505-2E9C-101B-9397-08002B2CF9AE}" pid="4" name="reference-section-title">
    <vt:lpwstr>BIBLIOGRAFÍA</vt:lpwstr>
  </property>
</Properties>
</file>