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a65f83995486570b1d977ca27807f0de4a52ec"/>
    <w:p>
      <w:pPr>
        <w:pStyle w:val="Heading1"/>
      </w:pPr>
      <w:r>
        <w:rPr>
          <w:lang w:val="es-AR"/>
        </w:rPr>
        <w:t xml:space="preserve">Instrumento 34 · Planilla de dimensionamiento de recursos</w:t>
      </w:r>
    </w:p>
    <w:p>
      <w:pPr>
        <w:pStyle w:val="BlockText"/>
      </w:pPr>
      <w:r>
        <w:rPr>
          <w:lang w:val="es-AR"/>
        </w:rPr>
        <w:t xml:space="preserve">Plantilla oficial migrada desde</w:t>
      </w:r>
      <w:r>
        <w:rPr>
          <w:lang w:val="es-AR"/>
        </w:rPr>
        <w:t xml:space="preserve"> </w:t>
      </w:r>
      <w:r>
        <w:rPr>
          <w:rStyle w:val="VerbatimChar"/>
          <w:lang w:val="es-AR"/>
        </w:rPr>
        <w:t xml:space="preserve">catedra/originales/03_Plantillas_Instrumentos_AE2.docx</w:t>
      </w:r>
      <w:r>
        <w:rPr>
          <w:lang w:val="es-AR"/>
        </w:rPr>
        <w:t xml:space="preserve">. Completar sobre esta estructura;</w:t>
      </w:r>
      <w:r>
        <w:rPr>
          <w:lang w:val="es-AR"/>
        </w:rPr>
        <w:t xml:space="preserve"> </w:t>
      </w:r>
      <w:r>
        <w:rPr>
          <w:rStyle w:val="VerbatimChar"/>
          <w:lang w:val="es-AR"/>
        </w:rPr>
        <w:t xml:space="preserve">/exportar instrumento 34</w:t>
      </w:r>
      <w:r>
        <w:rPr>
          <w:lang w:val="es-AR"/>
        </w:rPr>
        <w:t xml:space="preserve"> </w:t>
      </w:r>
      <w:r>
        <w:rPr>
          <w:lang w:val="es-AR"/>
        </w:rPr>
        <w:t xml:space="preserve">genera el</w:t>
      </w:r>
      <w:r>
        <w:rPr>
          <w:lang w:val="es-AR"/>
        </w:rPr>
        <w:t xml:space="preserve"> </w:t>
      </w:r>
      <w:r>
        <w:rPr>
          <w:rStyle w:val="VerbatimChar"/>
          <w:lang w:val="es-AR"/>
        </w:rPr>
        <w:t xml:space="preserve">.docx</w:t>
      </w:r>
      <w:r>
        <w:rPr>
          <w:lang w:val="es-AR"/>
        </w:rPr>
        <w:t xml:space="preserve"> </w:t>
      </w:r>
      <w:r>
        <w:rPr>
          <w:lang w:val="es-AR"/>
        </w:rPr>
        <w:t xml:space="preserve">en la carpeta que fija la consigna.</w:t>
      </w:r>
    </w:p>
    <w:p>
      <w:pPr>
        <w:pStyle w:val="FirstParagraph"/>
      </w:pPr>
      <w:r>
        <w:rPr>
          <w:i/>
          <w:iCs/>
          <w:lang w:val="es-AR"/>
        </w:rPr>
        <w:t xml:space="preserve">Momento de aplicación: semana 8, con el catálogo y el plan de iteraciones ya cerrados. Destino: Capítulo X y Portafolio de la Unidad Dos. Plazo: jueves 1.º de octubre. La versión operativa de esta planilla, con sus totales calculados, está en la hoja «Recursos» del Libro de trabajo de la AE2, alojado en /03-requisitos.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lang w:val="es-AR"/>
              </w:rPr>
              <w:t xml:space="preserve">Clase</w:t>
            </w:r>
          </w:p>
        </w:tc>
        <w:tc>
          <w:tcPr/>
          <w:p>
            <w:pPr>
              <w:pStyle w:val="Compact"/>
            </w:pPr>
            <w:r>
              <w:rPr>
                <w:b/>
                <w:bCs/>
                <w:lang w:val="es-AR"/>
              </w:rPr>
              <w:t xml:space="preserve">Concepto</w:t>
            </w:r>
          </w:p>
        </w:tc>
        <w:tc>
          <w:tcPr/>
          <w:p>
            <w:pPr>
              <w:pStyle w:val="Compact"/>
            </w:pPr>
            <w:r>
              <w:rPr>
                <w:b/>
                <w:bCs/>
                <w:lang w:val="es-AR"/>
              </w:rPr>
              <w:t xml:space="preserve">Cantidad</w:t>
            </w:r>
          </w:p>
        </w:tc>
        <w:tc>
          <w:tcPr/>
          <w:p>
            <w:pPr>
              <w:pStyle w:val="Compact"/>
            </w:pPr>
            <w:r>
              <w:rPr>
                <w:b/>
                <w:bCs/>
                <w:lang w:val="es-AR"/>
              </w:rPr>
              <w:t xml:space="preserve">Unidad</w:t>
            </w:r>
          </w:p>
        </w:tc>
        <w:tc>
          <w:tcPr/>
          <w:p>
            <w:pPr>
              <w:pStyle w:val="Compact"/>
            </w:pPr>
            <w:r>
              <w:rPr>
                <w:b/>
                <w:bCs/>
                <w:lang w:val="es-AR"/>
              </w:rPr>
              <w:t xml:space="preserve">Costo unitario</w:t>
            </w:r>
          </w:p>
        </w:tc>
        <w:tc>
          <w:tcPr/>
          <w:p>
            <w:pPr>
              <w:pStyle w:val="Compact"/>
            </w:pPr>
            <w:r>
              <w:rPr>
                <w:b/>
                <w:bCs/>
                <w:lang w:val="es-AR"/>
              </w:rPr>
              <w:t xml:space="preserve">Fuente, período y justificación de la asignación</w:t>
            </w:r>
          </w:p>
        </w:tc>
      </w:tr>
      <w:tr>
        <w:tc>
          <w:tcPr/>
          <w:p>
            <w:pPr>
              <w:pStyle w:val="Compact"/>
            </w:pPr>
            <w:r>
              <w:rPr>
                <w:lang w:val="es-AR"/>
              </w:rPr>
              <w:t xml:space="preserve">Humanos</w:t>
            </w:r>
          </w:p>
        </w:tc>
        <w:tc>
          <w:tcPr/>
          <w:p>
            <w:pPr>
              <w:pStyle w:val="Compact"/>
            </w:pPr>
            <w:r>
              <w:rPr>
                <w:lang w:val="es-AR"/>
              </w:rPr>
              <w:t xml:space="preserve">Autor, perfil único de desarrollo: capacidad técnica</w:t>
            </w:r>
          </w:p>
        </w:tc>
        <w:tc>
          <w:tcPr/>
          <w:p>
            <w:pPr>
              <w:pStyle w:val="Compact"/>
            </w:pPr>
            <w:r>
              <w:rPr>
                <w:lang w:val="es-AR"/>
              </w:rPr>
              <w:t xml:space="preserve">136</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Costo de hora en pesos derivado de la mediana bruta mensual de seniority junior de Sysarmy 2026.01 (Sysarmy, 2026), según la tabla 34.2. Las 136 h cubren las tareas de los dieciocho requisitos Must de la Tabla 18 (apartado V.4); los requisitos Should no reciben horas. La autoría es individual (apartado V.3), y un solo perfil cubre el núcleo, el adaptador, el almacén y las dos interfaces, porque la interfaz web es mínima (Anexo III, D-37)</w:t>
            </w:r>
          </w:p>
        </w:tc>
      </w:tr>
      <w:tr>
        <w:tc>
          <w:tcPr/>
          <w:p>
            <w:pPr>
              <w:pStyle w:val="Compact"/>
            </w:pPr>
            <w:r>
              <w:rPr>
                <w:lang w:val="es-AR"/>
              </w:rPr>
              <w:t xml:space="preserve">Humanos</w:t>
            </w:r>
          </w:p>
        </w:tc>
        <w:tc>
          <w:tcPr/>
          <w:p>
            <w:pPr>
              <w:pStyle w:val="Compact"/>
            </w:pPr>
            <w:r>
              <w:rPr>
                <w:lang w:val="es-AR"/>
              </w:rPr>
              <w:t xml:space="preserve">Autor: reserva documental y de validación</w:t>
            </w:r>
          </w:p>
        </w:tc>
        <w:tc>
          <w:tcPr/>
          <w:p>
            <w:pPr>
              <w:pStyle w:val="Compact"/>
            </w:pPr>
            <w:r>
              <w:rPr>
                <w:lang w:val="es-AR"/>
              </w:rPr>
              <w:t xml:space="preserve">54</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Mismo costo de hora (Sysarmy, 2026). Financia el cierre del informe de la AE2 (14 h), la Ventana y las correcciones del AE1 (20 h), que incluyen la línea de base con agentes (16 a 23 h, Anexo III, D-41), los Capítulos VI y IX (13 h) y la preparación de la medición final (7 h), según el apartado V.4. No se asigna a requisitos</w:t>
            </w:r>
          </w:p>
        </w:tc>
      </w:tr>
      <w:tr>
        <w:tc>
          <w:tcPr/>
          <w:p>
            <w:pPr>
              <w:pStyle w:val="Compact"/>
            </w:pPr>
            <w:r>
              <w:rPr>
                <w:lang w:val="es-AR"/>
              </w:rPr>
              <w:t xml:space="preserve">Humanos</w:t>
            </w:r>
          </w:p>
        </w:tc>
        <w:tc>
          <w:tcPr/>
          <w:p>
            <w:pPr>
              <w:pStyle w:val="Compact"/>
            </w:pPr>
            <w:r>
              <w:rPr>
                <w:lang w:val="es-AR"/>
              </w:rPr>
              <w:t xml:space="preserve">Referente técnica de la organización consultada (recurso externo)</w:t>
            </w:r>
          </w:p>
        </w:tc>
        <w:tc>
          <w:tcPr/>
          <w:p>
            <w:pPr>
              <w:pStyle w:val="Compact"/>
            </w:pPr>
            <w:r>
              <w:rPr>
                <w:lang w:val="es-AR"/>
              </w:rPr>
              <w:t xml:space="preserve">—</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costo y fuera del cómputo de horas del proyecto, que corresponden solo al autor. Dedicación registrada: sesión de validación del 26/09/2026 (35 min, presencial), más la constancia de la fase de cierre (apartado V.4). Su participación sostiene el estado «Validado» del catálogo y la conformidad de la medición final</w:t>
            </w:r>
          </w:p>
        </w:tc>
      </w:tr>
      <w:tr>
        <w:tc>
          <w:tcPr/>
          <w:p>
            <w:pPr>
              <w:pStyle w:val="Compact"/>
            </w:pPr>
            <w:r>
              <w:rPr>
                <w:lang w:val="es-AR"/>
              </w:rPr>
              <w:t xml:space="preserve">Físicos y materiales</w:t>
            </w:r>
          </w:p>
        </w:tc>
        <w:tc>
          <w:tcPr/>
          <w:p>
            <w:pPr>
              <w:pStyle w:val="Compact"/>
            </w:pPr>
            <w:r>
              <w:rPr>
                <w:lang w:val="es-AR"/>
              </w:rPr>
              <w:t xml:space="preserve">Notebook Samsung Galaxy Book3 (750XFG): Intel Core i7-1355U (10 núcleos, 12 hilos), 16 GB LPDDR4x, SSD NVMe de 512 GB, Windows 11 Home 10.0.26200</w:t>
            </w:r>
          </w:p>
        </w:tc>
        <w:tc>
          <w:tcPr/>
          <w:p>
            <w:pPr>
              <w:pStyle w:val="Compact"/>
            </w:pPr>
            <w:r>
              <w:rPr>
                <w:lang w:val="es-AR"/>
              </w:rPr>
              <w:t xml:space="preserve">1</w:t>
            </w:r>
          </w:p>
        </w:tc>
        <w:tc>
          <w:tcPr/>
          <w:p>
            <w:pPr>
              <w:pStyle w:val="Compact"/>
            </w:pPr>
            <w:r>
              <w:rPr>
                <w:lang w:val="es-AR"/>
              </w:rPr>
              <w:t xml:space="preserve">equipo</w:t>
            </w:r>
          </w:p>
        </w:tc>
        <w:tc>
          <w:tcPr/>
          <w:p>
            <w:pPr>
              <w:pStyle w:val="Compact"/>
            </w:pPr>
            <w:r>
              <w:rPr>
                <w:lang w:val="es-AR"/>
              </w:rPr>
              <w:t xml:space="preserve">0</w:t>
            </w:r>
          </w:p>
        </w:tc>
        <w:tc>
          <w:tcPr/>
          <w:p>
            <w:pPr>
              <w:pStyle w:val="Compact"/>
            </w:pPr>
            <w:r>
              <w:rPr>
                <w:lang w:val="es-AR"/>
              </w:rPr>
              <w:t xml:space="preserve">Bien propio del autor, preexistente; no se adquiere. RIGE opera en forma local y sin servidor (RNF-05), de modo que el modo de operación no exige un dispositivo específico. El equipo aloja el desarrollo, la plataforma Windows 11 declarada (RNF-06) y el entorno Linux de referencia de las mediciones (Anexo III, D-47). Especificaciones medidas el 28/09/2026</w:t>
            </w:r>
          </w:p>
        </w:tc>
      </w:tr>
      <w:tr>
        <w:tc>
          <w:tcPr/>
          <w:p>
            <w:pPr>
              <w:pStyle w:val="Compact"/>
            </w:pPr>
            <w:r>
              <w:rPr>
                <w:lang w:val="es-AR"/>
              </w:rPr>
              <w:t xml:space="preserve">Físicos y materiales</w:t>
            </w:r>
          </w:p>
        </w:tc>
        <w:tc>
          <w:tcPr/>
          <w:p>
            <w:pPr>
              <w:pStyle w:val="Compact"/>
            </w:pPr>
            <w:r>
              <w:rPr>
                <w:lang w:val="es-AR"/>
              </w:rPr>
              <w:t xml:space="preserve">Conexión a internet y espacio de trabajo del autor</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Preexistentes y sin costo atribuible. La conexión es necesaria para el desarrollo, el canal de integración continua y la medición con agentes, pero no para el uso de RIGE, que no realiza conexiones salientes (RNF-05).</w:t>
            </w:r>
          </w:p>
        </w:tc>
      </w:tr>
      <w:tr>
        <w:tc>
          <w:tcPr/>
          <w:p>
            <w:pPr>
              <w:pStyle w:val="Compact"/>
            </w:pPr>
            <w:r>
              <w:rPr>
                <w:lang w:val="es-AR"/>
              </w:rPr>
              <w:t xml:space="preserve">Financieros</w:t>
            </w:r>
          </w:p>
        </w:tc>
        <w:tc>
          <w:tcPr/>
          <w:p>
            <w:pPr>
              <w:pStyle w:val="Compact"/>
            </w:pPr>
            <w:r>
              <w:rPr>
                <w:lang w:val="es-AR"/>
              </w:rPr>
              <w:t xml:space="preserve">Suscripción ChatGPT Plus para la medición con agentes</w:t>
            </w:r>
          </w:p>
        </w:tc>
        <w:tc>
          <w:tcPr/>
          <w:p>
            <w:pPr>
              <w:pStyle w:val="Compact"/>
            </w:pPr>
            <w:r>
              <w:rPr>
                <w:lang w:val="es-AR"/>
              </w:rPr>
              <w:t xml:space="preserve">2</w:t>
            </w:r>
          </w:p>
        </w:tc>
        <w:tc>
          <w:tcPr/>
          <w:p>
            <w:pPr>
              <w:pStyle w:val="Compact"/>
            </w:pPr>
            <w:r>
              <w:rPr>
                <w:lang w:val="es-AR"/>
              </w:rPr>
              <w:t xml:space="preserve">mes</w:t>
            </w:r>
          </w:p>
        </w:tc>
        <w:tc>
          <w:tcPr/>
          <w:p>
            <w:pPr>
              <w:pStyle w:val="Compact"/>
            </w:pPr>
            <w:r>
              <w:rPr>
                <w:lang w:val="es-AR"/>
              </w:rPr>
              <w:t xml:space="preserve">USD 20</w:t>
            </w:r>
          </w:p>
        </w:tc>
        <w:tc>
          <w:tcPr/>
          <w:p>
            <w:pPr>
              <w:pStyle w:val="Compact"/>
            </w:pPr>
            <w:r>
              <w:rPr>
                <w:lang w:val="es-AR"/>
              </w:rPr>
              <w:t xml:space="preserve">Precio de lista de OpenAI (s. f.-a), consultado el 01/10/2026. Sostiene la ejecución de los agentes con modelos de OpenAI desde OpenCode en la línea de base y en la medición final, durante octubre y noviembre de 2026 (Anexo III, D-48). El consumo se registra en tokens por caso y por modelo y se valoriza a precio de lista de la API solo como equivalente informativo (tabla 34.2). Si los límites de uso impiden completar la medición, se reducen las repeticiones de los modelos secundarios antes que el principal. Las cifras en dólares se mantienen separadas del total en pesos</w:t>
            </w:r>
          </w:p>
        </w:tc>
      </w:tr>
      <w:tr>
        <w:tc>
          <w:tcPr/>
          <w:p>
            <w:pPr>
              <w:pStyle w:val="Compact"/>
            </w:pPr>
            <w:r>
              <w:rPr>
                <w:lang w:val="es-AR"/>
              </w:rPr>
              <w:t xml:space="preserve">Tecnológicos</w:t>
            </w:r>
          </w:p>
        </w:tc>
        <w:tc>
          <w:tcPr/>
          <w:p>
            <w:pPr>
              <w:pStyle w:val="Compact"/>
            </w:pPr>
            <w:r>
              <w:rPr>
                <w:lang w:val="es-AR"/>
              </w:rPr>
              <w:t xml:space="preserve">Lenguaje TypeScript</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Apache 2.0. Versión 7.0.2, fijada en forma exacta; solo verifica tipos y no interviene en la ejecución (Anexo III, D-56). Permite ejecutar sin adaptación el código del evaluador de permisos de OpenCode, escrito en TypeScript. Alternativa descartada: otro lenguaje, que obliga a portar el evaluador y contradice la incorporación del evaluador por copia (Anexo III, D-06 y D-42)</w:t>
            </w:r>
          </w:p>
        </w:tc>
      </w:tr>
      <w:tr>
        <w:tc>
          <w:tcPr/>
          <w:p>
            <w:pPr>
              <w:pStyle w:val="Compact"/>
            </w:pPr>
            <w:r>
              <w:rPr>
                <w:lang w:val="es-AR"/>
              </w:rPr>
              <w:t xml:space="preserve">Tecnológicos</w:t>
            </w:r>
          </w:p>
        </w:tc>
        <w:tc>
          <w:tcPr/>
          <w:p>
            <w:pPr>
              <w:pStyle w:val="Compact"/>
            </w:pPr>
            <w:r>
              <w:rPr>
                <w:lang w:val="es-AR"/>
              </w:rPr>
              <w:t xml:space="preserve">Entorno de ejecución Bun 1.3.14</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misma versión que declara OpenCode 1.18.25 en</w:t>
            </w:r>
            <w:r>
              <w:rPr>
                <w:lang w:val="es-AR"/>
              </w:rPr>
              <w:t xml:space="preserve"> </w:t>
            </w:r>
            <w:r>
              <w:rPr>
                <w:rStyle w:val="VerbatimChar"/>
                <w:lang w:val="es-AR"/>
              </w:rPr>
              <w:t xml:space="preserve">packageManager</w:t>
            </w:r>
            <w:r>
              <w:rPr>
                <w:lang w:val="es-AR"/>
              </w:rPr>
              <w:t xml:space="preserve">. Integra SQLite, ejecutor de pruebas y servidor HTTP, con un solo prerrequisito para la cátedra. Alternativa descartada: Node.js LTS, porque ejecutar las funciones copiadas en el mismo motor de JavaScript que el oráculo (Bun) elimina una fuente de divergencia (Anexo III, D-42)</w:t>
            </w:r>
          </w:p>
        </w:tc>
      </w:tr>
      <w:tr>
        <w:tc>
          <w:tcPr/>
          <w:p>
            <w:pPr>
              <w:pStyle w:val="Compact"/>
            </w:pPr>
            <w:r>
              <w:rPr>
                <w:lang w:val="es-AR"/>
              </w:rPr>
              <w:t xml:space="preserve">Tecnológicos</w:t>
            </w:r>
          </w:p>
        </w:tc>
        <w:tc>
          <w:tcPr/>
          <w:p>
            <w:pPr>
              <w:pStyle w:val="Compact"/>
            </w:pPr>
            <w:r>
              <w:rPr>
                <w:lang w:val="es-AR"/>
              </w:rPr>
              <w:t xml:space="preserve">Motor de base de datos SQLite embebido (</w:t>
            </w:r>
            <w:r>
              <w:rPr>
                <w:rStyle w:val="VerbatimChar"/>
                <w:lang w:val="es-AR"/>
              </w:rPr>
              <w:t xml:space="preserve">bun:sqlite</w:t>
            </w:r>
            <w:r>
              <w:rPr>
                <w:lang w:val="es-AR"/>
              </w:rPr>
              <w:t xml:space="preserve">)</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Dominio público. Es un motor real, con esquema creado por guion y sin servidor ni credenciales. Alternativa descartada: PostgreSQL, que agrega un servicio y credenciales sin requisito que lo justifique (Anexo III, D-45 y D-23)</w:t>
            </w:r>
          </w:p>
        </w:tc>
      </w:tr>
      <w:tr>
        <w:tc>
          <w:tcPr/>
          <w:p>
            <w:pPr>
              <w:pStyle w:val="Compact"/>
            </w:pPr>
            <w:r>
              <w:rPr>
                <w:lang w:val="es-AR"/>
              </w:rPr>
              <w:t xml:space="preserve">Tecnológicos</w:t>
            </w:r>
          </w:p>
        </w:tc>
        <w:tc>
          <w:tcPr/>
          <w:p>
            <w:pPr>
              <w:pStyle w:val="Compact"/>
            </w:pPr>
            <w:r>
              <w:rPr>
                <w:lang w:val="es-AR"/>
              </w:rPr>
              <w:t xml:space="preserve">Evaluador de permisos de OpenCode 1.18.25, incorporado por copia atribuida</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«Copyright (c) 2025 opencode». Se copian cuatro funciones puras y las reglas nativas, y se conserva la atribución. Alternativas descartadas: dependencia del paquete publicado (no expone el módulo) e invocación del binario (confunde producto y oráculo) (Anexo III, D-06 y D-44)</w:t>
            </w:r>
          </w:p>
        </w:tc>
      </w:tr>
      <w:tr>
        <w:tc>
          <w:tcPr/>
          <w:p>
            <w:pPr>
              <w:pStyle w:val="Compact"/>
            </w:pPr>
            <w:r>
              <w:rPr>
                <w:lang w:val="es-AR"/>
              </w:rPr>
              <w:t xml:space="preserve">Tecnológicos</w:t>
            </w:r>
          </w:p>
        </w:tc>
        <w:tc>
          <w:tcPr/>
          <w:p>
            <w:pPr>
              <w:pStyle w:val="Compact"/>
            </w:pPr>
            <w:r>
              <w:rPr>
                <w:lang w:val="es-AR"/>
              </w:rPr>
              <w:t xml:space="preserve">OpenCode 1.18.25 como oráculo y herramienta de prueba y de medición</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versión congelada. Fija los resultados de referencia (Anexo III, D-34) y ejecuta los agentes de la medición con modelos de OpenAI sobre ChatGPT Plus (Anexo III, D-41 y D-48; apartado X.3)</w:t>
            </w:r>
          </w:p>
        </w:tc>
      </w:tr>
      <w:tr>
        <w:tc>
          <w:tcPr/>
          <w:p>
            <w:pPr>
              <w:pStyle w:val="Compact"/>
            </w:pPr>
            <w:r>
              <w:rPr>
                <w:lang w:val="es-AR"/>
              </w:rPr>
              <w:t xml:space="preserve">Tecnológicos</w:t>
            </w:r>
          </w:p>
        </w:tc>
        <w:tc>
          <w:tcPr/>
          <w:p>
            <w:pPr>
              <w:pStyle w:val="Compact"/>
            </w:pPr>
            <w:r>
              <w:rPr>
                <w:lang w:val="es-AR"/>
              </w:rPr>
              <w:t xml:space="preserve">Imagen de contenedor Ubuntu 26.04 con Docker Desktop 4.90.0 sobre WSL 2 (2.7.10)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Docker Desktop: gratuito para uso personal, educativo, en proyectos de código abierto no comerciales y en empresas de menos de 250 empleados y menos de USD 10 millones de ingresos anuales (Docker Subscription Service Agreement, §3.2, consultado el 28/09/2026). WSL 2: componente de Windows. Aloja el oráculo, la medición con agentes y la de RNF-07, con aislamiento y reproducibilidad por construcción. Alternativas descartadas: distribución WSL dedicada y máquina virtual completa (Anexo III, D-47). Recursos fijados con</w:t>
            </w:r>
            <w:r>
              <w:rPr>
                <w:lang w:val="es-AR"/>
              </w:rPr>
              <w:t xml:space="preserve"> </w:t>
            </w:r>
            <w:r>
              <w:rPr>
                <w:rStyle w:val="VerbatimChar"/>
                <w:lang w:val="es-AR"/>
              </w:rPr>
              <w:t xml:space="preserve">.wslconfig</w:t>
            </w:r>
            <w:r>
              <w:rPr>
                <w:lang w:val="es-AR"/>
              </w:rPr>
              <w:t xml:space="preserve"> </w:t>
            </w:r>
            <w:r>
              <w:rPr>
                <w:lang w:val="es-AR"/>
              </w:rPr>
              <w:t xml:space="preserve">(8 GB, 12 procesadores)</w:t>
            </w:r>
          </w:p>
        </w:tc>
      </w:tr>
      <w:tr>
        <w:tc>
          <w:tcPr/>
          <w:p>
            <w:pPr>
              <w:pStyle w:val="Compact"/>
            </w:pPr>
            <w:r>
              <w:rPr>
                <w:lang w:val="es-AR"/>
              </w:rPr>
              <w:t xml:space="preserve">Tecnológicos</w:t>
            </w:r>
          </w:p>
        </w:tc>
        <w:tc>
          <w:tcPr/>
          <w:p>
            <w:pPr>
              <w:pStyle w:val="Compact"/>
            </w:pPr>
            <w:r>
              <w:rPr>
                <w:lang w:val="es-AR"/>
              </w:rPr>
              <w:t xml:space="preserve">GitHub: repositorio y canal de integración continua (GitHub Actions)</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Plan gratuito. El repositorio es</w:t>
            </w:r>
            <w:r>
              <w:rPr>
                <w:lang w:val="es-AR"/>
              </w:rPr>
              <w:t xml:space="preserve"> </w:t>
            </w:r>
            <w:r>
              <w:rPr>
                <w:b/>
                <w:bCs/>
                <w:lang w:val="es-AR"/>
              </w:rPr>
              <w:t xml:space="preserve">privado, con el docente como colaborador</w:t>
            </w:r>
            <w:r>
              <w:rPr>
                <w:lang w:val="es-AR"/>
              </w:rPr>
              <w:t xml:space="preserve">, conforme a la regla de acceso de la cátedra (Guía AE2, §2.3); se publica bajo licencia MIT tras la aprobación. En un repositorio privado, GitHub Actions consume la cuota del plan gratuito, de 2.000 minutos mensuales en ejecutores estándar (documentación de facturación de GitHub, consultada el 28/09/2026), suficiente para el canal previsto. Es el servicio que nombran la guía de comprobación del v1 y las reglas de la cátedra (</w:t>
            </w:r>
            <w:r>
              <w:rPr>
                <w:rStyle w:val="VerbatimChar"/>
                <w:lang w:val="es-AR"/>
              </w:rPr>
              <w:t xml:space="preserve">.github/workflows/ci.yml</w:t>
            </w:r>
            <w:r>
              <w:rPr>
                <w:lang w:val="es-AR"/>
              </w:rPr>
              <w:t xml:space="preserve">). Alternativa descartada: GitLab CI, que obliga a replicar el repositorio (Anexo III, D-46)</w:t>
            </w:r>
          </w:p>
        </w:tc>
      </w:tr>
      <w:tr>
        <w:tc>
          <w:tcPr/>
          <w:p>
            <w:pPr>
              <w:pStyle w:val="Compact"/>
            </w:pPr>
            <w:r>
              <w:rPr>
                <w:lang w:val="es-AR"/>
              </w:rPr>
              <w:t xml:space="preserve">Tecnológicos</w:t>
            </w:r>
          </w:p>
        </w:tc>
        <w:tc>
          <w:tcPr/>
          <w:p>
            <w:pPr>
              <w:pStyle w:val="Compact"/>
            </w:pPr>
            <w:r>
              <w:rPr>
                <w:lang w:val="es-AR"/>
              </w:rPr>
              <w:t xml:space="preserve">Asistente de contraste, coherencia y redacción Claude Code (plan Claude Pro, Anthropic)</w:t>
            </w:r>
          </w:p>
        </w:tc>
        <w:tc>
          <w:tcPr/>
          <w:p>
            <w:pPr>
              <w:pStyle w:val="Compact"/>
            </w:pPr>
            <w:r>
              <w:rPr>
                <w:lang w:val="es-AR"/>
              </w:rPr>
              <w:t xml:space="preserve">1</w:t>
            </w:r>
          </w:p>
        </w:tc>
        <w:tc>
          <w:tcPr/>
          <w:p>
            <w:pPr>
              <w:pStyle w:val="Compact"/>
            </w:pPr>
            <w:r>
              <w:rPr>
                <w:lang w:val="es-AR"/>
              </w:rPr>
              <w:t xml:space="preserve">suscripción</w:t>
            </w:r>
          </w:p>
        </w:tc>
        <w:tc>
          <w:tcPr/>
          <w:p>
            <w:pPr>
              <w:pStyle w:val="Compact"/>
            </w:pPr>
            <w:r>
              <w:rPr>
                <w:lang w:val="es-AR"/>
              </w:rPr>
              <w:t xml:space="preserve">0</w:t>
            </w:r>
          </w:p>
        </w:tc>
        <w:tc>
          <w:tcPr/>
          <w:p>
            <w:pPr>
              <w:pStyle w:val="Compact"/>
            </w:pPr>
            <w:r>
              <w:rPr>
                <w:lang w:val="es-AR"/>
              </w:rPr>
              <w:t xml:space="preserve">Suscripción personal del autor, pagada desde julio de 2026, anterior al período e independiente del proyecto: sin costo atribuible (Anexo III, D-49). La estimación de horas de la Tabla 18 no supone su uso. Asiste en el contraste de alternativas, la verificación de coherencia y la redacción sobre contenido propio. Las decisiones, los datos, la validación con la referente y la aceptación de las pruebas quedan a cargo del autor.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Codex, gpt-6.1-sol, sobre ChatGPT Plus</w:t>
            </w:r>
          </w:p>
        </w:tc>
        <w:tc>
          <w:tcPr/>
          <w:p>
            <w:pPr>
              <w:pStyle w:val="Compact"/>
            </w:pPr>
            <w:r>
              <w:rPr>
                <w:lang w:val="es-AR"/>
              </w:rPr>
              <w:t xml:space="preserve">1</w:t>
            </w:r>
          </w:p>
        </w:tc>
        <w:tc>
          <w:tcPr/>
          <w:p>
            <w:pPr>
              <w:pStyle w:val="Compact"/>
            </w:pPr>
            <w:r>
              <w:rPr>
                <w:lang w:val="es-AR"/>
              </w:rPr>
              <w:t xml:space="preserve">herramienta</w:t>
            </w:r>
          </w:p>
        </w:tc>
        <w:tc>
          <w:tcPr/>
          <w:p>
            <w:pPr>
              <w:pStyle w:val="Compact"/>
            </w:pPr>
            <w:r>
              <w:rPr>
                <w:lang w:val="es-AR"/>
              </w:rPr>
              <w:t xml:space="preserve">0</w:t>
            </w:r>
          </w:p>
        </w:tc>
        <w:tc>
          <w:tcPr/>
          <w:p>
            <w:pPr>
              <w:pStyle w:val="Compact"/>
            </w:pPr>
            <w:r>
              <w:rPr>
                <w:lang w:val="es-AR"/>
              </w:rPr>
              <w:t xml:space="preserve">Asiste en la escritura del código sobre fichas del autor, revisada por el autor, y en la redacción sobre contenido propio (Anexo III, D-49). La suscripción figura en la partida financiera y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Trello</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Tablero de gestión exigido por la consigna, en su plan gratuito</w:t>
            </w:r>
          </w:p>
        </w:tc>
      </w:tr>
      <w:tr>
        <w:tc>
          <w:tcPr/>
          <w:p>
            <w:pPr>
              <w:pStyle w:val="Compact"/>
            </w:pPr>
            <w:r>
              <w:rPr>
                <w:lang w:val="es-AR"/>
              </w:rPr>
              <w:t xml:space="preserve">Tecnológicos</w:t>
            </w:r>
          </w:p>
        </w:tc>
        <w:tc>
          <w:tcPr/>
          <w:p>
            <w:pPr>
              <w:pStyle w:val="Compact"/>
            </w:pPr>
            <w:r>
              <w:rPr>
                <w:lang w:val="es-AR"/>
              </w:rPr>
              <w:t xml:space="preserve">matplotlib 3.11.0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Generación de las figuras; licencia de matplotlib, basada en PSF</w:t>
            </w:r>
          </w:p>
        </w:tc>
      </w:tr>
      <w:tr>
        <w:tc>
          <w:tcPr/>
          <w:p>
            <w:pPr>
              <w:pStyle w:val="Compact"/>
            </w:pPr>
            <w:r>
              <w:rPr>
                <w:lang w:val="es-AR"/>
              </w:rPr>
              <w:t xml:space="preserve">Otros</w:t>
            </w:r>
          </w:p>
        </w:tc>
        <w:tc>
          <w:tcPr/>
          <w:p>
            <w:pPr>
              <w:pStyle w:val="Compact"/>
            </w:pPr>
            <w:r>
              <w:rPr>
                <w:lang w:val="es-AR"/>
              </w:rPr>
              <w:t xml:space="preserve">Licencias de terceros y atribución</w:t>
            </w:r>
          </w:p>
        </w:tc>
        <w:tc>
          <w:tcPr/>
          <w:p>
            <w:pPr>
              <w:pStyle w:val="Compact"/>
            </w:pPr>
            <w:r>
              <w:rPr>
                <w:lang w:val="es-AR"/>
              </w:rPr>
              <w:t xml:space="preserve">1</w:t>
            </w:r>
          </w:p>
        </w:tc>
        <w:tc>
          <w:tcPr/>
          <w:p>
            <w:pPr>
              <w:pStyle w:val="Compact"/>
            </w:pPr>
            <w:r>
              <w:rPr>
                <w:lang w:val="es-AR"/>
              </w:rPr>
              <w:t xml:space="preserve">obligación</w:t>
            </w:r>
          </w:p>
        </w:tc>
        <w:tc>
          <w:tcPr/>
          <w:p>
            <w:pPr>
              <w:pStyle w:val="Compact"/>
            </w:pPr>
            <w:r>
              <w:rPr>
                <w:lang w:val="es-AR"/>
              </w:rPr>
              <w:t xml:space="preserve">0</w:t>
            </w:r>
          </w:p>
        </w:tc>
        <w:tc>
          <w:tcPr/>
          <w:p>
            <w:pPr>
              <w:pStyle w:val="Compact"/>
            </w:pPr>
            <w:r>
              <w:rPr>
                <w:lang w:val="es-AR"/>
              </w:rPr>
              <w:t xml:space="preserve">Se publica la atribución MIT de OpenCode junto al código copiado y la licencia MIT de RIGE (Anexo III, D-31). No hay licencias pagas</w:t>
            </w:r>
          </w:p>
        </w:tc>
      </w:tr>
      <w:tr>
        <w:tc>
          <w:tcPr/>
          <w:p>
            <w:pPr>
              <w:pStyle w:val="Compact"/>
            </w:pPr>
            <w:r>
              <w:rPr>
                <w:lang w:val="es-AR"/>
              </w:rPr>
              <w:t xml:space="preserve">Otros</w:t>
            </w:r>
          </w:p>
        </w:tc>
        <w:tc>
          <w:tcPr/>
          <w:p>
            <w:pPr>
              <w:pStyle w:val="Compact"/>
            </w:pPr>
            <w:r>
              <w:rPr>
                <w:lang w:val="es-AR"/>
              </w:rPr>
              <w:t xml:space="preserve">Capacitación</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horas propias: el autor declara experiencia previa en TypeScript (Anexo III, D-42). El estudio del código de OpenCode se realizó en el relevamiento (Anexo I, A.I.3), y la curva de Bun se absorbe en las tareas de la Tabla 18</w:t>
            </w:r>
          </w:p>
        </w:tc>
      </w:tr>
      <w:tr>
        <w:tc>
          <w:tcPr/>
          <w:p>
            <w:pPr>
              <w:pStyle w:val="Compact"/>
            </w:pPr>
            <w:r>
              <w:rPr>
                <w:lang w:val="es-AR"/>
              </w:rPr>
              <w:t xml:space="preserve">Otros</w:t>
            </w:r>
          </w:p>
        </w:tc>
        <w:tc>
          <w:tcPr/>
          <w:p>
            <w:pPr>
              <w:pStyle w:val="Compact"/>
            </w:pPr>
            <w:r>
              <w:rPr>
                <w:lang w:val="es-AR"/>
              </w:rPr>
              <w:t xml:space="preserve">Migración de datos</w:t>
            </w:r>
          </w:p>
        </w:tc>
        <w:tc>
          <w:tcPr/>
          <w:p>
            <w:pPr>
              <w:pStyle w:val="Compact"/>
            </w:pPr>
            <w:r>
              <w:rPr>
                <w:lang w:val="es-AR"/>
              </w:rPr>
              <w:t xml:space="preserve">0</w:t>
            </w:r>
          </w:p>
        </w:tc>
        <w:tc>
          <w:tcPr/>
          <w:p>
            <w:pPr>
              <w:pStyle w:val="Compact"/>
            </w:pPr>
            <w:r>
              <w:rPr>
                <w:lang w:val="es-AR"/>
              </w:rPr>
              <w:t xml:space="preserve">—</w:t>
            </w:r>
          </w:p>
        </w:tc>
        <w:tc>
          <w:tcPr/>
          <w:p>
            <w:pPr>
              <w:pStyle w:val="Compact"/>
            </w:pPr>
            <w:r>
              <w:rPr>
                <w:lang w:val="es-AR"/>
              </w:rPr>
              <w:t xml:space="preserve">0</w:t>
            </w:r>
          </w:p>
        </w:tc>
        <w:tc>
          <w:tcPr/>
          <w:p>
            <w:pPr>
              <w:pStyle w:val="Compact"/>
            </w:pPr>
            <w:r>
              <w:rPr>
                <w:lang w:val="es-AR"/>
              </w:rPr>
              <w:t xml:space="preserve">No aplica. RIGE es de solo lectura y no reemplaza ningún repositorio de datos: lee las entradas de configuración en su lugar. El sustituto que desplaza es un procedimiento, manual o delegado en un agente, y no una planilla</w:t>
            </w:r>
          </w:p>
        </w:tc>
      </w:tr>
      <w:tr>
        <w:tc>
          <w:tcPr/>
          <w:p>
            <w:pPr>
              <w:pStyle w:val="Compact"/>
            </w:pPr>
            <w:r>
              <w:rPr>
                <w:lang w:val="es-AR"/>
              </w:rPr>
              <w:t xml:space="preserve">Otros</w:t>
            </w:r>
          </w:p>
        </w:tc>
        <w:tc>
          <w:tcPr/>
          <w:p>
            <w:pPr>
              <w:pStyle w:val="Compact"/>
            </w:pPr>
            <w:r>
              <w:rPr>
                <w:lang w:val="es-AR"/>
              </w:rPr>
              <w:t xml:space="preserve">Soporte posterior al período</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Fuera del período: readaptación ante cada versión de OpenCode, sin financiamiento asegurado (apartado IV.1, estructura de costos). No integra el presupuesto</w:t>
            </w:r>
          </w:p>
        </w:tc>
      </w:tr>
    </w:tbl>
    <w:p>
      <w:pPr>
        <w:pStyle w:val="BodyText"/>
      </w:pPr>
      <w:r>
        <w:rPr>
          <w:i/>
          <w:iCs/>
          <w:lang w:val="es-AR"/>
        </w:rPr>
        <w:t xml:space="preserve">Fase de cierre posterior al período (fuera del cómputo, igual que en el apartado V.4): 48 h estimadas × $8876 = $426048 de costo de oportunidad adicional, declarado como estimación. Financia la medición final y la constancia de la referente. La referente figura con «—» en cantidad porque su dedicación no integra las horas del proyecto.</w:t>
      </w:r>
    </w:p>
    <w:p>
      <w:pPr>
        <w:pStyle w:val="BodyText"/>
      </w:pPr>
      <w:r>
        <w:rPr>
          <w:i/>
          <w:iCs/>
          <w:lang w:val="es-AR"/>
        </w:rPr>
        <w:t xml:space="preserve">Las cifras en pesos se expresan sin separador de miles para que la hoja «Recursos» del libro las calcule. Las cifras en dólares no se suman al total en pesos: la conversión exigiría un tipo de cambio con fuente y fecha, que el capítulo no necesita.</w:t>
      </w:r>
    </w:p>
    <w:p>
      <w:pPr>
        <w:pStyle w:val="BodyText"/>
      </w:pPr>
      <w:r>
        <w:rPr>
          <w:b/>
          <w:bCs/>
          <w:lang w:val="es-AR"/>
        </w:rPr>
        <w:t xml:space="preserve">34.2 · Las tres preguntas aplicadas a cada cifra de costo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lang w:val="es-AR"/>
              </w:rPr>
              <w:t xml:space="preserve">Cifra empleada</w:t>
            </w:r>
          </w:p>
        </w:tc>
        <w:tc>
          <w:tcPr/>
          <w:p>
            <w:pPr>
              <w:pStyle w:val="Compact"/>
            </w:pPr>
            <w:r>
              <w:rPr>
                <w:b/>
                <w:bCs/>
                <w:lang w:val="es-AR"/>
              </w:rPr>
              <w:t xml:space="preserve">¿Quién la produjo?</w:t>
            </w:r>
          </w:p>
        </w:tc>
        <w:tc>
          <w:tcPr/>
          <w:p>
            <w:pPr>
              <w:pStyle w:val="Compact"/>
            </w:pPr>
            <w:r>
              <w:rPr>
                <w:b/>
                <w:bCs/>
                <w:lang w:val="es-AR"/>
              </w:rPr>
              <w:t xml:space="preserve">¿Con qué método y sobre qué universo?</w:t>
            </w:r>
          </w:p>
        </w:tc>
        <w:tc>
          <w:tcPr/>
          <w:p>
            <w:pPr>
              <w:pStyle w:val="Compact"/>
            </w:pPr>
            <w:r>
              <w:rPr>
                <w:b/>
                <w:bCs/>
                <w:lang w:val="es-AR"/>
              </w:rPr>
              <w:t xml:space="preserve">¿Para qué período de referencia?</w:t>
            </w:r>
          </w:p>
        </w:tc>
      </w:tr>
      <w:tr>
        <w:tc>
          <w:tcPr/>
          <w:p>
            <w:pPr>
              <w:pStyle w:val="Compact"/>
            </w:pPr>
            <w:r>
              <w:rPr>
                <w:lang w:val="es-AR"/>
              </w:rPr>
              <w:t xml:space="preserve">$1538500 mensuales: mediana bruta mensual de seniority junior</w:t>
            </w:r>
          </w:p>
        </w:tc>
        <w:tc>
          <w:tcPr/>
          <w:p>
            <w:pPr>
              <w:pStyle w:val="Compact"/>
            </w:pPr>
            <w:r>
              <w:rPr>
                <w:lang w:val="es-AR"/>
              </w:rPr>
              <w:t xml:space="preserve">Sysarmy, con análisis de OpenQube (Sysarmy, 2026)</w:t>
            </w:r>
          </w:p>
        </w:tc>
        <w:tc>
          <w:tcPr/>
          <w:p>
            <w:pPr>
              <w:pStyle w:val="Compact"/>
            </w:pPr>
            <w:r>
              <w:rPr>
                <w:lang w:val="es-AR"/>
              </w:rPr>
              <w:t xml:space="preserve">Encuesta en línea de participación voluntaria a la comunidad tecnológica argentina: 4939 respuestas analizadas. Sesgo de autoselección, sin recorte regional. La verificación directa de la mediana en el tablero de OpenQube queda a cargo del autor</w:t>
            </w:r>
          </w:p>
        </w:tc>
        <w:tc>
          <w:tcPr/>
          <w:p>
            <w:pPr>
              <w:pStyle w:val="Compact"/>
            </w:pPr>
            <w:r>
              <w:rPr>
                <w:lang w:val="es-AR"/>
              </w:rPr>
              <w:t xml:space="preserve">Diciembre de 2025 a febrero de 2026; publicada el 06/03/2026</w:t>
            </w:r>
          </w:p>
        </w:tc>
      </w:tr>
      <w:tr>
        <w:tc>
          <w:tcPr/>
          <w:p>
            <w:pPr>
              <w:pStyle w:val="Compact"/>
            </w:pPr>
            <w:r>
              <w:rPr>
                <w:lang w:val="es-AR"/>
              </w:rPr>
              <w:t xml:space="preserve">$8876 por hora: costo de hora de referencia</w:t>
            </w:r>
          </w:p>
        </w:tc>
        <w:tc>
          <w:tcPr/>
          <w:p>
            <w:pPr>
              <w:pStyle w:val="Compact"/>
            </w:pPr>
            <w:r>
              <w:rPr>
                <w:lang w:val="es-AR"/>
              </w:rPr>
              <w:t xml:space="preserve">Elaboración propia sobre Sysarmy (2026)</w:t>
            </w:r>
          </w:p>
        </w:tc>
        <w:tc>
          <w:tcPr/>
          <w:p>
            <w:pPr>
              <w:pStyle w:val="Compact"/>
            </w:pPr>
            <w:r>
              <w:rPr>
                <w:lang w:val="es-AR"/>
              </w:rPr>
              <w:t xml:space="preserve">$1538500 / 173,33 h, con jornada completa de 40 h semanales como supuesto declarado (40 × 52 / 12). Referencia de salario bruto sin contribuciones patronales</w:t>
            </w:r>
          </w:p>
        </w:tc>
        <w:tc>
          <w:tcPr/>
          <w:p>
            <w:pPr>
              <w:pStyle w:val="Compact"/>
            </w:pPr>
            <w:r>
              <w:rPr>
                <w:lang w:val="es-AR"/>
              </w:rPr>
              <w:t xml:space="preserve">Diciembre de 2025 a febrero de 2026; sin actualización al período del proyecto</w:t>
            </w:r>
          </w:p>
        </w:tc>
      </w:tr>
      <w:tr>
        <w:tc>
          <w:tcPr/>
          <w:p>
            <w:pPr>
              <w:pStyle w:val="Compact"/>
            </w:pPr>
            <w:r>
              <w:rPr>
                <w:lang w:val="es-AR"/>
              </w:rPr>
              <w:t xml:space="preserve">USD 20 mensuales: ChatGPT Plus</w:t>
            </w:r>
          </w:p>
        </w:tc>
        <w:tc>
          <w:tcPr/>
          <w:p>
            <w:pPr>
              <w:pStyle w:val="Compact"/>
            </w:pPr>
            <w:r>
              <w:rPr>
                <w:lang w:val="es-AR"/>
              </w:rPr>
              <w:t xml:space="preserve">OpenAI, documentación comercial (OpenAI, s. f.-a)</w:t>
            </w:r>
          </w:p>
        </w:tc>
        <w:tc>
          <w:tcPr/>
          <w:p>
            <w:pPr>
              <w:pStyle w:val="Compact"/>
            </w:pPr>
            <w:r>
              <w:rPr>
                <w:lang w:val="es-AR"/>
              </w:rPr>
              <w:t xml:space="preserve">Precio de lista de una suscripción individual, con Codex incluido; las aplicaciones de terceros comparten el cupo del plan. Sostiene la medición y se declara como costo recurrente (Anexo III, D-48)</w:t>
            </w:r>
          </w:p>
        </w:tc>
        <w:tc>
          <w:tcPr/>
          <w:p>
            <w:pPr>
              <w:pStyle w:val="Compact"/>
            </w:pPr>
            <w:r>
              <w:rPr>
                <w:lang w:val="es-AR"/>
              </w:rPr>
              <w:t xml:space="preserve">Consultado el 01/10/2026; suscripción para octubre y noviembre de 2026</w:t>
            </w:r>
          </w:p>
        </w:tc>
      </w:tr>
      <w:tr>
        <w:tc>
          <w:tcPr/>
          <w:p>
            <w:pPr>
              <w:pStyle w:val="Compact"/>
            </w:pPr>
            <w:r>
              <w:rPr>
                <w:lang w:val="es-AR"/>
              </w:rPr>
              <w:t xml:space="preserve">USD 2,00 / 0,10 / 10,00 por millón de tokens: gpt-6.1-sol</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10,00 / 1,00 / 50,00 por millón de tokens: gpt-6-astra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0,10 / 0,01 / 0,50 por millón de tokens: gpt-6-luna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bl>
    <w:p/>
    <w:tbl>
      <w:tblPr>
        <w:tblStyle w:val="Table"/>
        <w:tblW w:type="pct" w:w="5000"/>
        <w:tblLayout w:type="fixed"/>
        <w:tblLook w:firstRow="0" w:lastRow="0" w:firstColumn="0" w:lastColumn="0" w:noHBand="0" w:noVBand="0" w:val="0000"/>
      </w:tblPr>
      <w:tblGrid>
        <w:gridCol w:w="7920"/>
      </w:tblGrid>
      <w:tr>
        <w:tc>
          <w:tcPr/>
          <w:p>
            <w:pPr>
              <w:pStyle w:val="Compact"/>
            </w:pPr>
            <w:r>
              <w:rPr>
                <w:b/>
                <w:bCs/>
                <w:lang w:val="es-AR"/>
              </w:rPr>
              <w:t xml:space="preserve">⚠ RECORDATORIO</w:t>
            </w:r>
          </w:p>
          <w:p>
            <w:pPr>
              <w:pStyle w:val="Compact"/>
            </w:pPr>
            <w:r>
              <w:rPr>
                <w:lang w:val="es-AR"/>
              </w:rPr>
              <w:t xml:space="preserve">No se promedian cifras de universos distintos. Si dos relevamientos del sector miden poblaciones diferentes, se cita cada uno con su universo y se declara cuál se adopta y por qué; el promedio de ambos no mide nada. Si ninguna fuente supera las tres preguntas, la cifra no entra: se declara la imposibilidad, que es una respuesta metodológicamente correcta y así se pondera.</w:t>
            </w:r>
          </w:p>
        </w:tc>
      </w:tr>
    </w:tbl>
    <w:p>
      <w:pPr>
        <w:pStyle w:val="BodyText"/>
      </w:pPr>
      <w:r>
        <w:rPr>
          <w:b/>
          <w:bCs/>
          <w:lang w:val="es-AR"/>
        </w:rPr>
        <w:t xml:space="preserve">34.3 · Verificación de coherencia con el Capítulo 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lang w:val="es-AR"/>
              </w:rPr>
              <w:t xml:space="preserve">Verificación</w:t>
            </w:r>
          </w:p>
        </w:tc>
        <w:tc>
          <w:tcPr/>
          <w:p>
            <w:pPr>
              <w:pStyle w:val="Compact"/>
            </w:pPr>
            <w:r>
              <w:rPr>
                <w:b/>
                <w:bCs/>
                <w:lang w:val="es-AR"/>
              </w:rPr>
              <w:t xml:space="preserve">Valor</w:t>
            </w:r>
          </w:p>
        </w:tc>
      </w:tr>
      <w:tr>
        <w:tc>
          <w:tcPr/>
          <w:p>
            <w:pPr>
              <w:pStyle w:val="Compact"/>
            </w:pPr>
            <w:r>
              <w:rPr>
                <w:lang w:val="es-AR"/>
              </w:rPr>
              <w:t xml:space="preserve">Horas humanas comprometidas en el Capítulo X</w:t>
            </w:r>
          </w:p>
        </w:tc>
        <w:tc>
          <w:tcPr/>
          <w:p>
            <w:pPr>
              <w:pStyle w:val="Compact"/>
            </w:pPr>
            <w:r>
              <w:rPr>
                <w:lang w:val="es-AR"/>
              </w:rPr>
              <w:t xml:space="preserve">190 h: 136 técnicas y 54 de reserva</w:t>
            </w:r>
          </w:p>
        </w:tc>
      </w:tr>
      <w:tr>
        <w:tc>
          <w:tcPr/>
          <w:p>
            <w:pPr>
              <w:pStyle w:val="Compact"/>
            </w:pPr>
            <w:r>
              <w:rPr>
                <w:lang w:val="es-AR"/>
              </w:rPr>
              <w:t xml:space="preserve">Presupuesto efectivo de horas del Capítulo V (Instrumento 24)</w:t>
            </w:r>
          </w:p>
        </w:tc>
        <w:tc>
          <w:tcPr/>
          <w:p>
            <w:pPr>
              <w:pStyle w:val="Compact"/>
            </w:pPr>
            <w:r>
              <w:rPr>
                <w:lang w:val="es-AR"/>
              </w:rPr>
              <w:t xml:space="preserve">190 h: 136 técnicas y 54 de reserva (Tabla 17, apartado V.4)</w:t>
            </w:r>
          </w:p>
        </w:tc>
      </w:tr>
      <w:tr>
        <w:tc>
          <w:tcPr/>
          <w:p>
            <w:pPr>
              <w:pStyle w:val="Compact"/>
            </w:pPr>
            <w:r>
              <w:rPr>
                <w:lang w:val="es-AR"/>
              </w:rPr>
              <w:t xml:space="preserve">¿Coinciden? Si no, qué se ajusta y en cuál de los dos capítulos</w:t>
            </w:r>
          </w:p>
        </w:tc>
        <w:tc>
          <w:tcPr/>
          <w:p>
            <w:pPr>
              <w:pStyle w:val="Compact"/>
            </w:pPr>
            <w:r>
              <w:rPr>
                <w:lang w:val="es-AR"/>
              </w:rPr>
              <w:t xml:space="preserve">Sí. Las 48 h estimadas de la fase de cierre, posteriores al período, se declaran aparte en ambos capítulos y no integran el cómputo</w:t>
            </w:r>
          </w:p>
        </w:tc>
      </w:tr>
    </w:tbl>
    <w:bookmarkEnd w:id="9"/>
    <w:sectPr>
      <w:footerReference r:id="rIdPie" w:type="default"/>
      <w:pgSz w:h="16838" w:w="11906"/>
      <w:pgMar w:bottom="1417" w:footer="720" w:gutter="0" w:header="720" w:left="1701" w:right="1701"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0" w:before="0" w:line="480" w:lineRule="auto"/>
      <w:jc w:val="both"/>
      <w:ind w:firstLine="0"/>
    </w:pPr>
    <w:rPr>
      <w:rFonts w:ascii="Times New Roman" w:cs="Times New Roman" w:eastAsia="Times New Roman" w:hAnsi="Times New Roman"/>
      <w:color w:val="000000"/>
    </w:rPr>
  </w:style>
  <w:style w:styleId="FirstParagraph" w:type="paragraph">
    <w:name w:val="First Paragraph"/>
    <w:basedOn w:val="BodyText"/>
    <w:qFormat/>
    <w:pPr>
      <w:spacing w:after="0" w:before="0" w:line="480" w:lineRule="auto"/>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jc w:val="left"/>
    </w:pPr>
    <w:rPr>
      <w:rFonts w:ascii="Calibri" w:cs="Calibri" w:eastAsia="Calibri" w:hAnsi="Calibri"/>
      <w:color w:val="000000"/>
      <w:sz w:val="19"/>
      <w:szCs w:val="19"/>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0" w:before="0" w:line="480" w:lineRule="auto"/>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0" w:before="240" w:line="480" w:lineRule="auto"/>
      <w:jc w:val="left"/>
      <w:outlineLvl w:val="1"/>
    </w:pPr>
    <w:rPr>
      <w:rFonts w:ascii="Times New Roman" w:cs="Times New Roman" w:eastAsia="Times New Roman" w:hAnsi="Times New Roman"/>
      <w:color w:val="000000"/>
      <w:b/>
      <w:sz w:val="24"/>
      <w:szCs w:val="24"/>
    </w:rPr>
  </w:style>
  <w:style w:styleId="Heading3" w:type="paragraph">
    <w:name w:val="heading 3"/>
    <w:basedOn w:val="Normal"/>
    <w:qFormat/>
    <w:next w:val="BodyText"/>
    <w:pPr>
      <w:keepNext/>
      <w:spacing w:after="0" w:before="240" w:line="480" w:lineRule="auto"/>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Calibri" w:cs="Calibri" w:eastAsia="Calibri" w:hAnsi="Calibri"/>
      <w:color w:val="000000"/>
      <w:sz w:val="19"/>
      <w:szCs w:val="19"/>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56"/>
      <w:szCs w:val="56"/>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32"/>
      <w:szCs w:val="32"/>
    </w:rPr>
  </w:style>
  <w:style w:customStyle="1" w:styleId="Portada" w:type="paragraph">
    <w:name w:val="Portada"/>
    <w:basedOn w:val="Normal"/>
    <w:qFormat/>
    <w:pPr>
      <w:spacing w:after="120" w:before="0" w:line="360" w:lineRule="auto"/>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2026-10-01T22:47:06Z</dcterms:created>
  <dcterms:modified xsi:type="dcterms:W3CDTF">2026-10-01T22:47:06Z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