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4866" w:rsidRDefault="002F486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2F4866" w:rsidRDefault="002F486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w:t>
          </w:r>
          <w:bookmarkStart w:id="0" w:name="_GoBack"/>
          <w:bookmarkEnd w:id="0"/>
          <w:r>
            <w:t>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5D1F9C">
          <w:pPr>
            <w:pStyle w:val="TOC2"/>
            <w:tabs>
              <w:tab w:val="right" w:leader="dot" w:pos="9350"/>
            </w:tabs>
            <w:rPr>
              <w:rFonts w:eastAsiaTheme="minorEastAsia"/>
              <w:noProof/>
            </w:rPr>
          </w:pPr>
          <w:hyperlink w:anchor="_Toc23856979" w:history="1">
            <w:r w:rsidRPr="000E49AD">
              <w:rPr>
                <w:rStyle w:val="Hyperlink"/>
                <w:noProof/>
              </w:rPr>
              <w:t>Question 1</w:t>
            </w:r>
            <w:r>
              <w:rPr>
                <w:noProof/>
                <w:webHidden/>
              </w:rPr>
              <w:tab/>
            </w:r>
            <w:r>
              <w:rPr>
                <w:noProof/>
                <w:webHidden/>
              </w:rPr>
              <w:fldChar w:fldCharType="begin"/>
            </w:r>
            <w:r>
              <w:rPr>
                <w:noProof/>
                <w:webHidden/>
              </w:rPr>
              <w:instrText xml:space="preserve"> PAGEREF _Toc23856979 \h </w:instrText>
            </w:r>
            <w:r>
              <w:rPr>
                <w:noProof/>
                <w:webHidden/>
              </w:rPr>
            </w:r>
            <w:r>
              <w:rPr>
                <w:noProof/>
                <w:webHidden/>
              </w:rPr>
              <w:fldChar w:fldCharType="separate"/>
            </w:r>
            <w:r>
              <w:rPr>
                <w:noProof/>
                <w:webHidden/>
              </w:rPr>
              <w:t>1</w:t>
            </w:r>
            <w:r>
              <w:rPr>
                <w:noProof/>
                <w:webHidden/>
              </w:rPr>
              <w:fldChar w:fldCharType="end"/>
            </w:r>
          </w:hyperlink>
        </w:p>
        <w:p w:rsidR="005D1F9C" w:rsidRDefault="005D1F9C">
          <w:pPr>
            <w:pStyle w:val="TOC2"/>
            <w:tabs>
              <w:tab w:val="right" w:leader="dot" w:pos="9350"/>
            </w:tabs>
            <w:rPr>
              <w:rFonts w:eastAsiaTheme="minorEastAsia"/>
              <w:noProof/>
            </w:rPr>
          </w:pPr>
          <w:hyperlink w:anchor="_Toc23856980" w:history="1">
            <w:r w:rsidRPr="000E49AD">
              <w:rPr>
                <w:rStyle w:val="Hyperlink"/>
                <w:noProof/>
              </w:rPr>
              <w:t>Question 2</w:t>
            </w:r>
            <w:r>
              <w:rPr>
                <w:noProof/>
                <w:webHidden/>
              </w:rPr>
              <w:tab/>
            </w:r>
            <w:r>
              <w:rPr>
                <w:noProof/>
                <w:webHidden/>
              </w:rPr>
              <w:fldChar w:fldCharType="begin"/>
            </w:r>
            <w:r>
              <w:rPr>
                <w:noProof/>
                <w:webHidden/>
              </w:rPr>
              <w:instrText xml:space="preserve"> PAGEREF _Toc23856980 \h </w:instrText>
            </w:r>
            <w:r>
              <w:rPr>
                <w:noProof/>
                <w:webHidden/>
              </w:rPr>
            </w:r>
            <w:r>
              <w:rPr>
                <w:noProof/>
                <w:webHidden/>
              </w:rPr>
              <w:fldChar w:fldCharType="separate"/>
            </w:r>
            <w:r>
              <w:rPr>
                <w:noProof/>
                <w:webHidden/>
              </w:rPr>
              <w:t>2</w:t>
            </w:r>
            <w:r>
              <w:rPr>
                <w:noProof/>
                <w:webHidden/>
              </w:rPr>
              <w:fldChar w:fldCharType="end"/>
            </w:r>
          </w:hyperlink>
        </w:p>
        <w:p w:rsidR="005D1F9C" w:rsidRDefault="005D1F9C">
          <w:pPr>
            <w:pStyle w:val="TOC2"/>
            <w:tabs>
              <w:tab w:val="right" w:leader="dot" w:pos="9350"/>
            </w:tabs>
            <w:rPr>
              <w:rFonts w:eastAsiaTheme="minorEastAsia"/>
              <w:noProof/>
            </w:rPr>
          </w:pPr>
          <w:hyperlink w:anchor="_Toc23856981" w:history="1">
            <w:r w:rsidRPr="000E49AD">
              <w:rPr>
                <w:rStyle w:val="Hyperlink"/>
                <w:noProof/>
              </w:rPr>
              <w:t>Question 3</w:t>
            </w:r>
            <w:r>
              <w:rPr>
                <w:noProof/>
                <w:webHidden/>
              </w:rPr>
              <w:tab/>
            </w:r>
            <w:r>
              <w:rPr>
                <w:noProof/>
                <w:webHidden/>
              </w:rPr>
              <w:fldChar w:fldCharType="begin"/>
            </w:r>
            <w:r>
              <w:rPr>
                <w:noProof/>
                <w:webHidden/>
              </w:rPr>
              <w:instrText xml:space="preserve"> PAGEREF _Toc23856981 \h </w:instrText>
            </w:r>
            <w:r>
              <w:rPr>
                <w:noProof/>
                <w:webHidden/>
              </w:rPr>
            </w:r>
            <w:r>
              <w:rPr>
                <w:noProof/>
                <w:webHidden/>
              </w:rPr>
              <w:fldChar w:fldCharType="separate"/>
            </w:r>
            <w:r>
              <w:rPr>
                <w:noProof/>
                <w:webHidden/>
              </w:rPr>
              <w:t>6</w:t>
            </w:r>
            <w:r>
              <w:rPr>
                <w:noProof/>
                <w:webHidden/>
              </w:rPr>
              <w:fldChar w:fldCharType="end"/>
            </w:r>
          </w:hyperlink>
        </w:p>
        <w:p w:rsidR="005D1F9C" w:rsidRDefault="005D1F9C">
          <w:pPr>
            <w:pStyle w:val="TOC2"/>
            <w:tabs>
              <w:tab w:val="right" w:leader="dot" w:pos="9350"/>
            </w:tabs>
            <w:rPr>
              <w:rFonts w:eastAsiaTheme="minorEastAsia"/>
              <w:noProof/>
            </w:rPr>
          </w:pPr>
          <w:hyperlink w:anchor="_Toc23856982" w:history="1">
            <w:r w:rsidRPr="000E49AD">
              <w:rPr>
                <w:rStyle w:val="Hyperlink"/>
                <w:noProof/>
              </w:rPr>
              <w:t>Question 4</w:t>
            </w:r>
            <w:r>
              <w:rPr>
                <w:noProof/>
                <w:webHidden/>
              </w:rPr>
              <w:tab/>
            </w:r>
            <w:r>
              <w:rPr>
                <w:noProof/>
                <w:webHidden/>
              </w:rPr>
              <w:fldChar w:fldCharType="begin"/>
            </w:r>
            <w:r>
              <w:rPr>
                <w:noProof/>
                <w:webHidden/>
              </w:rPr>
              <w:instrText xml:space="preserve"> PAGEREF _Toc23856982 \h </w:instrText>
            </w:r>
            <w:r>
              <w:rPr>
                <w:noProof/>
                <w:webHidden/>
              </w:rPr>
            </w:r>
            <w:r>
              <w:rPr>
                <w:noProof/>
                <w:webHidden/>
              </w:rPr>
              <w:fldChar w:fldCharType="separate"/>
            </w:r>
            <w:r>
              <w:rPr>
                <w:noProof/>
                <w:webHidden/>
              </w:rPr>
              <w:t>7</w:t>
            </w:r>
            <w:r>
              <w:rPr>
                <w:noProof/>
                <w:webHidden/>
              </w:rPr>
              <w:fldChar w:fldCharType="end"/>
            </w:r>
          </w:hyperlink>
        </w:p>
        <w:p w:rsidR="005D1F9C" w:rsidRDefault="005D1F9C">
          <w:pPr>
            <w:pStyle w:val="TOC2"/>
            <w:tabs>
              <w:tab w:val="right" w:leader="dot" w:pos="9350"/>
            </w:tabs>
            <w:rPr>
              <w:rFonts w:eastAsiaTheme="minorEastAsia"/>
              <w:noProof/>
            </w:rPr>
          </w:pPr>
          <w:hyperlink w:anchor="_Toc23856983" w:history="1">
            <w:r w:rsidRPr="000E49AD">
              <w:rPr>
                <w:rStyle w:val="Hyperlink"/>
                <w:noProof/>
              </w:rPr>
              <w:t>Question 5</w:t>
            </w:r>
            <w:r>
              <w:rPr>
                <w:noProof/>
                <w:webHidden/>
              </w:rPr>
              <w:tab/>
            </w:r>
            <w:r>
              <w:rPr>
                <w:noProof/>
                <w:webHidden/>
              </w:rPr>
              <w:fldChar w:fldCharType="begin"/>
            </w:r>
            <w:r>
              <w:rPr>
                <w:noProof/>
                <w:webHidden/>
              </w:rPr>
              <w:instrText xml:space="preserve"> PAGEREF _Toc23856983 \h </w:instrText>
            </w:r>
            <w:r>
              <w:rPr>
                <w:noProof/>
                <w:webHidden/>
              </w:rPr>
            </w:r>
            <w:r>
              <w:rPr>
                <w:noProof/>
                <w:webHidden/>
              </w:rPr>
              <w:fldChar w:fldCharType="separate"/>
            </w:r>
            <w:r>
              <w:rPr>
                <w:noProof/>
                <w:webHidden/>
              </w:rPr>
              <w:t>8</w:t>
            </w:r>
            <w:r>
              <w:rPr>
                <w:noProof/>
                <w:webHidden/>
              </w:rPr>
              <w:fldChar w:fldCharType="end"/>
            </w:r>
          </w:hyperlink>
        </w:p>
        <w:p w:rsidR="005D1F9C" w:rsidRDefault="005D1F9C">
          <w:pPr>
            <w:pStyle w:val="TOC1"/>
            <w:tabs>
              <w:tab w:val="right" w:leader="dot" w:pos="9350"/>
            </w:tabs>
            <w:rPr>
              <w:rFonts w:eastAsiaTheme="minorEastAsia"/>
              <w:noProof/>
            </w:rPr>
          </w:pPr>
          <w:hyperlink w:anchor="_Toc23856984" w:history="1">
            <w:r w:rsidRPr="000E49AD">
              <w:rPr>
                <w:rStyle w:val="Hyperlink"/>
                <w:noProof/>
              </w:rPr>
              <w:t>Part B</w:t>
            </w:r>
            <w:r>
              <w:rPr>
                <w:noProof/>
                <w:webHidden/>
              </w:rPr>
              <w:tab/>
            </w:r>
            <w:r>
              <w:rPr>
                <w:noProof/>
                <w:webHidden/>
              </w:rPr>
              <w:fldChar w:fldCharType="begin"/>
            </w:r>
            <w:r>
              <w:rPr>
                <w:noProof/>
                <w:webHidden/>
              </w:rPr>
              <w:instrText xml:space="preserve"> PAGEREF _Toc23856984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5" w:history="1">
            <w:r w:rsidRPr="000E49AD">
              <w:rPr>
                <w:rStyle w:val="Hyperlink"/>
                <w:noProof/>
              </w:rPr>
              <w:t>Question 1</w:t>
            </w:r>
            <w:r>
              <w:rPr>
                <w:noProof/>
                <w:webHidden/>
              </w:rPr>
              <w:tab/>
            </w:r>
            <w:r>
              <w:rPr>
                <w:noProof/>
                <w:webHidden/>
              </w:rPr>
              <w:fldChar w:fldCharType="begin"/>
            </w:r>
            <w:r>
              <w:rPr>
                <w:noProof/>
                <w:webHidden/>
              </w:rPr>
              <w:instrText xml:space="preserve"> PAGEREF _Toc23856985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6" w:history="1">
            <w:r w:rsidRPr="000E49AD">
              <w:rPr>
                <w:rStyle w:val="Hyperlink"/>
                <w:noProof/>
              </w:rPr>
              <w:t>Question 2</w:t>
            </w:r>
            <w:r>
              <w:rPr>
                <w:noProof/>
                <w:webHidden/>
              </w:rPr>
              <w:tab/>
            </w:r>
            <w:r>
              <w:rPr>
                <w:noProof/>
                <w:webHidden/>
              </w:rPr>
              <w:fldChar w:fldCharType="begin"/>
            </w:r>
            <w:r>
              <w:rPr>
                <w:noProof/>
                <w:webHidden/>
              </w:rPr>
              <w:instrText xml:space="preserve"> PAGEREF _Toc23856986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1"/>
            <w:tabs>
              <w:tab w:val="right" w:leader="dot" w:pos="9350"/>
            </w:tabs>
            <w:rPr>
              <w:rFonts w:eastAsiaTheme="minorEastAsia"/>
              <w:noProof/>
            </w:rPr>
          </w:pPr>
          <w:hyperlink w:anchor="_Toc23856987" w:history="1">
            <w:r w:rsidRPr="000E49AD">
              <w:rPr>
                <w:rStyle w:val="Hyperlink"/>
                <w:noProof/>
              </w:rPr>
              <w:t>Part C</w:t>
            </w:r>
            <w:r>
              <w:rPr>
                <w:noProof/>
                <w:webHidden/>
              </w:rPr>
              <w:tab/>
            </w:r>
            <w:r>
              <w:rPr>
                <w:noProof/>
                <w:webHidden/>
              </w:rPr>
              <w:fldChar w:fldCharType="begin"/>
            </w:r>
            <w:r>
              <w:rPr>
                <w:noProof/>
                <w:webHidden/>
              </w:rPr>
              <w:instrText xml:space="preserve"> PAGEREF _Toc23856987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8" w:history="1">
            <w:r w:rsidRPr="000E49AD">
              <w:rPr>
                <w:rStyle w:val="Hyperlink"/>
                <w:noProof/>
              </w:rPr>
              <w:t>Question 1</w:t>
            </w:r>
            <w:r>
              <w:rPr>
                <w:noProof/>
                <w:webHidden/>
              </w:rPr>
              <w:tab/>
            </w:r>
            <w:r>
              <w:rPr>
                <w:noProof/>
                <w:webHidden/>
              </w:rPr>
              <w:fldChar w:fldCharType="begin"/>
            </w:r>
            <w:r>
              <w:rPr>
                <w:noProof/>
                <w:webHidden/>
              </w:rPr>
              <w:instrText xml:space="preserve"> PAGEREF _Toc23856988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9" w:history="1">
            <w:r w:rsidRPr="000E49AD">
              <w:rPr>
                <w:rStyle w:val="Hyperlink"/>
                <w:noProof/>
              </w:rPr>
              <w:t>Question 2</w:t>
            </w:r>
            <w:r>
              <w:rPr>
                <w:noProof/>
                <w:webHidden/>
              </w:rPr>
              <w:tab/>
            </w:r>
            <w:r>
              <w:rPr>
                <w:noProof/>
                <w:webHidden/>
              </w:rPr>
              <w:fldChar w:fldCharType="begin"/>
            </w:r>
            <w:r>
              <w:rPr>
                <w:noProof/>
                <w:webHidden/>
              </w:rPr>
              <w:instrText xml:space="preserve"> PAGEREF _Toc23856989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0" w:history="1">
            <w:r w:rsidRPr="000E49AD">
              <w:rPr>
                <w:rStyle w:val="Hyperlink"/>
                <w:noProof/>
              </w:rPr>
              <w:t>Question 3</w:t>
            </w:r>
            <w:r>
              <w:rPr>
                <w:noProof/>
                <w:webHidden/>
              </w:rPr>
              <w:tab/>
            </w:r>
            <w:r>
              <w:rPr>
                <w:noProof/>
                <w:webHidden/>
              </w:rPr>
              <w:fldChar w:fldCharType="begin"/>
            </w:r>
            <w:r>
              <w:rPr>
                <w:noProof/>
                <w:webHidden/>
              </w:rPr>
              <w:instrText xml:space="preserve"> PAGEREF _Toc23856990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1" w:history="1">
            <w:r w:rsidRPr="000E49AD">
              <w:rPr>
                <w:rStyle w:val="Hyperlink"/>
                <w:noProof/>
              </w:rPr>
              <w:t>Question 4</w:t>
            </w:r>
            <w:r>
              <w:rPr>
                <w:noProof/>
                <w:webHidden/>
              </w:rPr>
              <w:tab/>
            </w:r>
            <w:r>
              <w:rPr>
                <w:noProof/>
                <w:webHidden/>
              </w:rPr>
              <w:fldChar w:fldCharType="begin"/>
            </w:r>
            <w:r>
              <w:rPr>
                <w:noProof/>
                <w:webHidden/>
              </w:rPr>
              <w:instrText xml:space="preserve"> PAGEREF _Toc23856991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1"/>
            <w:tabs>
              <w:tab w:val="right" w:leader="dot" w:pos="9350"/>
            </w:tabs>
            <w:rPr>
              <w:rFonts w:eastAsiaTheme="minorEastAsia"/>
              <w:noProof/>
            </w:rPr>
          </w:pPr>
          <w:hyperlink w:anchor="_Toc23856992" w:history="1">
            <w:r w:rsidRPr="000E49AD">
              <w:rPr>
                <w:rStyle w:val="Hyperlink"/>
                <w:noProof/>
              </w:rPr>
              <w:t>Part D</w:t>
            </w:r>
            <w:r>
              <w:rPr>
                <w:noProof/>
                <w:webHidden/>
              </w:rPr>
              <w:tab/>
            </w:r>
            <w:r>
              <w:rPr>
                <w:noProof/>
                <w:webHidden/>
              </w:rPr>
              <w:fldChar w:fldCharType="begin"/>
            </w:r>
            <w:r>
              <w:rPr>
                <w:noProof/>
                <w:webHidden/>
              </w:rPr>
              <w:instrText xml:space="preserve"> PAGEREF _Toc23856992 \h </w:instrText>
            </w:r>
            <w:r>
              <w:rPr>
                <w:noProof/>
                <w:webHidden/>
              </w:rPr>
            </w:r>
            <w:r>
              <w:rPr>
                <w:noProof/>
                <w:webHidden/>
              </w:rPr>
              <w:fldChar w:fldCharType="separate"/>
            </w:r>
            <w:r>
              <w:rPr>
                <w:noProof/>
                <w:webHidden/>
              </w:rPr>
              <w:t>11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1" w:name="_Toc23856978"/>
      <w:r w:rsidRPr="00F91A62">
        <w:lastRenderedPageBreak/>
        <w:t>Part A</w:t>
      </w:r>
      <w:bookmarkEnd w:id="1"/>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2" w:name="_Toc23856979"/>
      <w:r>
        <w:t>Question 1</w:t>
      </w:r>
      <w:bookmarkEnd w:id="2"/>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3" w:name="_Ref23700149"/>
      <w:r>
        <w:t xml:space="preserve">Figure </w:t>
      </w:r>
      <w:r>
        <w:fldChar w:fldCharType="begin"/>
      </w:r>
      <w:r>
        <w:instrText xml:space="preserve"> SEQ Figure \* ARABIC </w:instrText>
      </w:r>
      <w:r>
        <w:fldChar w:fldCharType="separate"/>
      </w:r>
      <w:r>
        <w:rPr>
          <w:noProof/>
        </w:rPr>
        <w:t>1</w:t>
      </w:r>
      <w:r>
        <w:fldChar w:fldCharType="end"/>
      </w:r>
      <w:bookmarkEnd w:id="3"/>
      <w:r>
        <w:t xml:space="preserve"> - Kaplan-Meier Estimates</w:t>
      </w:r>
    </w:p>
    <w:p w:rsidR="005A6242" w:rsidRDefault="005A6242">
      <w:r>
        <w:t xml:space="preserve">We implement the Kaplan-Meier survival estimate as the majority of the groups have their final </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4" w:name="_Toc23856980"/>
      <w:r>
        <w:lastRenderedPageBreak/>
        <w:t>Question 2</w:t>
      </w:r>
      <w:bookmarkEnd w:id="4"/>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Default="00C36602" w:rsidP="00C36602">
      <w:pPr>
        <w:pStyle w:val="Caption"/>
        <w:keepNext/>
        <w:jc w:val="center"/>
      </w:pPr>
      <w:bookmarkStart w:id="5" w:name="_Ref23840389"/>
      <w:r>
        <w:t xml:space="preserve">Table </w:t>
      </w:r>
      <w:r>
        <w:fldChar w:fldCharType="begin"/>
      </w:r>
      <w:r>
        <w:instrText xml:space="preserve"> SEQ Table \* ARABIC </w:instrText>
      </w:r>
      <w:r>
        <w:fldChar w:fldCharType="separate"/>
      </w:r>
      <w:r w:rsidR="000F3A19">
        <w:rPr>
          <w:noProof/>
        </w:rPr>
        <w:t>1</w:t>
      </w:r>
      <w:r>
        <w:fldChar w:fldCharType="end"/>
      </w:r>
      <w:bookmarkEnd w:id="5"/>
      <w: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31592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315</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144</m:t>
          </m:r>
          <m:r>
            <w:rPr>
              <w:rFonts w:ascii="Cambria Math" w:hAnsi="Cambria Math"/>
            </w:rPr>
            <m:t xml:space="preserve">, </m:t>
          </m:r>
          <m:r>
            <w:rPr>
              <w:rFonts w:ascii="Cambria Math" w:hAnsi="Cambria Math"/>
            </w:rPr>
            <m:t>1238</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D01E22" w:rsidRDefault="005A4CCC" w:rsidP="005A4CCC">
      <w:pPr>
        <w:pStyle w:val="Caption"/>
        <w:jc w:val="center"/>
        <w:rPr>
          <w:rFonts w:eastAsiaTheme="minorEastAsia"/>
        </w:rPr>
      </w:pPr>
      <w:bookmarkStart w:id="6" w:name="_Ref23848909"/>
      <w:r>
        <w:t xml:space="preserve">Table </w:t>
      </w:r>
      <w:r>
        <w:fldChar w:fldCharType="begin"/>
      </w:r>
      <w:r>
        <w:instrText xml:space="preserve"> SEQ Table \* ARABIC </w:instrText>
      </w:r>
      <w:r>
        <w:fldChar w:fldCharType="separate"/>
      </w:r>
      <w:r w:rsidR="000F3A19">
        <w:rPr>
          <w:noProof/>
        </w:rPr>
        <w:t>2</w:t>
      </w:r>
      <w:r>
        <w:fldChar w:fldCharType="end"/>
      </w:r>
      <w:bookmarkEnd w:id="6"/>
      <w: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31592C">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w:t>
      </w:r>
      <w:r w:rsidR="005A4CCC">
        <w:rPr>
          <w:rFonts w:eastAsiaTheme="minorEastAsia"/>
        </w:rPr>
        <w:t>Chlamydia</w:t>
      </w:r>
      <w:r w:rsidR="005A4CCC">
        <w:rPr>
          <w:rFonts w:eastAsiaTheme="minorEastAsia"/>
        </w:rPr>
        <w:t>.  The upper and lower confidence interval for the survival estimate</w:t>
      </w:r>
      <w:r>
        <w:rPr>
          <w:rFonts w:eastAsiaTheme="minorEastAsia"/>
        </w:rPr>
        <w:t xml:space="preserve"> for Chlamydia</w:t>
      </w:r>
      <w:r w:rsidR="005A4CCC">
        <w:rPr>
          <w:rFonts w:eastAsiaTheme="minorEastAsia"/>
        </w:rPr>
        <w:t xml:space="preserve"> is displayed in</w:t>
      </w:r>
      <w:r w:rsidR="005A4CCC">
        <w:rPr>
          <w:rFonts w:eastAsiaTheme="minorEastAsia"/>
        </w:rPr>
        <w:t xml:space="preserve">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334</m:t>
          </m:r>
          <m:r>
            <w:rPr>
              <w:rFonts w:ascii="Cambria Math" w:hAnsi="Cambria Math"/>
            </w:rPr>
            <m:t xml:space="preserve">, </m:t>
          </m:r>
          <m:r>
            <w:rPr>
              <w:rFonts w:ascii="Cambria Math" w:hAnsi="Cambria Math"/>
            </w:rPr>
            <m:t>1284</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Default="00275695" w:rsidP="00275695">
      <w:pPr>
        <w:pStyle w:val="Caption"/>
        <w:keepNext/>
        <w:jc w:val="center"/>
      </w:pPr>
      <w:bookmarkStart w:id="7" w:name="_Ref23849365"/>
      <w:r>
        <w:t xml:space="preserve">Table </w:t>
      </w:r>
      <w:r>
        <w:fldChar w:fldCharType="begin"/>
      </w:r>
      <w:r>
        <w:instrText xml:space="preserve"> SEQ Table \* ARABIC </w:instrText>
      </w:r>
      <w:r>
        <w:fldChar w:fldCharType="separate"/>
      </w:r>
      <w:r w:rsidR="000F3A19">
        <w:rPr>
          <w:noProof/>
        </w:rPr>
        <w:t>3</w:t>
      </w:r>
      <w:r>
        <w:fldChar w:fldCharType="end"/>
      </w:r>
      <w:bookmarkEnd w:id="7"/>
      <w:r>
        <w:t xml:space="preserve"> - Survival Estimates for </w:t>
      </w:r>
      <w:r w:rsidRPr="0038288F">
        <w:t>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31592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m:r>
            <w:rPr>
              <w:rFonts w:ascii="Cambria Math" w:hAnsi="Cambria Math"/>
            </w:rPr>
            <m:t>)</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Default="000F3A19" w:rsidP="000F3A19">
      <w:pPr>
        <w:pStyle w:val="Caption"/>
        <w:keepNext/>
        <w:jc w:val="center"/>
      </w:pPr>
      <w:bookmarkStart w:id="8" w:name="_Ref23856781"/>
      <w:r>
        <w:t xml:space="preserve">Table </w:t>
      </w:r>
      <w:r>
        <w:fldChar w:fldCharType="begin"/>
      </w:r>
      <w:r>
        <w:instrText xml:space="preserve"> SEQ Table \* ARABIC </w:instrText>
      </w:r>
      <w:r>
        <w:fldChar w:fldCharType="separate"/>
      </w:r>
      <w:r>
        <w:rPr>
          <w:noProof/>
        </w:rPr>
        <w:t>4</w:t>
      </w:r>
      <w:r>
        <w:fldChar w:fldCharType="end"/>
      </w:r>
      <w:bookmarkEnd w:id="8"/>
      <w: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31592C">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 there is overlap at the initial 75</w:t>
      </w:r>
      <w:r w:rsidRPr="000F3A19">
        <w:rPr>
          <w:rFonts w:eastAsiaTheme="minorEastAsia"/>
          <w:vertAlign w:val="superscript"/>
        </w:rPr>
        <w:t>th</w:t>
      </w:r>
      <w:r>
        <w:rPr>
          <w:rFonts w:eastAsiaTheme="minorEastAsia"/>
        </w:rPr>
        <w:t xml:space="preserve"> percentile, </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9" w:name="_Toc23856981"/>
      <w:r>
        <w:rPr>
          <w:rFonts w:eastAsiaTheme="minorEastAsia"/>
        </w:rPr>
        <w:lastRenderedPageBreak/>
        <w:t>Question 3</w:t>
      </w:r>
      <w:bookmarkEnd w:id="9"/>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Default="00DF74BD" w:rsidP="00DF74BD">
      <w:pPr>
        <w:pStyle w:val="Caption"/>
        <w:keepNext/>
        <w:jc w:val="center"/>
      </w:pPr>
      <w:r>
        <w:t xml:space="preserve">Table </w:t>
      </w:r>
      <w:r>
        <w:fldChar w:fldCharType="begin"/>
      </w:r>
      <w:r>
        <w:instrText xml:space="preserve"> SEQ Table \* ARABIC </w:instrText>
      </w:r>
      <w:r>
        <w:fldChar w:fldCharType="separate"/>
      </w:r>
      <w:r w:rsidR="000F3A19">
        <w:rPr>
          <w:noProof/>
        </w:rPr>
        <w:t>5</w:t>
      </w:r>
      <w:r>
        <w:fldChar w:fldCharType="end"/>
      </w:r>
      <w:r>
        <w:t xml:space="preserve"> - Fleming-Harrington Test</w:t>
      </w:r>
    </w:p>
    <w:tbl>
      <w:tblPr>
        <w:tblStyle w:val="LightShading-Accent4"/>
        <w:tblW w:w="0" w:type="auto"/>
        <w:jc w:val="center"/>
        <w:tblInd w:w="-417" w:type="dxa"/>
        <w:tblLayout w:type="fixed"/>
        <w:tblLook w:val="04A0" w:firstRow="1" w:lastRow="0" w:firstColumn="1" w:lastColumn="0" w:noHBand="0" w:noVBand="1"/>
        <w:tblDescription w:val="Procedure Lifetest: Homogeneity Tests"/>
      </w:tblPr>
      <w:tblGrid>
        <w:gridCol w:w="1933"/>
        <w:gridCol w:w="876"/>
        <w:gridCol w:w="536"/>
        <w:gridCol w:w="917"/>
      </w:tblGrid>
      <w:tr w:rsidR="002F4866" w:rsidRPr="002F4866" w:rsidTr="00CF01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2" w:type="dxa"/>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CF0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3" w:type="dxa"/>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876" w:type="dxa"/>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536" w:type="dxa"/>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917" w:type="dxa"/>
            <w:hideMark/>
          </w:tcPr>
          <w:p w:rsidR="002F4866" w:rsidRPr="00CF01C3" w:rsidRDefault="00CF01C3"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Pr</w:t>
            </w:r>
            <w:proofErr w:type="spellEnd"/>
            <w:r>
              <w:rPr>
                <w:rFonts w:ascii="Times New Roman" w:eastAsia="Times New Roman" w:hAnsi="Times New Roman" w:cs="Times New Roman"/>
                <w:b/>
                <w:bCs/>
                <w:sz w:val="24"/>
                <w:szCs w:val="24"/>
              </w:rPr>
              <w:t xml:space="preserve"> &gt; ꭓ</w:t>
            </w:r>
            <w:r>
              <w:rPr>
                <w:rFonts w:ascii="Times New Roman" w:eastAsia="Times New Roman" w:hAnsi="Times New Roman" w:cs="Times New Roman"/>
                <w:b/>
                <w:bCs/>
                <w:sz w:val="24"/>
                <w:szCs w:val="24"/>
                <w:vertAlign w:val="superscript"/>
              </w:rPr>
              <w:t>2</w:t>
            </w:r>
          </w:p>
        </w:tc>
      </w:tr>
      <w:tr w:rsidR="002F4866" w:rsidRPr="002F4866" w:rsidTr="00CF01C3">
        <w:trPr>
          <w:jc w:val="center"/>
        </w:trPr>
        <w:tc>
          <w:tcPr>
            <w:cnfStyle w:val="001000000000" w:firstRow="0" w:lastRow="0" w:firstColumn="1" w:lastColumn="0" w:oddVBand="0" w:evenVBand="0" w:oddHBand="0" w:evenHBand="0" w:firstRowFirstColumn="0" w:firstRowLastColumn="0" w:lastRowFirstColumn="0" w:lastRowLastColumn="0"/>
            <w:tcW w:w="1933" w:type="dxa"/>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876"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536"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917"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10" w:name="_Toc23856982"/>
      <w:r>
        <w:t>Question 4</w:t>
      </w:r>
      <w:bookmarkEnd w:id="10"/>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r>
            <w:rPr>
              <w:rFonts w:ascii="Cambria Math" w:hAnsi="Cambria Math"/>
            </w:rPr>
            <m:t>, with at least one strict inequality</m:t>
          </m:r>
        </m:oMath>
      </m:oMathPara>
    </w:p>
    <w:p w:rsidR="00C97611" w:rsidRDefault="00C97611"/>
    <w:p w:rsidR="00B67C82" w:rsidRDefault="00B67C82">
      <w:r>
        <w:br w:type="page"/>
      </w:r>
    </w:p>
    <w:p w:rsidR="00B67C82" w:rsidRDefault="00B67C82" w:rsidP="00B67C82">
      <w:pPr>
        <w:pStyle w:val="Heading2"/>
      </w:pPr>
      <w:bookmarkStart w:id="11" w:name="_Toc23856983"/>
      <w:r>
        <w:lastRenderedPageBreak/>
        <w:t>Question 5</w:t>
      </w:r>
      <w:bookmarkEnd w:id="11"/>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B67C82" w:rsidRDefault="00B67C82" w:rsidP="00B67C82">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B67C82" w:rsidRDefault="00B67C82" w:rsidP="00B67C82">
      <w:pPr>
        <w:pStyle w:val="Heading2"/>
      </w:pPr>
      <w:bookmarkStart w:id="14" w:name="_Toc23856986"/>
      <w:r>
        <w:t>Question 2</w:t>
      </w:r>
      <w:bookmarkEnd w:id="14"/>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B67C82" w:rsidRDefault="00B67C82">
      <w:r>
        <w:br w:type="page"/>
      </w:r>
    </w:p>
    <w:p w:rsidR="00B67C82" w:rsidRDefault="00B67C82" w:rsidP="00B67C82">
      <w:pPr>
        <w:pStyle w:val="Heading1"/>
      </w:pPr>
      <w:bookmarkStart w:id="15" w:name="_Toc23856987"/>
      <w:r>
        <w:lastRenderedPageBreak/>
        <w:t>Part C</w:t>
      </w:r>
      <w:bookmarkEnd w:id="15"/>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16" w:name="_Toc23856988"/>
      <w:r>
        <w:t>Question 1</w:t>
      </w:r>
      <w:bookmarkEnd w:id="16"/>
    </w:p>
    <w:p w:rsidR="00B67C82" w:rsidRDefault="00B67C82" w:rsidP="00B67C82">
      <w:pPr>
        <w:pStyle w:val="Quote"/>
      </w:pPr>
      <w:r>
        <w:t>Find the best single parametric model, with full justifications (include all relevant model fit statistics).</w:t>
      </w:r>
    </w:p>
    <w:p w:rsidR="00B67C82" w:rsidRDefault="00B67C82" w:rsidP="00F91A62">
      <w:pPr>
        <w:pStyle w:val="Heading2"/>
      </w:pPr>
      <w:bookmarkStart w:id="17" w:name="_Toc23856989"/>
      <w:r>
        <w:t>Question 2</w:t>
      </w:r>
      <w:bookmarkEnd w:id="17"/>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18" w:name="_Toc23856990"/>
      <w:r>
        <w:t>Question 3</w:t>
      </w:r>
      <w:bookmarkEnd w:id="18"/>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bookmarkStart w:id="19" w:name="_Toc23856991"/>
      <w:r>
        <w:t>Question 4</w:t>
      </w:r>
      <w:bookmarkEnd w:id="19"/>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0" w:name="_Toc23856992"/>
      <w:r>
        <w:lastRenderedPageBreak/>
        <w:t>Part D</w:t>
      </w:r>
      <w:bookmarkEnd w:id="20"/>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894" w:rsidRDefault="00801894" w:rsidP="00B70027">
      <w:pPr>
        <w:spacing w:after="0" w:line="240" w:lineRule="auto"/>
      </w:pPr>
      <w:r>
        <w:separator/>
      </w:r>
    </w:p>
  </w:endnote>
  <w:endnote w:type="continuationSeparator" w:id="0">
    <w:p w:rsidR="00801894" w:rsidRDefault="00801894"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894" w:rsidRDefault="00801894" w:rsidP="00B70027">
      <w:pPr>
        <w:spacing w:after="0" w:line="240" w:lineRule="auto"/>
      </w:pPr>
      <w:r>
        <w:separator/>
      </w:r>
    </w:p>
  </w:footnote>
  <w:footnote w:type="continuationSeparator" w:id="0">
    <w:p w:rsidR="00801894" w:rsidRDefault="00801894"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866" w:rsidRDefault="002F4866" w:rsidP="0032648C">
    <w:pPr>
      <w:pStyle w:val="Header"/>
      <w:jc w:val="right"/>
      <w:rPr>
        <w:b/>
        <w:bCs/>
      </w:rPr>
    </w:pPr>
  </w:p>
  <w:p w:rsidR="002F4866" w:rsidRDefault="002F48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2F4866" w:rsidRDefault="002F486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D1F9C" w:rsidRPr="005D1F9C">
          <w:rPr>
            <w:b/>
            <w:bCs/>
            <w:noProof/>
          </w:rPr>
          <w:t>0</w:t>
        </w:r>
        <w:r>
          <w:rPr>
            <w:b/>
            <w:bCs/>
            <w:noProof/>
          </w:rPr>
          <w:fldChar w:fldCharType="end"/>
        </w:r>
      </w:p>
    </w:sdtContent>
  </w:sdt>
  <w:p w:rsidR="002F4866" w:rsidRDefault="002F48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2F4866" w:rsidRDefault="002F486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D1F9C" w:rsidRPr="005D1F9C">
          <w:rPr>
            <w:b/>
            <w:bCs/>
            <w:noProof/>
          </w:rPr>
          <w:t>11</w:t>
        </w:r>
        <w:r>
          <w:rPr>
            <w:b/>
            <w:bCs/>
            <w:noProof/>
          </w:rPr>
          <w:fldChar w:fldCharType="end"/>
        </w:r>
      </w:p>
    </w:sdtContent>
  </w:sdt>
  <w:p w:rsidR="002F4866" w:rsidRDefault="002F4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94758"/>
    <w:rsid w:val="000F3A19"/>
    <w:rsid w:val="001C2D07"/>
    <w:rsid w:val="001D4123"/>
    <w:rsid w:val="00275695"/>
    <w:rsid w:val="002929BB"/>
    <w:rsid w:val="002F4866"/>
    <w:rsid w:val="0032648C"/>
    <w:rsid w:val="003345D4"/>
    <w:rsid w:val="00396D1E"/>
    <w:rsid w:val="003B7AE4"/>
    <w:rsid w:val="003B7AED"/>
    <w:rsid w:val="0041143D"/>
    <w:rsid w:val="004277C7"/>
    <w:rsid w:val="004A7850"/>
    <w:rsid w:val="004F6B5A"/>
    <w:rsid w:val="0051361A"/>
    <w:rsid w:val="005821B3"/>
    <w:rsid w:val="005A4CCC"/>
    <w:rsid w:val="005A6242"/>
    <w:rsid w:val="005D1F9C"/>
    <w:rsid w:val="00670D5F"/>
    <w:rsid w:val="006855D7"/>
    <w:rsid w:val="00767B0F"/>
    <w:rsid w:val="007E7818"/>
    <w:rsid w:val="00801894"/>
    <w:rsid w:val="008047E2"/>
    <w:rsid w:val="008561E9"/>
    <w:rsid w:val="008C7CD9"/>
    <w:rsid w:val="009449EA"/>
    <w:rsid w:val="00A449B6"/>
    <w:rsid w:val="00B12383"/>
    <w:rsid w:val="00B62C3A"/>
    <w:rsid w:val="00B67C82"/>
    <w:rsid w:val="00B70027"/>
    <w:rsid w:val="00C26256"/>
    <w:rsid w:val="00C3176F"/>
    <w:rsid w:val="00C36602"/>
    <w:rsid w:val="00C97611"/>
    <w:rsid w:val="00CF01C3"/>
    <w:rsid w:val="00D32FB1"/>
    <w:rsid w:val="00DA0971"/>
    <w:rsid w:val="00DE2ADD"/>
    <w:rsid w:val="00DF74BD"/>
    <w:rsid w:val="00E136C6"/>
    <w:rsid w:val="00E67F0F"/>
    <w:rsid w:val="00F74401"/>
    <w:rsid w:val="00F91A62"/>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D958D60-3A3C-4F1B-AA04-5FE27373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13</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32</cp:revision>
  <dcterms:created xsi:type="dcterms:W3CDTF">2019-11-03T15:44:00Z</dcterms:created>
  <dcterms:modified xsi:type="dcterms:W3CDTF">2019-11-05T12:36:00Z</dcterms:modified>
</cp:coreProperties>
</file>