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D7" w:rsidRDefault="00112FE4">
      <w:r>
        <w:object w:dxaOrig="7456" w:dyaOrig="5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80.5pt" o:ole="">
            <v:imagedata r:id="rId6" o:title=""/>
          </v:shape>
          <o:OLEObject Type="Embed" ProgID="STATISTICA.Graph" ShapeID="_x0000_i1025" DrawAspect="Content" ObjectID="_1644346365" r:id="rId7">
            <o:FieldCodes>\s</o:FieldCodes>
          </o:OLEObject>
        </w:object>
      </w:r>
    </w:p>
    <w:p w:rsidR="00112FE4" w:rsidRDefault="00112FE4" w:rsidP="00112FE4">
      <w:pPr>
        <w:ind w:left="360"/>
      </w:pPr>
      <w:r>
        <w:t>Taking a AR(1) model (Type of Dickey Filler Test)</w:t>
      </w:r>
    </w:p>
    <w:p w:rsidR="00112FE4" w:rsidRPr="00DD30C8" w:rsidRDefault="00112FE4" w:rsidP="00112FE4">
      <w:pPr>
        <w:ind w:left="360"/>
        <w:jc w:val="center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112FE4" w:rsidRPr="00112FE4" w:rsidRDefault="00112FE4" w:rsidP="00112FE4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→Have the Unit Root=Not Stationar</m:t>
          </m:r>
          <m:r>
            <w:rPr>
              <w:rFonts w:ascii="Cambria Math" w:hAnsi="Cambria Math"/>
            </w:rPr>
            <m:t>y</m:t>
          </m:r>
        </m:oMath>
      </m:oMathPara>
    </w:p>
    <w:p w:rsidR="00112FE4" w:rsidRPr="003738D7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&lt;1</m:t>
          </m:r>
          <m:r>
            <w:rPr>
              <w:rFonts w:ascii="Cambria Math" w:eastAsiaTheme="minorEastAsia" w:hAnsi="Cambria Math"/>
            </w:rPr>
            <m:t xml:space="preserve">→Have Stationarity </m:t>
          </m:r>
        </m:oMath>
      </m:oMathPara>
    </w:p>
    <w:p w:rsidR="00112FE4" w:rsidRDefault="00112FE4" w:rsidP="00112FE4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8AB4E41" wp14:editId="7512B579">
            <wp:extent cx="44481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4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112FE4" w:rsidRDefault="00112FE4" w:rsidP="00112FE4">
      <w:pPr>
        <w:rPr>
          <w:rFonts w:eastAsiaTheme="minorEastAsia"/>
        </w:rPr>
      </w:pPr>
      <w:r>
        <w:rPr>
          <w:rFonts w:eastAsiaTheme="minorEastAsia"/>
        </w:rPr>
        <w:t>This the time series has a unit root and is non-stationary. Therefore we have to take the 1</w:t>
      </w:r>
      <w:r w:rsidRPr="00151B8A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difference to remove the unit root and make the time series stationary.</w:t>
      </w:r>
    </w:p>
    <w:bookmarkStart w:id="0" w:name="_GoBack"/>
    <w:bookmarkEnd w:id="0"/>
    <w:p w:rsidR="00112FE4" w:rsidRDefault="00112FE4" w:rsidP="00112FE4">
      <w:pPr>
        <w:jc w:val="center"/>
      </w:pPr>
      <w:r>
        <w:object w:dxaOrig="6761" w:dyaOrig="5071">
          <v:shape id="_x0000_i1026" type="#_x0000_t75" style="width:338.25pt;height:253.5pt" o:ole="">
            <v:imagedata r:id="rId9" o:title=""/>
          </v:shape>
          <o:OLEObject Type="Embed" ProgID="STATISTICA.Graph" ShapeID="_x0000_i1026" DrawAspect="Content" ObjectID="_1644346366" r:id="rId10">
            <o:FieldCodes>\s</o:FieldCodes>
          </o:OLEObject>
        </w:object>
      </w:r>
    </w:p>
    <w:p w:rsidR="00112FE4" w:rsidRDefault="00112FE4" w:rsidP="00112FE4">
      <w:pPr>
        <w:ind w:left="360"/>
      </w:pPr>
      <w:r>
        <w:t xml:space="preserve">This time series is </w:t>
      </w:r>
      <w:r>
        <w:t>oscillating</w:t>
      </w:r>
      <w:r>
        <w:t xml:space="preserve"> around some constant</w:t>
      </w:r>
      <w:r>
        <w:t xml:space="preserve"> (appears to be 0)</w:t>
      </w:r>
      <w:r>
        <w:t>. We will use a AR(1) again and fit it with the 1</w:t>
      </w:r>
      <w:r w:rsidRPr="00033B47">
        <w:rPr>
          <w:vertAlign w:val="superscript"/>
        </w:rPr>
        <w:t>st</w:t>
      </w:r>
      <w:r>
        <w:t xml:space="preserve"> difference time series to indicate if the time series is stationary.</w:t>
      </w:r>
    </w:p>
    <w:p w:rsidR="00112FE4" w:rsidRDefault="00112FE4" w:rsidP="00112FE4">
      <w:pPr>
        <w:ind w:left="360"/>
      </w:pPr>
      <w:r>
        <w:rPr>
          <w:noProof/>
        </w:rPr>
        <w:drawing>
          <wp:inline distT="0" distB="0" distL="0" distR="0" wp14:anchorId="47F109C8" wp14:editId="051113FA">
            <wp:extent cx="49339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4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231878</m:t>
          </m:r>
          <m:r>
            <w:rPr>
              <w:rFonts w:ascii="Cambria Math" w:hAnsi="Cambria Math"/>
            </w:rPr>
            <m:t>&lt;1</m:t>
          </m:r>
        </m:oMath>
      </m:oMathPara>
    </w:p>
    <w:p w:rsidR="00112FE4" w:rsidRPr="00112FE4" w:rsidRDefault="00112FE4" w:rsidP="00112FE4">
      <w:pPr>
        <w:rPr>
          <w:rFonts w:eastAsiaTheme="minorEastAsia"/>
        </w:rPr>
      </w:pPr>
      <w:r>
        <w:rPr>
          <w:rFonts w:eastAsiaTheme="minorEastAsia"/>
        </w:rPr>
        <w:t xml:space="preserve">This the time series does not have a unit root and is stationary. </w:t>
      </w:r>
    </w:p>
    <w:p w:rsidR="00112FE4" w:rsidRDefault="00112FE4">
      <w:r>
        <w:br w:type="page"/>
      </w:r>
    </w:p>
    <w:p w:rsidR="00112FE4" w:rsidRDefault="00112FE4" w:rsidP="00112FE4">
      <w:r>
        <w:lastRenderedPageBreak/>
        <w:t>b.</w:t>
      </w:r>
    </w:p>
    <w:p w:rsidR="00112FE4" w:rsidRPr="00112FE4" w:rsidRDefault="00112FE4" w:rsidP="00112FE4">
      <w:pPr>
        <w:ind w:left="360"/>
        <w:rPr>
          <w:b/>
        </w:rPr>
      </w:pPr>
      <w:r w:rsidRPr="00112FE4">
        <w:rPr>
          <w:b/>
        </w:rPr>
        <w:t>Autocorrelation plot(ACF) of the 1</w:t>
      </w:r>
      <w:r w:rsidRPr="00112FE4">
        <w:rPr>
          <w:b/>
          <w:vertAlign w:val="superscript"/>
        </w:rPr>
        <w:t>st</w:t>
      </w:r>
      <w:r w:rsidRPr="00112FE4">
        <w:rPr>
          <w:b/>
        </w:rPr>
        <w:t xml:space="preserve"> Difference model [D(-1)]:</w:t>
      </w:r>
    </w:p>
    <w:p w:rsidR="00112FE4" w:rsidRDefault="00112FE4" w:rsidP="00112FE4">
      <w:pPr>
        <w:ind w:left="360"/>
        <w:jc w:val="center"/>
      </w:pPr>
      <w:r>
        <w:object w:dxaOrig="7481" w:dyaOrig="5610">
          <v:shape id="_x0000_i1027" type="#_x0000_t75" style="width:374.25pt;height:280.5pt" o:ole="">
            <v:imagedata r:id="rId12" o:title=""/>
          </v:shape>
          <o:OLEObject Type="Embed" ProgID="STATISTICA.Graph" ShapeID="_x0000_i1027" DrawAspect="Content" ObjectID="_1644346367" r:id="rId13">
            <o:FieldCodes>\s</o:FieldCodes>
          </o:OLEObject>
        </w:object>
      </w:r>
    </w:p>
    <w:p w:rsidR="00112FE4" w:rsidRPr="00112FE4" w:rsidRDefault="00112FE4" w:rsidP="00112FE4">
      <w:pPr>
        <w:ind w:left="360"/>
        <w:rPr>
          <w:b/>
        </w:rPr>
      </w:pPr>
      <w:r w:rsidRPr="00112FE4">
        <w:rPr>
          <w:b/>
        </w:rPr>
        <w:t>Partial Autocorrelation(PACF) of the 1</w:t>
      </w:r>
      <w:r w:rsidRPr="00112FE4">
        <w:rPr>
          <w:b/>
          <w:vertAlign w:val="superscript"/>
        </w:rPr>
        <w:t>st</w:t>
      </w:r>
      <w:r w:rsidRPr="00112FE4">
        <w:rPr>
          <w:b/>
        </w:rPr>
        <w:t xml:space="preserve"> Difference model [D(-1)]:</w:t>
      </w:r>
    </w:p>
    <w:p w:rsidR="00112FE4" w:rsidRDefault="00112FE4" w:rsidP="00112FE4">
      <w:pPr>
        <w:ind w:left="360"/>
        <w:jc w:val="center"/>
      </w:pPr>
      <w:r>
        <w:object w:dxaOrig="7381" w:dyaOrig="5535">
          <v:shape id="_x0000_i1028" type="#_x0000_t75" style="width:369pt;height:276.75pt" o:ole="">
            <v:imagedata r:id="rId14" o:title=""/>
          </v:shape>
          <o:OLEObject Type="Embed" ProgID="STATISTICA.Graph" ShapeID="_x0000_i1028" DrawAspect="Content" ObjectID="_1644346368" r:id="rId15">
            <o:FieldCodes>\s</o:FieldCodes>
          </o:OLEObject>
        </w:object>
      </w:r>
    </w:p>
    <w:p w:rsidR="00112FE4" w:rsidRPr="0043176B" w:rsidRDefault="00112FE4" w:rsidP="00112FE4">
      <w:pPr>
        <w:rPr>
          <w:b/>
          <w:u w:val="single"/>
        </w:rPr>
      </w:pPr>
      <w:r w:rsidRPr="0043176B">
        <w:rPr>
          <w:b/>
          <w:u w:val="single"/>
        </w:rPr>
        <w:lastRenderedPageBreak/>
        <w:t>Potential Model – ARIMA(2,1,0):</w:t>
      </w:r>
    </w:p>
    <w:p w:rsidR="00112FE4" w:rsidRDefault="00112FE4" w:rsidP="00112FE4">
      <w:pPr>
        <w:ind w:left="360"/>
      </w:pPr>
      <w:r>
        <w:t xml:space="preserve">The ACF model is decaying </w:t>
      </w:r>
      <w:r w:rsidR="00EA38F9">
        <w:t>in a sine-cosine fashion</w:t>
      </w:r>
      <w:r>
        <w:t xml:space="preserve"> and the PACF is cutting of at lag 2 th</w:t>
      </w:r>
      <w:r w:rsidR="00EA38F9">
        <w:t>erefore</w:t>
      </w:r>
      <w:r>
        <w:t xml:space="preserve"> the 1</w:t>
      </w:r>
      <w:r w:rsidRPr="0043176B">
        <w:rPr>
          <w:vertAlign w:val="superscript"/>
        </w:rPr>
        <w:t>st</w:t>
      </w:r>
      <w:r>
        <w:t xml:space="preserve"> potential model can be an ARIMA(2,1,0) model.</w:t>
      </w:r>
    </w:p>
    <w:p w:rsidR="00112FE4" w:rsidRDefault="00EA38F9" w:rsidP="00112FE4">
      <w:pPr>
        <w:ind w:left="360"/>
      </w:pPr>
      <w:r>
        <w:rPr>
          <w:noProof/>
        </w:rPr>
        <w:drawing>
          <wp:inline distT="0" distB="0" distL="0" distR="0" wp14:anchorId="586AE366" wp14:editId="577A6F62">
            <wp:extent cx="50863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4" w:rsidRDefault="00112FE4" w:rsidP="00112FE4">
      <w:pPr>
        <w:ind w:left="360"/>
      </w:pPr>
      <w:r>
        <w:t xml:space="preserve">The above table indicates that </w:t>
      </w:r>
      <w:r w:rsidR="00EA38F9">
        <w:t>only</w:t>
      </w:r>
      <w:r>
        <w:t xml:space="preserve"> the</w:t>
      </w:r>
      <w:r w:rsidR="00EA38F9">
        <w:t xml:space="preserve"> second estimated parameter is </w:t>
      </w:r>
      <w:r>
        <w:t>significant due to the p-value &lt; 0.05.</w:t>
      </w:r>
    </w:p>
    <w:p w:rsidR="00112FE4" w:rsidRPr="001116B2" w:rsidRDefault="00112FE4" w:rsidP="00112FE4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-0.154253</m:t>
          </m:r>
          <m:r>
            <w:rPr>
              <w:rFonts w:ascii="Cambria Math" w:hAnsi="Cambria Math"/>
            </w:rPr>
            <m:t xml:space="preserve">                   p-value=0.</m:t>
          </m:r>
          <m:r>
            <w:rPr>
              <w:rFonts w:ascii="Cambria Math" w:hAnsi="Cambria Math"/>
            </w:rPr>
            <m:t>082301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12FE4" w:rsidRPr="00C57E96" w:rsidRDefault="00112FE4" w:rsidP="00112FE4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217322</m:t>
          </m:r>
          <m:r>
            <w:rPr>
              <w:rFonts w:ascii="Cambria Math" w:hAnsi="Cambria Math"/>
            </w:rPr>
            <m:t xml:space="preserve">                  p-value=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006605</m:t>
          </m:r>
        </m:oMath>
      </m:oMathPara>
    </w:p>
    <w:p w:rsidR="00112FE4" w:rsidRDefault="00112FE4" w:rsidP="00112FE4">
      <w:pPr>
        <w:rPr>
          <w:b/>
          <w:u w:val="single"/>
        </w:rPr>
      </w:pPr>
      <w:r w:rsidRPr="0021682F">
        <w:rPr>
          <w:b/>
          <w:u w:val="single"/>
        </w:rPr>
        <w:t xml:space="preserve">Want to perform a </w:t>
      </w:r>
      <w:proofErr w:type="spellStart"/>
      <w:r w:rsidRPr="0021682F">
        <w:rPr>
          <w:b/>
          <w:u w:val="single"/>
        </w:rPr>
        <w:t>Ljung</w:t>
      </w:r>
      <w:proofErr w:type="spellEnd"/>
      <w:r w:rsidRPr="0021682F">
        <w:rPr>
          <w:b/>
          <w:u w:val="single"/>
        </w:rPr>
        <w:t xml:space="preserve"> Type Test</w:t>
      </w:r>
      <w:r>
        <w:rPr>
          <w:b/>
          <w:u w:val="single"/>
        </w:rPr>
        <w:t xml:space="preserve"> to test for White Noise</w:t>
      </w:r>
      <w:r w:rsidRPr="0021682F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112FE4" w:rsidRDefault="00701D51" w:rsidP="00204846">
      <w:pPr>
        <w:jc w:val="center"/>
        <w:rPr>
          <w:b/>
          <w:u w:val="single"/>
        </w:rPr>
      </w:pPr>
      <w:r>
        <w:object w:dxaOrig="7017" w:dyaOrig="5268">
          <v:shape id="_x0000_i1029" type="#_x0000_t75" style="width:351pt;height:263.25pt" o:ole="">
            <v:imagedata r:id="rId17" o:title=""/>
          </v:shape>
          <o:OLEObject Type="Embed" ProgID="STATISTICA.Graph" ShapeID="_x0000_i1029" DrawAspect="Content" ObjectID="_1644346369" r:id="rId18">
            <o:FieldCodes>\s</o:FieldCodes>
          </o:OLEObject>
        </w:object>
      </w:r>
    </w:p>
    <w:p w:rsidR="00112FE4" w:rsidRPr="00E627C2" w:rsidRDefault="00112FE4" w:rsidP="00112FE4">
      <w:pPr>
        <w:ind w:left="36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Lag 12 :  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Q-statistic =</m:t>
          </m:r>
          <m:r>
            <m:rPr>
              <m:sty m:val="p"/>
            </m:rPr>
            <w:rPr>
              <w:rFonts w:ascii="Cambria Math" w:hAnsi="Cambria Math"/>
            </w:rPr>
            <m:t>18.75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112FE4" w:rsidRPr="000D60E0" w:rsidRDefault="00112FE4" w:rsidP="00112FE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P-value = 0.</m:t>
          </m:r>
          <m:r>
            <m:rPr>
              <m:sty m:val="p"/>
            </m:rPr>
            <w:rPr>
              <w:rFonts w:ascii="Cambria Math" w:hAnsi="Cambria Math"/>
            </w:rPr>
            <m:t>0948</m:t>
          </m:r>
        </m:oMath>
      </m:oMathPara>
    </w:p>
    <w:p w:rsidR="00112FE4" w:rsidRPr="00E627C2" w:rsidRDefault="00112FE4" w:rsidP="00112FE4">
      <w:pPr>
        <w:ind w:left="360"/>
      </w:pPr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→White Noise </m:t>
          </m:r>
          <m:r>
            <w:rPr>
              <w:rFonts w:ascii="Cambria Math" w:eastAsiaTheme="minorEastAsia" w:hAnsi="Cambria Math"/>
            </w:rPr>
            <m:t>Residuals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≠0→Non White Noise </m:t>
          </m:r>
          <m:r>
            <w:rPr>
              <w:rFonts w:ascii="Cambria Math" w:hAnsi="Cambria Math"/>
            </w:rPr>
            <m:t>Residuals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P-value = 0.2360</m:t>
          </m:r>
        </m:oMath>
      </m:oMathPara>
    </w:p>
    <w:p w:rsidR="00112FE4" w:rsidRDefault="00112FE4" w:rsidP="00112FE4">
      <w:r>
        <w:rPr>
          <w:b/>
          <w:u w:val="single"/>
        </w:rPr>
        <w:t>Interpretation:</w:t>
      </w:r>
    </w:p>
    <w:p w:rsidR="00112FE4" w:rsidRPr="00E627C2" w:rsidRDefault="00112FE4" w:rsidP="00112FE4">
      <w:r>
        <w:t xml:space="preserve">The p-value is larger than 0.05, </w:t>
      </w:r>
      <w:r w:rsidR="00701D51">
        <w:t>thus</w:t>
      </w:r>
      <w:r>
        <w:t xml:space="preserve"> it is not significant</w:t>
      </w:r>
      <w:r w:rsidR="00701D51">
        <w:t xml:space="preserve"> and </w:t>
      </w:r>
      <w:r>
        <w:t xml:space="preserve">we cannot reject the null hypothesis. This </w:t>
      </w:r>
      <w:r w:rsidR="00701D51">
        <w:t xml:space="preserve">tells us </w:t>
      </w:r>
      <w:r>
        <w:t xml:space="preserve">the model has white noise </w:t>
      </w:r>
      <w:r w:rsidR="00701D51">
        <w:t>residuals</w:t>
      </w:r>
      <w:r>
        <w:t>.</w:t>
      </w:r>
    </w:p>
    <w:p w:rsidR="00112FE4" w:rsidRDefault="00112FE4" w:rsidP="00112FE4">
      <w:pPr>
        <w:ind w:left="360"/>
      </w:pPr>
    </w:p>
    <w:p w:rsidR="00112FE4" w:rsidRPr="00995739" w:rsidRDefault="00112FE4" w:rsidP="00204846">
      <w:pPr>
        <w:rPr>
          <w:b/>
          <w:u w:val="single"/>
        </w:rPr>
      </w:pPr>
      <w:r w:rsidRPr="00995739">
        <w:rPr>
          <w:b/>
          <w:u w:val="single"/>
        </w:rPr>
        <w:t>Look the model with smallest Mean Squared Residual:</w:t>
      </w:r>
    </w:p>
    <w:p w:rsidR="00112FE4" w:rsidRPr="00995739" w:rsidRDefault="00112FE4" w:rsidP="00112FE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MSR</m:t>
          </m:r>
          <m:r>
            <w:rPr>
              <w:rFonts w:ascii="Cambria Math" w:hAnsi="Cambria Math"/>
            </w:rPr>
            <m:t>=0.97788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12FE4" w:rsidRPr="0043176B" w:rsidRDefault="00112FE4" w:rsidP="00204846">
      <w:pPr>
        <w:rPr>
          <w:b/>
          <w:u w:val="single"/>
        </w:rPr>
      </w:pPr>
      <w:r w:rsidRPr="0043176B">
        <w:rPr>
          <w:b/>
          <w:u w:val="single"/>
        </w:rPr>
        <w:t>Potential Model – ARIMA(</w:t>
      </w:r>
      <w:r>
        <w:rPr>
          <w:b/>
          <w:u w:val="single"/>
        </w:rPr>
        <w:t>1,1,1</w:t>
      </w:r>
      <w:r w:rsidRPr="0043176B">
        <w:rPr>
          <w:b/>
          <w:u w:val="single"/>
        </w:rPr>
        <w:t>):</w:t>
      </w:r>
    </w:p>
    <w:p w:rsidR="00112FE4" w:rsidRDefault="00112FE4" w:rsidP="00204846">
      <w:r>
        <w:t>The 2</w:t>
      </w:r>
      <w:r w:rsidRPr="0043176B">
        <w:rPr>
          <w:vertAlign w:val="superscript"/>
        </w:rPr>
        <w:t>nd</w:t>
      </w:r>
      <w:r>
        <w:t xml:space="preserve"> potential model is a ARIMA(1,1,1) , due to the ACF decreasing exponentially as well as the PACF.</w:t>
      </w:r>
    </w:p>
    <w:p w:rsidR="00204846" w:rsidRDefault="00204846" w:rsidP="00204846">
      <w:r>
        <w:rPr>
          <w:noProof/>
        </w:rPr>
        <w:drawing>
          <wp:inline distT="0" distB="0" distL="0" distR="0" wp14:anchorId="0DE9F360" wp14:editId="6AD91C8A">
            <wp:extent cx="498157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4" w:rsidRDefault="00112FE4" w:rsidP="00204846">
      <w:r>
        <w:t>The above table indicates that all the estimated parameters are significant due to the p-value &lt; 0.05.</w:t>
      </w:r>
    </w:p>
    <w:p w:rsidR="00112FE4" w:rsidRPr="001116B2" w:rsidRDefault="00112FE4" w:rsidP="00112FE4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647786</m:t>
          </m:r>
          <m:r>
            <w:rPr>
              <w:rFonts w:ascii="Cambria Math" w:hAnsi="Cambria Math"/>
            </w:rPr>
            <m:t xml:space="preserve">                   p-value=0.</m:t>
          </m:r>
          <m:r>
            <w:rPr>
              <w:rFonts w:ascii="Cambria Math" w:hAnsi="Cambria Math"/>
            </w:rPr>
            <m:t>00002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12FE4" w:rsidRDefault="00112FE4" w:rsidP="00112FE4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421549</m:t>
          </m:r>
          <m:r>
            <w:rPr>
              <w:rFonts w:ascii="Cambria Math" w:hAnsi="Cambria Math"/>
            </w:rPr>
            <m:t xml:space="preserve">                  p-value=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01128</m:t>
          </m:r>
        </m:oMath>
      </m:oMathPara>
    </w:p>
    <w:p w:rsidR="00112FE4" w:rsidRDefault="00112FE4" w:rsidP="00112FE4">
      <w:pPr>
        <w:ind w:left="360"/>
      </w:pPr>
    </w:p>
    <w:p w:rsidR="00FB6DBC" w:rsidRDefault="00FB6DB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12FE4" w:rsidRDefault="00112FE4" w:rsidP="00FB6DBC">
      <w:pPr>
        <w:rPr>
          <w:b/>
          <w:u w:val="single"/>
        </w:rPr>
      </w:pPr>
      <w:proofErr w:type="spellStart"/>
      <w:r w:rsidRPr="00C57E96">
        <w:rPr>
          <w:b/>
          <w:u w:val="single"/>
        </w:rPr>
        <w:lastRenderedPageBreak/>
        <w:t>Ljung</w:t>
      </w:r>
      <w:proofErr w:type="spellEnd"/>
      <w:r w:rsidRPr="00C57E96">
        <w:rPr>
          <w:b/>
          <w:u w:val="single"/>
        </w:rPr>
        <w:t xml:space="preserve"> Box Pierce Test </w:t>
      </w:r>
      <w:r w:rsidRPr="00C57E96">
        <w:rPr>
          <w:b/>
          <w:u w:val="single"/>
        </w:rPr>
        <w:sym w:font="Wingdings" w:char="F0E0"/>
      </w:r>
      <w:r w:rsidRPr="00C57E96">
        <w:rPr>
          <w:b/>
          <w:u w:val="single"/>
        </w:rPr>
        <w:t xml:space="preserve"> Test for White Noise:</w:t>
      </w:r>
    </w:p>
    <w:p w:rsidR="00FB6DBC" w:rsidRPr="00C57E96" w:rsidRDefault="00FB6DBC" w:rsidP="00FB6DBC">
      <w:pPr>
        <w:ind w:left="360"/>
        <w:jc w:val="center"/>
        <w:rPr>
          <w:b/>
          <w:u w:val="single"/>
        </w:rPr>
      </w:pPr>
      <w:r>
        <w:object w:dxaOrig="6830" w:dyaOrig="5128">
          <v:shape id="_x0000_i1030" type="#_x0000_t75" style="width:341.25pt;height:256.5pt" o:ole="">
            <v:imagedata r:id="rId20" o:title=""/>
          </v:shape>
          <o:OLEObject Type="Embed" ProgID="STATISTICA.Graph" ShapeID="_x0000_i1030" DrawAspect="Content" ObjectID="_1644346370" r:id="rId21">
            <o:FieldCodes>\s</o:FieldCodes>
          </o:OLEObject>
        </w:object>
      </w:r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→White Noise Process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≠0→Non White Noise Process</m:t>
          </m:r>
        </m:oMath>
      </m:oMathPara>
    </w:p>
    <w:p w:rsidR="00112FE4" w:rsidRDefault="00112FE4" w:rsidP="00112FE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=15.15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P-value = 0.</m:t>
          </m:r>
          <m:r>
            <m:rPr>
              <m:sty m:val="p"/>
            </m:rPr>
            <w:rPr>
              <w:rFonts w:ascii="Cambria Math" w:hAnsi="Cambria Math"/>
            </w:rPr>
            <m:t>3334</m:t>
          </m:r>
        </m:oMath>
      </m:oMathPara>
    </w:p>
    <w:p w:rsidR="00112FE4" w:rsidRDefault="00112FE4" w:rsidP="00112FE4">
      <w:r>
        <w:rPr>
          <w:b/>
          <w:u w:val="single"/>
        </w:rPr>
        <w:t>Interpretation:</w:t>
      </w:r>
    </w:p>
    <w:p w:rsidR="00112FE4" w:rsidRDefault="00112FE4" w:rsidP="00112FE4">
      <w:r>
        <w:t xml:space="preserve">The p-value is larger than 0.05, </w:t>
      </w:r>
      <w:r w:rsidR="00577512">
        <w:t>so it is not significant and again</w:t>
      </w:r>
      <w:r>
        <w:t xml:space="preserve"> we cannot reject the null h</w:t>
      </w:r>
      <w:r w:rsidR="00577512">
        <w:t xml:space="preserve">ypothesis.  Thus the model has </w:t>
      </w:r>
      <w:r>
        <w:t xml:space="preserve">white noise </w:t>
      </w:r>
      <w:r w:rsidR="00577512">
        <w:t>residuals</w:t>
      </w:r>
      <w:r>
        <w:t>.</w:t>
      </w:r>
    </w:p>
    <w:p w:rsidR="00112FE4" w:rsidRPr="00995739" w:rsidRDefault="00DA1966" w:rsidP="00DA1966">
      <w:pPr>
        <w:rPr>
          <w:b/>
          <w:u w:val="single"/>
        </w:rPr>
      </w:pPr>
      <w:r>
        <w:rPr>
          <w:b/>
          <w:u w:val="single"/>
        </w:rPr>
        <w:t>Consider</w:t>
      </w:r>
      <w:r w:rsidR="00112FE4" w:rsidRPr="00995739">
        <w:rPr>
          <w:b/>
          <w:u w:val="single"/>
        </w:rPr>
        <w:t xml:space="preserve"> the model with smallest Mean Squared Residual:</w:t>
      </w:r>
    </w:p>
    <w:p w:rsidR="00112FE4" w:rsidRDefault="00112FE4" w:rsidP="00E61180">
      <w:pPr>
        <w:ind w:left="360"/>
      </w:pPr>
      <m:oMathPara>
        <m:oMath>
          <m:r>
            <w:rPr>
              <w:rFonts w:ascii="Cambria Math" w:hAnsi="Cambria Math"/>
            </w:rPr>
            <m:t>MS=0.</m:t>
          </m:r>
          <m:r>
            <w:rPr>
              <w:rFonts w:ascii="Cambria Math" w:hAnsi="Cambria Math"/>
            </w:rPr>
            <m:t>98481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12FE4" w:rsidRPr="00C15FAB" w:rsidRDefault="00112FE4" w:rsidP="00112FE4">
      <w:pPr>
        <w:rPr>
          <w:b/>
        </w:rPr>
      </w:pPr>
      <w:r>
        <w:rPr>
          <w:b/>
        </w:rPr>
        <w:t>Conclusion:</w:t>
      </w:r>
    </w:p>
    <w:p w:rsidR="00112FE4" w:rsidRDefault="00112FE4" w:rsidP="00112FE4">
      <w:pPr>
        <w:tabs>
          <w:tab w:val="left" w:pos="1709"/>
        </w:tabs>
      </w:pPr>
      <w:r>
        <w:t xml:space="preserve">The ARIMA(2,1,0) </w:t>
      </w:r>
      <w:r w:rsidR="00DA1966">
        <w:t>has</w:t>
      </w:r>
      <w:r>
        <w:t xml:space="preserve"> a smaller mean squared(MS) resid</w:t>
      </w:r>
      <w:r w:rsidR="00DA1966">
        <w:t>ual than the ARIMA(1,1,1) model, however the ARIMA(1,1,1) model’s parameters are all significant and its residuals are more white noise (higher Q value) than the ARIMA(2,1,0), so we rather continue with the ARIMA(1,1,1)</w:t>
      </w:r>
    </w:p>
    <w:p w:rsidR="00112FE4" w:rsidRDefault="00112FE4" w:rsidP="00112FE4">
      <w:pPr>
        <w:ind w:left="360"/>
      </w:pPr>
    </w:p>
    <w:p w:rsidR="00112FE4" w:rsidRDefault="00112FE4" w:rsidP="00112FE4"/>
    <w:p w:rsidR="00112FE4" w:rsidRDefault="00112FE4" w:rsidP="00112FE4"/>
    <w:p w:rsidR="004A1AF6" w:rsidRPr="004A1AF6" w:rsidRDefault="00112FE4" w:rsidP="004A1AF6">
      <w:pPr>
        <w:rPr>
          <w:b/>
          <w:u w:val="single"/>
        </w:rPr>
      </w:pPr>
      <w:r w:rsidRPr="004A1AF6">
        <w:rPr>
          <w:b/>
          <w:u w:val="single"/>
        </w:rPr>
        <w:t>Conditional (CL) Box Jenkins Estimating Procedure:</w:t>
      </w:r>
    </w:p>
    <w:p w:rsidR="00112FE4" w:rsidRDefault="00112FE4" w:rsidP="00112FE4">
      <w:pPr>
        <w:rPr>
          <w:b/>
          <w:u w:val="single"/>
        </w:rPr>
      </w:pPr>
      <w:r w:rsidRPr="0021682F">
        <w:rPr>
          <w:b/>
          <w:u w:val="single"/>
        </w:rPr>
        <w:t xml:space="preserve">Want to perform a </w:t>
      </w:r>
      <w:proofErr w:type="spellStart"/>
      <w:r w:rsidRPr="0021682F">
        <w:rPr>
          <w:b/>
          <w:u w:val="single"/>
        </w:rPr>
        <w:t>Ljung</w:t>
      </w:r>
      <w:proofErr w:type="spellEnd"/>
      <w:r w:rsidRPr="0021682F">
        <w:rPr>
          <w:b/>
          <w:u w:val="single"/>
        </w:rPr>
        <w:t xml:space="preserve"> Type Test:</w:t>
      </w:r>
    </w:p>
    <w:p w:rsidR="00112FE4" w:rsidRPr="00E627C2" w:rsidRDefault="004A1AF6" w:rsidP="004A1AF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BB9705" wp14:editId="0D9D82E5">
            <wp:extent cx="4981575" cy="1171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F6" w:rsidRPr="001116B2" w:rsidRDefault="004A1AF6" w:rsidP="004A1AF6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0.647786                   p-value=0.00002 </m:t>
          </m:r>
        </m:oMath>
      </m:oMathPara>
    </w:p>
    <w:p w:rsidR="004A1AF6" w:rsidRDefault="004A1AF6" w:rsidP="004A1AF6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=-0.421549                  p-value=</m:t>
          </m:r>
          <m:r>
            <w:rPr>
              <w:rFonts w:ascii="Cambria Math" w:eastAsiaTheme="minorEastAsia" w:hAnsi="Cambria Math"/>
            </w:rPr>
            <m:t>0.01128</m:t>
          </m:r>
        </m:oMath>
      </m:oMathPara>
    </w:p>
    <w:p w:rsidR="00112FE4" w:rsidRDefault="00112FE4" w:rsidP="00112FE4">
      <w:r>
        <w:rPr>
          <w:b/>
          <w:u w:val="single"/>
        </w:rPr>
        <w:t>Interpretation:</w:t>
      </w:r>
    </w:p>
    <w:p w:rsidR="00112FE4" w:rsidRDefault="00112FE4" w:rsidP="00112FE4">
      <w:pPr>
        <w:rPr>
          <w:rFonts w:eastAsiaTheme="minorEastAsia"/>
        </w:rPr>
      </w:pPr>
      <w:r>
        <w:rPr>
          <w:rFonts w:eastAsiaTheme="minorEastAsia"/>
        </w:rPr>
        <w:t xml:space="preserve">The p-value’s for all parameters are smaller than 0.05, </w:t>
      </w:r>
      <w:r w:rsidR="004A1AF6">
        <w:rPr>
          <w:rFonts w:eastAsiaTheme="minorEastAsia"/>
        </w:rPr>
        <w:t>indicating</w:t>
      </w:r>
      <w:r>
        <w:rPr>
          <w:rFonts w:eastAsiaTheme="minorEastAsia"/>
        </w:rPr>
        <w:t xml:space="preserve"> all parameters are statistically significant.</w:t>
      </w:r>
    </w:p>
    <w:p w:rsidR="00112FE4" w:rsidRDefault="00112FE4" w:rsidP="00112FE4">
      <m:oMathPara>
        <m:oMath>
          <m:r>
            <m:rPr>
              <m:sty m:val="bi"/>
            </m:rPr>
            <w:rPr>
              <w:rFonts w:ascii="Cambria Math" w:hAnsi="Cambria Math"/>
            </w:rPr>
            <m:t>Conditional Estimation- MSR=0.</m:t>
          </m:r>
          <m:r>
            <m:rPr>
              <m:sty m:val="bi"/>
            </m:rPr>
            <w:rPr>
              <w:rFonts w:ascii="Cambria Math" w:hAnsi="Cambria Math"/>
            </w:rPr>
            <m:t>98481</m:t>
          </m:r>
        </m:oMath>
      </m:oMathPara>
    </w:p>
    <w:p w:rsidR="00112FE4" w:rsidRDefault="00112FE4" w:rsidP="00112FE4"/>
    <w:p w:rsidR="00112FE4" w:rsidRDefault="00112FE4" w:rsidP="004A1AF6">
      <w:r w:rsidRPr="004A1AF6">
        <w:rPr>
          <w:b/>
          <w:u w:val="single"/>
        </w:rPr>
        <w:t xml:space="preserve"> Unconditional  Box Jenkins Estimating Procedure:</w:t>
      </w:r>
    </w:p>
    <w:p w:rsidR="00112FE4" w:rsidRDefault="004A1AF6" w:rsidP="004A1AF6">
      <w:pPr>
        <w:ind w:left="360"/>
        <w:jc w:val="center"/>
      </w:pPr>
      <w:r>
        <w:rPr>
          <w:noProof/>
        </w:rPr>
        <w:drawing>
          <wp:inline distT="0" distB="0" distL="0" distR="0" wp14:anchorId="46CD0B4E" wp14:editId="433777DE">
            <wp:extent cx="50006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9B" w:rsidRDefault="00E87C9B" w:rsidP="004A1AF6">
      <w:pPr>
        <w:ind w:left="360"/>
        <w:jc w:val="center"/>
      </w:pPr>
      <w:r>
        <w:object w:dxaOrig="6863" w:dyaOrig="5167">
          <v:shape id="_x0000_i1031" type="#_x0000_t75" style="width:343.5pt;height:258pt" o:ole="">
            <v:imagedata r:id="rId23" o:title=""/>
          </v:shape>
          <o:OLEObject Type="Embed" ProgID="STATISTICA.Graph" ShapeID="_x0000_i1031" DrawAspect="Content" ObjectID="_1644346371" r:id="rId24">
            <o:FieldCodes>\s</o:FieldCodes>
          </o:OLEObject>
        </w:object>
      </w:r>
    </w:p>
    <w:p w:rsidR="00112FE4" w:rsidRPr="00E627C2" w:rsidRDefault="00112FE4" w:rsidP="00112FE4">
      <w:pPr>
        <w:ind w:left="36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Lag 12 :  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Q-statistic =</m:t>
          </m:r>
          <m:r>
            <m:rPr>
              <m:sty m:val="p"/>
            </m:rPr>
            <w:rPr>
              <w:rFonts w:ascii="Cambria Math" w:hAnsi="Cambria Math"/>
            </w:rPr>
            <m:t>14.94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112FE4" w:rsidRPr="000D60E0" w:rsidRDefault="00112FE4" w:rsidP="00112FE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P-value = 0.</m:t>
          </m:r>
          <m:r>
            <m:rPr>
              <m:sty m:val="p"/>
            </m:rPr>
            <w:rPr>
              <w:rFonts w:ascii="Cambria Math" w:hAnsi="Cambria Math"/>
            </w:rPr>
            <m:t>2446</m:t>
          </m:r>
        </m:oMath>
      </m:oMathPara>
    </w:p>
    <w:p w:rsidR="00112FE4" w:rsidRPr="00E627C2" w:rsidRDefault="00112FE4" w:rsidP="00112FE4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MS=0.</m:t>
          </m:r>
          <m:r>
            <w:rPr>
              <w:rFonts w:ascii="Cambria Math" w:hAnsi="Cambria Math"/>
            </w:rPr>
            <m:t>98468</m:t>
          </m:r>
        </m:oMath>
      </m:oMathPara>
    </w:p>
    <w:p w:rsidR="00112FE4" w:rsidRPr="00E627C2" w:rsidRDefault="00112FE4" w:rsidP="00112FE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→White Noise Process</m:t>
          </m:r>
        </m:oMath>
      </m:oMathPara>
    </w:p>
    <w:p w:rsidR="00112FE4" w:rsidRPr="00E627C2" w:rsidRDefault="00112FE4" w:rsidP="00E87C9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≠0→Non White Noise Process</m:t>
          </m:r>
        </m:oMath>
      </m:oMathPara>
    </w:p>
    <w:p w:rsidR="00112FE4" w:rsidRDefault="00112FE4" w:rsidP="00112FE4">
      <w:r>
        <w:rPr>
          <w:b/>
          <w:u w:val="single"/>
        </w:rPr>
        <w:t>Interpretation:</w:t>
      </w:r>
    </w:p>
    <w:p w:rsidR="001B05FC" w:rsidRPr="00E627C2" w:rsidRDefault="00112FE4" w:rsidP="001B05FC">
      <w:pPr>
        <w:rPr>
          <w:rFonts w:eastAsiaTheme="minorEastAsia"/>
        </w:rPr>
      </w:pPr>
      <w:r>
        <w:t>The p</w:t>
      </w:r>
      <w:r w:rsidR="00E87C9B">
        <w:t>-value is larger than 0.05 and therefore</w:t>
      </w:r>
      <w:r>
        <w:t xml:space="preserve"> not significant.</w:t>
      </w:r>
      <w:r w:rsidR="00E87C9B">
        <w:t xml:space="preserve">  W</w:t>
      </w:r>
      <w:r>
        <w:t xml:space="preserve">e cannot reject the null </w:t>
      </w:r>
      <w:r w:rsidR="00E87C9B">
        <w:t>hypothesis. This the model has</w:t>
      </w:r>
      <w:r>
        <w:t xml:space="preserve"> white noise </w:t>
      </w:r>
      <w:r w:rsidR="00E87C9B">
        <w:t>residuals</w:t>
      </w:r>
      <w:r>
        <w:t>.</w:t>
      </w:r>
    </w:p>
    <w:p w:rsidR="001B05FC" w:rsidRPr="001116B2" w:rsidRDefault="001B05FC" w:rsidP="001B05FC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647722</m:t>
          </m:r>
          <m:r>
            <w:rPr>
              <w:rFonts w:ascii="Cambria Math" w:hAnsi="Cambria Math"/>
            </w:rPr>
            <m:t xml:space="preserve">                   p-value=0.00002 </m:t>
          </m:r>
        </m:oMath>
      </m:oMathPara>
    </w:p>
    <w:p w:rsidR="001B05FC" w:rsidRDefault="001B05FC" w:rsidP="001B05FC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421099</m:t>
          </m:r>
          <m:r>
            <w:rPr>
              <w:rFonts w:ascii="Cambria Math" w:hAnsi="Cambria Math"/>
            </w:rPr>
            <m:t xml:space="preserve">                  p-value=</m:t>
          </m:r>
          <m:r>
            <w:rPr>
              <w:rFonts w:ascii="Cambria Math" w:eastAsiaTheme="minorEastAsia" w:hAnsi="Cambria Math"/>
            </w:rPr>
            <m:t>0.0112</m:t>
          </m:r>
          <m:r>
            <w:rPr>
              <w:rFonts w:ascii="Cambria Math" w:eastAsiaTheme="minorEastAsia" w:hAnsi="Cambria Math"/>
            </w:rPr>
            <m:t>49</m:t>
          </m:r>
        </m:oMath>
      </m:oMathPara>
    </w:p>
    <w:p w:rsidR="00112FE4" w:rsidRDefault="00112FE4" w:rsidP="001B05FC">
      <w:r>
        <w:rPr>
          <w:b/>
          <w:u w:val="single"/>
        </w:rPr>
        <w:t>Interpretation:</w:t>
      </w:r>
    </w:p>
    <w:p w:rsidR="00112FE4" w:rsidRPr="000B29A6" w:rsidRDefault="00112FE4" w:rsidP="00112FE4">
      <w:pPr>
        <w:rPr>
          <w:rFonts w:eastAsiaTheme="minorEastAsia"/>
        </w:rPr>
      </w:pPr>
      <w:r>
        <w:rPr>
          <w:rFonts w:eastAsiaTheme="minorEastAsia"/>
        </w:rPr>
        <w:t>The p-value’s for all parameters are smaller than 0.05, this all parameters are statistically significant.</w:t>
      </w:r>
    </w:p>
    <w:p w:rsidR="00112FE4" w:rsidRDefault="00112FE4" w:rsidP="00112FE4"/>
    <w:p w:rsidR="00112FE4" w:rsidRPr="000B29A6" w:rsidRDefault="00112FE4" w:rsidP="00112FE4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Unconditional Estimation-MSR=0.</m:t>
          </m:r>
          <m:r>
            <m:rPr>
              <m:sty m:val="bi"/>
            </m:rPr>
            <w:rPr>
              <w:rFonts w:ascii="Cambria Math" w:hAnsi="Cambria Math"/>
            </w:rPr>
            <m:t>98468</m:t>
          </m:r>
        </m:oMath>
      </m:oMathPara>
    </w:p>
    <w:p w:rsidR="00112FE4" w:rsidRDefault="00112FE4" w:rsidP="00112FE4"/>
    <w:p w:rsidR="00112FE4" w:rsidRPr="000B29A6" w:rsidRDefault="00112FE4" w:rsidP="00112FE4">
      <w:pPr>
        <w:rPr>
          <w:rFonts w:eastAsiaTheme="minorEastAsia"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Conditional Estimation- MSR=0.</m:t>
        </m:r>
        <m:r>
          <m:rPr>
            <m:sty m:val="bi"/>
          </m:rPr>
          <w:rPr>
            <w:rFonts w:ascii="Cambria Math" w:hAnsi="Cambria Math"/>
          </w:rPr>
          <m:t>98481</m:t>
        </m:r>
      </m:oMath>
    </w:p>
    <w:p w:rsidR="00112FE4" w:rsidRPr="000B29A6" w:rsidRDefault="00112FE4" w:rsidP="00112FE4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Uncond</m:t>
          </m:r>
          <m:r>
            <m:rPr>
              <m:sty m:val="bi"/>
            </m:rPr>
            <w:rPr>
              <w:rFonts w:ascii="Cambria Math" w:hAnsi="Cambria Math"/>
            </w:rPr>
            <m:t>itional Estimation-MSR=0.</m:t>
          </m:r>
          <m:r>
            <m:rPr>
              <m:sty m:val="bi"/>
            </m:rPr>
            <w:rPr>
              <w:rFonts w:ascii="Cambria Math" w:hAnsi="Cambria Math"/>
            </w:rPr>
            <m:t>98468</m:t>
          </m:r>
        </m:oMath>
      </m:oMathPara>
    </w:p>
    <w:p w:rsidR="00112FE4" w:rsidRDefault="00112FE4" w:rsidP="00112FE4"/>
    <w:p w:rsidR="00112FE4" w:rsidRDefault="00112FE4" w:rsidP="008C56C2">
      <w:r>
        <w:t xml:space="preserve">The unconditional estimate procedure is the best procedure due to having the smallest MSR value when comparing it to the MSR of the conditional procedure. Therefore, we will </w:t>
      </w:r>
      <w:r w:rsidR="008C56C2">
        <w:t>choose</w:t>
      </w:r>
      <w:r>
        <w:t xml:space="preserve"> the unconditional procedure.</w:t>
      </w:r>
    </w:p>
    <w:p w:rsidR="00112FE4" w:rsidRDefault="008C56C2" w:rsidP="00222FD8">
      <w:pPr>
        <w:jc w:val="center"/>
      </w:pPr>
      <w:r>
        <w:rPr>
          <w:noProof/>
        </w:rPr>
        <w:drawing>
          <wp:inline distT="0" distB="0" distL="0" distR="0" wp14:anchorId="4BC938F9" wp14:editId="440F5456">
            <wp:extent cx="4248150" cy="2428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4" w:rsidRDefault="00413D86" w:rsidP="00413D86">
      <w:pPr>
        <w:jc w:val="center"/>
      </w:pPr>
      <w:r>
        <w:object w:dxaOrig="6876" w:dyaOrig="5205">
          <v:shape id="_x0000_i1032" type="#_x0000_t75" style="width:343.5pt;height:260.25pt" o:ole="">
            <v:imagedata r:id="rId26" o:title=""/>
          </v:shape>
          <o:OLEObject Type="Embed" ProgID="STATISTICA.Graph" ShapeID="_x0000_i1032" DrawAspect="Content" ObjectID="_1644346372" r:id="rId27">
            <o:FieldCodes>\s</o:FieldCodes>
          </o:OLEObject>
        </w:object>
      </w:r>
    </w:p>
    <w:p w:rsidR="00112FE4" w:rsidRDefault="00112FE4" w:rsidP="00112FE4">
      <w:pPr>
        <w:ind w:left="360"/>
      </w:pPr>
      <w:r>
        <w:t xml:space="preserve"> </w:t>
      </w:r>
    </w:p>
    <w:p w:rsidR="00112FE4" w:rsidRDefault="00413D86" w:rsidP="00112FE4">
      <w:pPr>
        <w:ind w:left="360"/>
      </w:pPr>
      <w:r>
        <w:rPr>
          <w:noProof/>
        </w:rPr>
        <w:lastRenderedPageBreak/>
        <w:drawing>
          <wp:inline distT="0" distB="0" distL="0" distR="0" wp14:anchorId="3210A20E" wp14:editId="18707D19">
            <wp:extent cx="4572000" cy="274320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12FE4" w:rsidRDefault="00112FE4" w:rsidP="00112FE4">
      <w:pPr>
        <w:ind w:left="360"/>
      </w:pPr>
    </w:p>
    <w:p w:rsidR="00112FE4" w:rsidRDefault="00112FE4" w:rsidP="00112FE4"/>
    <w:p w:rsidR="00112FE4" w:rsidRPr="000B29A6" w:rsidRDefault="00112FE4" w:rsidP="00112FE4">
      <w:pPr>
        <w:rPr>
          <w:b/>
          <w:u w:val="single"/>
        </w:rPr>
      </w:pPr>
      <w:r w:rsidRPr="000B29A6">
        <w:rPr>
          <w:b/>
          <w:u w:val="single"/>
        </w:rPr>
        <w:t>Interpretation:</w:t>
      </w:r>
    </w:p>
    <w:p w:rsidR="00112FE4" w:rsidRDefault="00112FE4" w:rsidP="00112FE4">
      <w:r>
        <w:t>The Actual Values fall in the limits of the Forecasted values.</w:t>
      </w:r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501"/>
        <w:gridCol w:w="1549"/>
        <w:gridCol w:w="1549"/>
        <w:gridCol w:w="1549"/>
        <w:gridCol w:w="1549"/>
        <w:gridCol w:w="1879"/>
      </w:tblGrid>
      <w:tr w:rsidR="000769C3" w:rsidRPr="000769C3" w:rsidTr="00076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Merge w:val="restar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CaseNo</w:t>
            </w:r>
            <w:proofErr w:type="spellEnd"/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17" w:type="pct"/>
            <w:gridSpan w:val="5"/>
            <w:noWrap/>
            <w:hideMark/>
          </w:tcPr>
          <w:p w:rsidR="000769C3" w:rsidRPr="000769C3" w:rsidRDefault="000769C3" w:rsidP="00076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Forecasts; Model:(1,1,1) Seasonal lag: 12 (TUT3_2020 A)</w:t>
            </w: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Input: X</w:t>
            </w: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Start of origin: 1 End of origin: 140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vMerge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9" w:type="pct"/>
            <w:hideMark/>
          </w:tcPr>
          <w:p w:rsidR="000769C3" w:rsidRPr="000769C3" w:rsidRDefault="000769C3" w:rsidP="00076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Forecast</w:t>
            </w:r>
          </w:p>
        </w:tc>
        <w:tc>
          <w:tcPr>
            <w:tcW w:w="809" w:type="pct"/>
            <w:hideMark/>
          </w:tcPr>
          <w:p w:rsidR="000769C3" w:rsidRPr="000769C3" w:rsidRDefault="000769C3" w:rsidP="00076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809" w:type="pct"/>
            <w:hideMark/>
          </w:tcPr>
          <w:p w:rsidR="000769C3" w:rsidRPr="000769C3" w:rsidRDefault="000769C3" w:rsidP="00076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809" w:type="pct"/>
            <w:hideMark/>
          </w:tcPr>
          <w:p w:rsidR="000769C3" w:rsidRPr="000769C3" w:rsidRDefault="000769C3" w:rsidP="00076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Upper</w:t>
            </w:r>
          </w:p>
        </w:tc>
        <w:tc>
          <w:tcPr>
            <w:tcW w:w="982" w:type="pct"/>
            <w:hideMark/>
          </w:tcPr>
          <w:p w:rsidR="000769C3" w:rsidRPr="000769C3" w:rsidRDefault="000769C3" w:rsidP="00076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Resids</w:t>
            </w:r>
            <w:proofErr w:type="spellEnd"/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20.05748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20.6234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18.41416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21.70079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0.320271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20.14161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22.27406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17.54091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22.74232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4.547336</w:t>
            </w:r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20.19611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22.90014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16.75264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23.63958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7.311787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20.23141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23.12174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16.02653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24.43628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8.354024</w:t>
            </w:r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20.25427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23.26957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15.35497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25.15357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9.092029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20.26908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24.26084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14.73200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25.80616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15.934147</w:t>
            </w:r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20.27867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24.88724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14.15199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26.40536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21.238894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20.28489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25.35126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13.60969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26.96008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25.668149</w:t>
            </w:r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20.28891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25.05053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13.10038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27.47744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22.673024</w:t>
            </w:r>
          </w:p>
        </w:tc>
      </w:tr>
      <w:tr w:rsidR="000769C3" w:rsidRPr="000769C3" w:rsidTr="0007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20.29152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26.35889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12.61992</w:t>
            </w: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27.96311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69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36.813018</w:t>
            </w:r>
          </w:p>
        </w:tc>
      </w:tr>
      <w:tr w:rsidR="000769C3" w:rsidRPr="000769C3" w:rsidTr="00076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:rsidR="000769C3" w:rsidRPr="000769C3" w:rsidRDefault="000769C3" w:rsidP="000769C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9" w:type="pct"/>
            <w:noWrap/>
            <w:hideMark/>
          </w:tcPr>
          <w:p w:rsidR="000769C3" w:rsidRPr="000769C3" w:rsidRDefault="000769C3" w:rsidP="0007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69C3">
              <w:rPr>
                <w:rFonts w:ascii="Calibri" w:eastAsia="Times New Roman" w:hAnsi="Calibri" w:cs="Calibri"/>
                <w:color w:val="000000"/>
              </w:rPr>
              <w:t xml:space="preserve">MSE = </w:t>
            </w:r>
          </w:p>
        </w:tc>
        <w:tc>
          <w:tcPr>
            <w:tcW w:w="982" w:type="pct"/>
            <w:noWrap/>
            <w:hideMark/>
          </w:tcPr>
          <w:p w:rsidR="000769C3" w:rsidRPr="000769C3" w:rsidRDefault="000769C3" w:rsidP="000769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69C3">
              <w:rPr>
                <w:rFonts w:ascii="Calibri" w:eastAsia="Times New Roman" w:hAnsi="Calibri" w:cs="Calibri"/>
                <w:color w:val="000000"/>
              </w:rPr>
              <w:t>151.952680</w:t>
            </w:r>
          </w:p>
        </w:tc>
      </w:tr>
    </w:tbl>
    <w:p w:rsidR="000769C3" w:rsidRDefault="000769C3" w:rsidP="000769C3"/>
    <w:p w:rsidR="00112FE4" w:rsidRDefault="00112FE4" w:rsidP="00112FE4"/>
    <w:sectPr w:rsidR="0011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D17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23522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51831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018C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03047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C0009"/>
    <w:multiLevelType w:val="hybridMultilevel"/>
    <w:tmpl w:val="51D01940"/>
    <w:lvl w:ilvl="0" w:tplc="1E50311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5E3CD8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73577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E3546"/>
    <w:multiLevelType w:val="hybridMultilevel"/>
    <w:tmpl w:val="EF32120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95551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6199B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F68C0"/>
    <w:multiLevelType w:val="hybridMultilevel"/>
    <w:tmpl w:val="6C686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E4"/>
    <w:rsid w:val="000769C3"/>
    <w:rsid w:val="00112FE4"/>
    <w:rsid w:val="001B05FC"/>
    <w:rsid w:val="00204846"/>
    <w:rsid w:val="00222FD8"/>
    <w:rsid w:val="00413D86"/>
    <w:rsid w:val="004A1AF6"/>
    <w:rsid w:val="004A7850"/>
    <w:rsid w:val="00577512"/>
    <w:rsid w:val="006855D7"/>
    <w:rsid w:val="00701D51"/>
    <w:rsid w:val="00775218"/>
    <w:rsid w:val="007C0705"/>
    <w:rsid w:val="008C56C2"/>
    <w:rsid w:val="00B038D9"/>
    <w:rsid w:val="00B9008C"/>
    <w:rsid w:val="00DA1966"/>
    <w:rsid w:val="00E61180"/>
    <w:rsid w:val="00E87C9B"/>
    <w:rsid w:val="00EA38F9"/>
    <w:rsid w:val="00F9662D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E4"/>
    <w:pPr>
      <w:spacing w:after="160" w:line="259" w:lineRule="auto"/>
      <w:ind w:left="720"/>
      <w:contextualSpacing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E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076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E4"/>
    <w:pPr>
      <w:spacing w:after="160" w:line="259" w:lineRule="auto"/>
      <w:ind w:left="720"/>
      <w:contextualSpacing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E4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076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4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emf"/><Relationship Id="rId28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Actual vs</a:t>
            </a:r>
            <a:r>
              <a:rPr lang="en-US" baseline="0"/>
              <a:t> Forecasted values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Forecast</c:v>
                </c:pt>
              </c:strCache>
            </c:strRef>
          </c:tx>
          <c:marker>
            <c:symbol val="none"/>
          </c:marker>
          <c:val>
            <c:numRef>
              <c:f>Sheet2!$B$3:$B$12</c:f>
              <c:numCache>
                <c:formatCode>0.00000</c:formatCode>
                <c:ptCount val="10"/>
                <c:pt idx="0">
                  <c:v>20.057475466620591</c:v>
                </c:pt>
                <c:pt idx="1">
                  <c:v>20.141611565911784</c:v>
                </c:pt>
                <c:pt idx="2">
                  <c:v>20.196108334645167</c:v>
                </c:pt>
                <c:pt idx="3">
                  <c:v>20.231407068808029</c:v>
                </c:pt>
                <c:pt idx="4">
                  <c:v>20.254270821328774</c:v>
                </c:pt>
                <c:pt idx="5">
                  <c:v>20.269080167661649</c:v>
                </c:pt>
                <c:pt idx="6">
                  <c:v>20.27867250114269</c:v>
                </c:pt>
                <c:pt idx="7">
                  <c:v>20.284885662719397</c:v>
                </c:pt>
                <c:pt idx="8">
                  <c:v>20.288910061668258</c:v>
                </c:pt>
                <c:pt idx="9">
                  <c:v>20.291516751788844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Sheet2!$C$2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val>
            <c:numRef>
              <c:f>Sheet2!$C$3:$C$12</c:f>
              <c:numCache>
                <c:formatCode>General</c:formatCode>
                <c:ptCount val="10"/>
                <c:pt idx="0">
                  <c:v>20.6234</c:v>
                </c:pt>
                <c:pt idx="1">
                  <c:v>22.274059999999999</c:v>
                </c:pt>
                <c:pt idx="2">
                  <c:v>22.90014</c:v>
                </c:pt>
                <c:pt idx="3">
                  <c:v>23.121739999999999</c:v>
                </c:pt>
                <c:pt idx="4">
                  <c:v>23.269570000000002</c:v>
                </c:pt>
                <c:pt idx="5">
                  <c:v>24.260840000000002</c:v>
                </c:pt>
                <c:pt idx="6">
                  <c:v>24.887239999999998</c:v>
                </c:pt>
                <c:pt idx="7">
                  <c:v>25.35126</c:v>
                </c:pt>
                <c:pt idx="8">
                  <c:v>25.050529999999998</c:v>
                </c:pt>
                <c:pt idx="9">
                  <c:v>26.358889999999999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4552832"/>
        <c:axId val="273706368"/>
      </c:lineChart>
      <c:catAx>
        <c:axId val="274552832"/>
        <c:scaling>
          <c:orientation val="minMax"/>
        </c:scaling>
        <c:delete val="0"/>
        <c:axPos val="b"/>
        <c:majorTickMark val="none"/>
        <c:minorTickMark val="none"/>
        <c:tickLblPos val="nextTo"/>
        <c:crossAx val="273706368"/>
        <c:crosses val="autoZero"/>
        <c:auto val="1"/>
        <c:lblAlgn val="ctr"/>
        <c:lblOffset val="100"/>
        <c:noMultiLvlLbl val="0"/>
      </c:catAx>
      <c:valAx>
        <c:axId val="273706368"/>
        <c:scaling>
          <c:orientation val="minMax"/>
        </c:scaling>
        <c:delete val="0"/>
        <c:axPos val="l"/>
        <c:majorGridlines/>
        <c:numFmt formatCode="0.00000" sourceLinked="1"/>
        <c:majorTickMark val="none"/>
        <c:minorTickMark val="none"/>
        <c:tickLblPos val="nextTo"/>
        <c:spPr>
          <a:ln w="9525">
            <a:noFill/>
          </a:ln>
        </c:spPr>
        <c:crossAx val="2745528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2020-02-27T19:01:00Z</dcterms:created>
  <dcterms:modified xsi:type="dcterms:W3CDTF">2020-02-27T20:05:00Z</dcterms:modified>
</cp:coreProperties>
</file>