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 level 1</w:t>
      </w:r>
    </w:p>
    <w:p>
      <w:pPr>
        <w:pStyle w:val="IntenseQuote"/>
      </w:pPr>
      <w:r>
        <w:t>Intense quote</w:t>
      </w:r>
    </w:p>
    <w:p>
      <w:pPr>
        <w:pStyle w:val="ListBullet"/>
      </w:pPr>
      <w:r>
        <w:t>first item in unordered list</w:t>
      </w:r>
    </w:p>
    <w:p>
      <w:pPr>
        <w:pStyle w:val="ListNumber"/>
      </w:pPr>
      <w:r>
        <w:t>first item in ordered list</w:t>
      </w:r>
    </w:p>
    <w:p>
      <w:r>
        <w:drawing>
          <wp:inline xmlns:a="http://schemas.openxmlformats.org/drawingml/2006/main" xmlns:pic="http://schemas.openxmlformats.org/drawingml/2006/picture">
            <wp:extent cx="1143000" cy="152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