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sz w:val="56"/>
          <w:szCs w:val="56"/>
        </w:rPr>
        <w:t xml:space="preserve">Browser Automation Gateway</w:t>
      </w:r>
    </w:p>
    <w:p>
      <w:pPr>
        <w:spacing w:after="480"/>
        <w:jc w:val="center"/>
      </w:pPr>
      <w:r>
        <w:rPr>
          <w:rFonts w:ascii="Calibri" w:cs="Calibri" w:eastAsia="Calibri" w:hAnsi="Calibri"/>
          <w:color w:val="6B6A66"/>
          <w:sz w:val="32"/>
          <w:szCs w:val="32"/>
        </w:rPr>
        <w:t xml:space="preserve">General Architecture Review</w:t>
      </w:r>
    </w:p>
    <w:p>
      <w:pPr>
        <w:spacing w:after="120"/>
        <w:jc w:val="center"/>
      </w:pPr>
      <w:r>
        <w:rPr>
          <w:rFonts w:ascii="Calibri" w:cs="Calibri" w:eastAsia="Calibri" w:hAnsi="Calibri"/>
          <w:color w:val="6B6A66"/>
          <w:sz w:val="20"/>
          <w:szCs w:val="20"/>
        </w:rPr>
        <w:t xml:space="preserve">July 11, 2026  |  JobEngine  |  Repo: Browserbase (web-action-agent)</w:t>
      </w:r>
    </w:p>
    <w:p>
      <w:pPr>
        <w:spacing w:after="200"/>
        <w:jc w:val="center"/>
      </w:pPr>
      <w:r>
        <w:rPr>
          <w:rFonts w:ascii="Calibri" w:cs="Calibri" w:eastAsia="Calibri" w:hAnsi="Calibri"/>
          <w:color w:val="6B6A66"/>
          <w:sz w:val="20"/>
          <w:szCs w:val="20"/>
        </w:rPr>
        <w:t xml:space="preserve">Status: design locked, pre-first-live-run. Prepared with Claude.</w:t>
      </w:r>
    </w:p>
    <w:p>
      <w:pPr>
        <w:pStyle w:val="Heading1"/>
        <w:spacing w:after="160" w:before="320"/>
      </w:pPr>
      <w:r>
        <w:rPr>
          <w:rFonts w:ascii="Calibri" w:cs="Calibri" w:eastAsia="Calibri" w:hAnsi="Calibri"/>
        </w:rPr>
        <w:t xml:space="preserve">1. Executive Summary</w:t>
      </w:r>
    </w:p>
    <w:p>
      <w:pPr>
        <w:spacing w:after="160" w:line="276"/>
      </w:pPr>
      <w:r>
        <w:rPr>
          <w:rFonts w:ascii="Calibri" w:cs="Calibri" w:eastAsia="Calibri" w:hAnsi="Calibri"/>
          <w:b w:val="false"/>
          <w:bCs w:val="false"/>
          <w:i w:val="false"/>
          <w:iCs w:val="false"/>
          <w:sz w:val="22"/>
          <w:szCs w:val="22"/>
        </w:rPr>
        <w:t xml:space="preserve">The Browser Automation Gateway is an internal service that gives JobEngine applications API access to systems that have no API. A caller submits a use case, a client identity, and business data; the gateway resolves the right automation from a catalogue, fetches the right login from 1Password, drives a remote browser on Browserbase, and returns one normalized result envelope. Callers never touch credentials, agent prompts, or browser infrastructure. The first platform is the LightReach / Palmetto financing portal; the design generalizes to ten or more platforms, each potentially operated under five to seven whitelabel client logins.</w:t>
      </w:r>
    </w:p>
    <w:p>
      <w:pPr>
        <w:spacing w:after="160" w:line="276"/>
      </w:pPr>
      <w:r>
        <w:rPr>
          <w:rFonts w:ascii="Calibri" w:cs="Calibri" w:eastAsia="Calibri" w:hAnsi="Calibri"/>
          <w:b w:val="false"/>
          <w:bCs w:val="false"/>
          <w:i w:val="false"/>
          <w:iCs w:val="false"/>
          <w:sz w:val="22"/>
          <w:szCs w:val="22"/>
        </w:rPr>
        <w:t xml:space="preserve">The architecture is sound and deliberately small. Its three strongest decisions are the trust boundary (the gateway container is the only place credentials exist, and callers cannot observe them), the three-outcome envelope (success, failure, and error are distinct, so a negative business answer never looks like a system crash), and the three-dimensional domain model (platform and action define what to do, client defines who to be, and input carries the data plus variant selectors). Whitelabel support is handled by one 1Password item per platform and client pair, with per-client navigation overrides layered over a single base action whose output contract is locked.</w:t>
      </w:r>
    </w:p>
    <w:p>
      <w:pPr>
        <w:spacing w:after="160" w:line="276"/>
      </w:pPr>
      <w:r>
        <w:rPr>
          <w:rFonts w:ascii="Calibri" w:cs="Calibri" w:eastAsia="Calibri" w:hAnsi="Calibri"/>
          <w:b w:val="false"/>
          <w:bCs w:val="false"/>
          <w:i w:val="false"/>
          <w:iCs w:val="false"/>
          <w:sz w:val="22"/>
          <w:szCs w:val="22"/>
        </w:rPr>
        <w:t xml:space="preserve">The main caution flags are operational rather than architectural: no live run has validated the assumed portal field labels, the job store is in-memory, and the codebase does not yet meet several house engineering standards, most notably the TDD mandate, pino structured logging, and the Express/Fastify convention. Section 8 details the adherence review and section 10 orders the remediation.</w:t>
      </w:r>
    </w:p>
    <w:p>
      <w:pPr>
        <w:pStyle w:val="Heading1"/>
        <w:spacing w:after="160" w:before="320"/>
      </w:pPr>
      <w:r>
        <w:rPr>
          <w:rFonts w:ascii="Calibri" w:cs="Calibri" w:eastAsia="Calibri" w:hAnsi="Calibri"/>
        </w:rPr>
        <w:t xml:space="preserve">2. System Overview</w:t>
      </w:r>
    </w:p>
    <w:p>
      <w:pPr>
        <w:spacing w:after="160" w:line="276"/>
      </w:pPr>
      <w:r>
        <w:rPr>
          <w:rFonts w:ascii="Calibri" w:cs="Calibri" w:eastAsia="Calibri" w:hAnsi="Calibri"/>
          <w:b w:val="false"/>
          <w:bCs w:val="false"/>
          <w:i w:val="false"/>
          <w:iCs w:val="false"/>
          <w:sz w:val="22"/>
          <w:szCs w:val="22"/>
        </w:rPr>
        <w:t xml:space="preserve">The gateway is one container exposing a small async API. A job request has three dimensions plus payload: useCase (a namespaced platform.action key such as lightreach.milestoneStatus), client (the whitelabel identity to log in as, such as lgcyco), and input (business data validated against the action's schema, including variant selectors such as milestone: NTP).</w:t>
      </w:r>
    </w:p>
    <w:p>
      <w:pPr>
        <w:spacing w:after="160" w:line="276"/>
      </w:pPr>
      <w:r>
        <w:rPr>
          <w:rFonts w:ascii="Calibri" w:cs="Calibri" w:eastAsia="Calibri" w:hAnsi="Calibri"/>
          <w:b w:val="false"/>
          <w:bCs w:val="false"/>
          <w:i w:val="false"/>
          <w:iCs w:val="false"/>
          <w:sz w:val="22"/>
          <w:szCs w:val="22"/>
        </w:rPr>
        <w:t xml:space="preserve">Internally the container is four modules. server.ts is the HTTP front door: it authenticates callers, accepts jobs, returns 202 with a jobId immediately, and serves results on poll. catalogue.ts is the registry of platforms, actions, and client rosters; all portal-specific knowledge lives there and nowhere else. secrets.ts resolves credentials just in time from 1Password, keyed by platform and client. runner.ts orchestrates one job end to end: validate, merge client overrides, resolve credentials, run the Stagehand agent loop against a Browserbase remote browser, and map the outcome onto the envelope.</w:t>
      </w:r>
    </w:p>
    <w:p>
      <w:pPr>
        <w:spacing w:after="160" w:line="276"/>
      </w:pPr>
      <w:r>
        <w:rPr>
          <w:rFonts w:ascii="Calibri" w:cs="Calibri" w:eastAsia="Calibri" w:hAnsi="Calibri"/>
          <w:b w:val="false"/>
          <w:bCs w:val="false"/>
          <w:i w:val="false"/>
          <w:iCs w:val="false"/>
          <w:sz w:val="22"/>
          <w:szCs w:val="22"/>
        </w:rPr>
        <w:t xml:space="preserve">Three design decisions are locked from the earlier design sessions: credentials are fetched just in time via the 1Password CLI rather than baked into environments or hosted agents; the runner is self-hosted Stagehand rather than Browserbase hosted agents, because hosted agents cannot cleanly do op credential injection; and the API is async plus poll rather than synchronous, because browser runs take tens of seconds.</w:t>
      </w:r>
    </w:p>
    <w:p>
      <w:pPr>
        <w:spacing w:after="160" w:line="276"/>
      </w:pPr>
      <w:r>
        <w:rPr>
          <w:rFonts w:ascii="Calibri" w:cs="Calibri" w:eastAsia="Calibri" w:hAnsi="Calibri"/>
          <w:b w:val="false"/>
          <w:bCs w:val="false"/>
          <w:i w:val="false"/>
          <w:iCs w:val="false"/>
          <w:sz w:val="22"/>
          <w:szCs w:val="22"/>
        </w:rPr>
        <w:t xml:space="preserve">The trust boundary is the gateway process. The container's only long-lived secrets are vault-scoped 1Password service account tokens. Per-portal, per-client login credentials exist in memory only for the duration of a run, are typed into pages as Stagehand variables that never appear in LLM prompts, and are redacted from logs.</w:t>
      </w:r>
    </w:p>
    <w:p>
      <w:pPr>
        <w:pStyle w:val="Heading1"/>
        <w:spacing w:after="160" w:before="320"/>
      </w:pPr>
      <w:r>
        <w:rPr>
          <w:rFonts w:ascii="Calibri" w:cs="Calibri" w:eastAsia="Calibri" w:hAnsi="Calibri"/>
        </w:rPr>
        <w:t xml:space="preserve">3. Domain Model: Platforms, Actions, Clients</w:t>
      </w:r>
    </w:p>
    <w:p>
      <w:pPr>
        <w:spacing w:after="160" w:line="276"/>
      </w:pPr>
      <w:r>
        <w:rPr>
          <w:rFonts w:ascii="Calibri" w:cs="Calibri" w:eastAsia="Calibri" w:hAnsi="Calibri"/>
          <w:b w:val="false"/>
          <w:bCs w:val="false"/>
          <w:i w:val="false"/>
          <w:iCs w:val="false"/>
          <w:sz w:val="22"/>
          <w:szCs w:val="22"/>
        </w:rPr>
        <w:t xml:space="preserve">A platform is a website the gateway can drive (LightReach, a vendor portal, a permitting site). An action is defined once per platform and owns the full contract: a zod input schema (including enums for variants such as milestones or funding tranches), a goal builder that merges business data into the agent instruction, and an extract schema that fixes the exact shape of the data returned. A client is a whitelabel login on that platform, expected at a scale of five to seven per platform.</w:t>
      </w:r>
    </w:p>
    <w:p>
      <w:pPr>
        <w:spacing w:after="160" w:line="276"/>
      </w:pPr>
      <w:r>
        <w:rPr>
          <w:rFonts w:ascii="Calibri" w:cs="Calibri" w:eastAsia="Calibri" w:hAnsi="Calibri"/>
          <w:b w:val="false"/>
          <w:bCs w:val="false"/>
          <w:i w:val="false"/>
          <w:iCs w:val="false"/>
          <w:sz w:val="22"/>
          <w:szCs w:val="22"/>
        </w:rPr>
        <w:t xml:space="preserve">Two rules keep the model from exploding combinatorially. First, identity never lives in the use case key. An early sketch (lgcyco.lightreach.ntp.approved) would have multiplied entries by clients and by milestone; instead client is a separate request field, and the milestone is an input enum, so one milestoneStatus action serves every brand and every milestone. Second, client differences are expressed as navigation overrides layered over the base action: a label map (NTP Date becomes Notice to Proceed Date on brandx), an alternate start URL, extra goal hints, or a timeout. Overrides merge at job time. The extract schema never merges: callers receive one shape per action regardless of which brand the agent logged into.</w:t>
      </w:r>
    </w:p>
    <w:p>
      <w:pPr>
        <w:spacing w:after="160" w:line="276"/>
      </w:pPr>
      <w:r>
        <w:rPr>
          <w:rFonts w:ascii="Calibri" w:cs="Calibri" w:eastAsia="Calibri" w:hAnsi="Calibri"/>
          <w:b w:val="false"/>
          <w:bCs w:val="false"/>
          <w:i w:val="false"/>
          <w:iCs w:val="false"/>
          <w:sz w:val="22"/>
          <w:szCs w:val="22"/>
        </w:rPr>
        <w:t xml:space="preserve">The escape hatch is explicit: if a client's layout diverges so far that even the data shape changes, that is not an override but a new action, with the client pinned to it. The admin console surfaces override counts per client, because a client that overrides most actions is really a different platform wearing the same name, and the honest fix is to model it as one.</w:t>
      </w:r>
    </w:p>
    <w:p>
      <w:pPr>
        <w:pStyle w:val="Heading1"/>
        <w:spacing w:after="160" w:before="320"/>
      </w:pPr>
      <w:r>
        <w:rPr>
          <w:rFonts w:ascii="Calibri" w:cs="Calibri" w:eastAsia="Calibri" w:hAnsi="Calibri"/>
        </w:rPr>
        <w:t xml:space="preserve">4. Request Lifecycle</w:t>
      </w:r>
    </w:p>
    <w:p>
      <w:pPr>
        <w:spacing w:after="160" w:line="276"/>
      </w:pPr>
      <w:r>
        <w:rPr>
          <w:rFonts w:ascii="Calibri" w:cs="Calibri" w:eastAsia="Calibri" w:hAnsi="Calibri"/>
          <w:b w:val="false"/>
          <w:bCs w:val="false"/>
          <w:i w:val="false"/>
          <w:iCs w:val="false"/>
          <w:sz w:val="22"/>
          <w:szCs w:val="22"/>
        </w:rPr>
        <w:t xml:space="preserve">A job passes through ten steps, each of which can produce an explicit, coded error rather than a silent failure:</w:t>
      </w:r>
    </w:p>
    <w:p>
      <w:pPr>
        <w:pStyle w:val="ListParagraph"/>
        <w:numPr>
          <w:ilvl w:val="0"/>
          <w:numId w:val="2"/>
        </w:numPr>
        <w:spacing w:after="100" w:line="276"/>
      </w:pPr>
      <w:r>
        <w:rPr>
          <w:rFonts w:ascii="Calibri" w:cs="Calibri" w:eastAsia="Calibri" w:hAnsi="Calibri"/>
          <w:sz w:val="22"/>
          <w:szCs w:val="22"/>
        </w:rPr>
        <w:t xml:space="preserve">Submit: the caller POSTs {useCase, client, input}; the server checks the caller's scope for that useCase and client pair and replies 202 with a jobId.</w:t>
      </w:r>
    </w:p>
    <w:p>
      <w:pPr>
        <w:pStyle w:val="ListParagraph"/>
        <w:numPr>
          <w:ilvl w:val="0"/>
          <w:numId w:val="2"/>
        </w:numPr>
        <w:spacing w:after="100" w:line="276"/>
      </w:pPr>
      <w:r>
        <w:rPr>
          <w:rFonts w:ascii="Calibri" w:cs="Calibri" w:eastAsia="Calibri" w:hAnsi="Calibri"/>
          <w:sz w:val="22"/>
          <w:szCs w:val="22"/>
        </w:rPr>
        <w:t xml:space="preserve">Resolve: getEntry(useCase) finds the platform and action; unknown keys fail fast.</w:t>
      </w:r>
    </w:p>
    <w:p>
      <w:pPr>
        <w:pStyle w:val="ListParagraph"/>
        <w:numPr>
          <w:ilvl w:val="0"/>
          <w:numId w:val="2"/>
        </w:numPr>
        <w:spacing w:after="100" w:line="276"/>
      </w:pPr>
      <w:r>
        <w:rPr>
          <w:rFonts w:ascii="Calibri" w:cs="Calibri" w:eastAsia="Calibri" w:hAnsi="Calibri"/>
          <w:sz w:val="22"/>
          <w:szCs w:val="22"/>
        </w:rPr>
        <w:t xml:space="preserve">Validate: the action's zod inputSchema checks the payload, including variant enums; invalid input never reaches a browser.</w:t>
      </w:r>
    </w:p>
    <w:p>
      <w:pPr>
        <w:pStyle w:val="ListParagraph"/>
        <w:numPr>
          <w:ilvl w:val="0"/>
          <w:numId w:val="2"/>
        </w:numPr>
        <w:spacing w:after="100" w:line="276"/>
      </w:pPr>
      <w:r>
        <w:rPr>
          <w:rFonts w:ascii="Calibri" w:cs="Calibri" w:eastAsia="Calibri" w:hAnsi="Calibri"/>
          <w:sz w:val="22"/>
          <w:szCs w:val="22"/>
        </w:rPr>
        <w:t xml:space="preserve">Merge: the client's override for this action, if any, merges over the base definition; the extract schema is excluded from the merge.</w:t>
      </w:r>
    </w:p>
    <w:p>
      <w:pPr>
        <w:pStyle w:val="ListParagraph"/>
        <w:numPr>
          <w:ilvl w:val="0"/>
          <w:numId w:val="2"/>
        </w:numPr>
        <w:spacing w:after="100" w:line="276"/>
      </w:pPr>
      <w:r>
        <w:rPr>
          <w:rFonts w:ascii="Calibri" w:cs="Calibri" w:eastAsia="Calibri" w:hAnsi="Calibri"/>
          <w:sz w:val="22"/>
          <w:szCs w:val="22"/>
        </w:rPr>
        <w:t xml:space="preserve">Credentials: secrets.ts consults its 60 second cache, then op reads username, password, and TOTP from op://&lt;vault&gt;/&lt;platform&gt;.&lt;client&gt;; jobs sharing a login are serialized so sessions cannot log each other out.</w:t>
      </w:r>
    </w:p>
    <w:p>
      <w:pPr>
        <w:pStyle w:val="ListParagraph"/>
        <w:numPr>
          <w:ilvl w:val="0"/>
          <w:numId w:val="2"/>
        </w:numPr>
        <w:spacing w:after="100" w:line="276"/>
      </w:pPr>
      <w:r>
        <w:rPr>
          <w:rFonts w:ascii="Calibri" w:cs="Calibri" w:eastAsia="Calibri" w:hAnsi="Calibri"/>
          <w:sz w:val="22"/>
          <w:szCs w:val="22"/>
        </w:rPr>
        <w:t xml:space="preserve">Goal: buildGoal(input) produces the instruction text; override hints and label mappings are appended for the brand's layout.</w:t>
      </w:r>
    </w:p>
    <w:p>
      <w:pPr>
        <w:pStyle w:val="ListParagraph"/>
        <w:numPr>
          <w:ilvl w:val="0"/>
          <w:numId w:val="2"/>
        </w:numPr>
        <w:spacing w:after="100" w:line="276"/>
      </w:pPr>
      <w:r>
        <w:rPr>
          <w:rFonts w:ascii="Calibri" w:cs="Calibri" w:eastAsia="Calibri" w:hAnsi="Calibri"/>
          <w:sz w:val="22"/>
          <w:szCs w:val="22"/>
        </w:rPr>
        <w:t xml:space="preserve">Launch: runAgent opens a Stagehand session on a Browserbase remote browser; session id and replay URL are captured.</w:t>
      </w:r>
    </w:p>
    <w:p>
      <w:pPr>
        <w:pStyle w:val="ListParagraph"/>
        <w:numPr>
          <w:ilvl w:val="0"/>
          <w:numId w:val="2"/>
        </w:numPr>
        <w:spacing w:after="100" w:line="276"/>
      </w:pPr>
      <w:r>
        <w:rPr>
          <w:rFonts w:ascii="Calibri" w:cs="Calibri" w:eastAsia="Calibri" w:hAnsi="Calibri"/>
          <w:sz w:val="22"/>
          <w:szCs w:val="22"/>
        </w:rPr>
        <w:t xml:space="preserve">Login: credentials are injected as Stagehand variables and typed into the brand's login form; they never enter an LLM prompt and are redacted from logs.</w:t>
      </w:r>
    </w:p>
    <w:p>
      <w:pPr>
        <w:pStyle w:val="ListParagraph"/>
        <w:numPr>
          <w:ilvl w:val="0"/>
          <w:numId w:val="2"/>
        </w:numPr>
        <w:spacing w:after="100" w:line="276"/>
      </w:pPr>
      <w:r>
        <w:rPr>
          <w:rFonts w:ascii="Calibri" w:cs="Calibri" w:eastAsia="Calibri" w:hAnsi="Calibri"/>
          <w:sz w:val="22"/>
          <w:szCs w:val="22"/>
        </w:rPr>
        <w:t xml:space="preserve">Execute: the agent performs the read-only goal, verifying the record match (name and address) before extracting per the locked schema.</w:t>
      </w:r>
    </w:p>
    <w:p>
      <w:pPr>
        <w:pStyle w:val="ListParagraph"/>
        <w:numPr>
          <w:ilvl w:val="0"/>
          <w:numId w:val="2"/>
        </w:numPr>
        <w:spacing w:after="100" w:line="276"/>
      </w:pPr>
      <w:r>
        <w:rPr>
          <w:rFonts w:ascii="Calibri" w:cs="Calibri" w:eastAsia="Calibri" w:hAnsi="Calibri"/>
          <w:sz w:val="22"/>
          <w:szCs w:val="22"/>
        </w:rPr>
        <w:t xml:space="preserve">Deliver: the runner maps the outcome to success, failure, or error, writes the envelope with client and credential item in meta, and the caller collects it by polling.</w:t>
      </w:r>
    </w:p>
    <w:p>
      <w:pPr>
        <w:pStyle w:val="Heading1"/>
        <w:spacing w:after="160" w:before="320"/>
      </w:pPr>
      <w:r>
        <w:rPr>
          <w:rFonts w:ascii="Calibri" w:cs="Calibri" w:eastAsia="Calibri" w:hAnsi="Calibri"/>
        </w:rPr>
        <w:t xml:space="preserve">5. Credential Architecture (1Password)</w:t>
      </w:r>
    </w:p>
    <w:p>
      <w:pPr>
        <w:spacing w:after="160" w:line="276"/>
      </w:pPr>
      <w:r>
        <w:rPr>
          <w:rFonts w:ascii="Calibri" w:cs="Calibri" w:eastAsia="Calibri" w:hAnsi="Calibri"/>
          <w:b w:val="false"/>
          <w:bCs w:val="false"/>
          <w:i w:val="false"/>
          <w:iCs w:val="false"/>
          <w:sz w:val="22"/>
          <w:szCs w:val="22"/>
        </w:rPr>
        <w:t xml:space="preserve">Credential storage follows three rules of one. One vault per domain: finance portals live in the Portals vault, government and utility sites in their own vault, and so on; Portals was simply first. One login item per platform and client pair, named platform.client (lightreach.lgcyco, lightreach.brandx), holding username, password, and a one-time password field where the portal uses 2FA. One service account per vault, so the blast radius of a leaked token is a single domain rather than every credential the company holds.</w:t>
      </w:r>
    </w:p>
    <w:p>
      <w:pPr>
        <w:spacing w:after="160" w:line="276"/>
      </w:pPr>
      <w:r>
        <w:rPr>
          <w:rFonts w:ascii="Calibri" w:cs="Calibri" w:eastAsia="Calibri" w:hAnsi="Calibri"/>
          <w:b w:val="false"/>
          <w:bCs w:val="false"/>
          <w:i w:val="false"/>
          <w:iCs w:val="false"/>
          <w:sz w:val="22"/>
          <w:szCs w:val="22"/>
        </w:rPr>
        <w:t xml:space="preserve">At run time, secrets.ts performs op read against the item's fields, caches results for 60 seconds per platform and client pair to respect service account rate limits, and injects values as Stagehand variables. Rotation happens entirely in 1Password with no code change or redeploy; the next run picks up the new secret. For local development without a service account, the resolver falls back to PORTAL_&lt;KEY&gt;_USERNAME / _PASSWORD / _OTP environment variables, exercising the same code path.</w:t>
      </w:r>
    </w:p>
    <w:p>
      <w:pPr>
        <w:spacing w:after="160" w:line="276"/>
      </w:pPr>
      <w:r>
        <w:rPr>
          <w:rFonts w:ascii="Calibri" w:cs="Calibri" w:eastAsia="Calibri" w:hAnsi="Calibri"/>
          <w:b w:val="false"/>
          <w:bCs w:val="false"/>
          <w:i w:val="false"/>
          <w:iCs w:val="false"/>
          <w:sz w:val="22"/>
          <w:szCs w:val="22"/>
        </w:rPr>
        <w:t xml:space="preserve">Two constraints are documented and non-negotiable. The 1Password browser extension is never installed inside Browserbase sessions, because the extension flow requires a persistent desktop app that an ephemeral cloud browser cannot provide. And planned Browserbase Contexts (pre-warmed logins that skip the login step) are maintained per platform and client pair as a fast path only, with JIT op read remaining the fallback, because portals force logouts at will.</w:t>
      </w:r>
    </w:p>
    <w:p>
      <w:pPr>
        <w:spacing w:after="160" w:line="276"/>
      </w:pPr>
      <w:r>
        <w:rPr>
          <w:rFonts w:ascii="Calibri" w:cs="Calibri" w:eastAsia="Calibri" w:hAnsi="Calibri"/>
          <w:b w:val="false"/>
          <w:bCs w:val="false"/>
          <w:i w:val="false"/>
          <w:iCs w:val="false"/>
          <w:sz w:val="22"/>
          <w:szCs w:val="22"/>
        </w:rPr>
        <w:t xml:space="preserve">Planned hardening: replace the op CLI with the 1Password SDK for a long-running service, sanitize subprocess errors so tokens and secrets can never leak into logs through error messages, and address items by ID rather than name in hot paths to stay under rate limits.</w:t>
      </w:r>
    </w:p>
    <w:p>
      <w:pPr>
        <w:pStyle w:val="Heading1"/>
        <w:spacing w:after="160" w:before="320"/>
      </w:pPr>
      <w:r>
        <w:rPr>
          <w:rFonts w:ascii="Calibri" w:cs="Calibri" w:eastAsia="Calibri" w:hAnsi="Calibri"/>
        </w:rPr>
        <w:t xml:space="preserve">6.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860"/>
      </w:tblGrid>
      <w:tr>
        <w:tc>
          <w:tcPr>
            <w:tcW w:type="dxa" w:w="1300"/>
            <w:shd w:fill="EDEBE6" w:val="clear"/>
            <w:tcMar>
              <w:top w:type="dxa" w:w="60"/>
              <w:left w:type="dxa" w:w="100"/>
              <w:bottom w:type="dxa" w:w="60"/>
              <w:right w:type="dxa" w:w="100"/>
            </w:tcMar>
          </w:tcPr>
          <w:p>
            <w:pPr>
              <w:spacing w:after="0" w:line="252"/>
            </w:pPr>
            <w:r>
              <w:rPr>
                <w:rFonts w:ascii="Calibri" w:cs="Calibri" w:eastAsia="Calibri" w:hAnsi="Calibri"/>
                <w:b/>
                <w:bCs/>
                <w:sz w:val="20"/>
                <w:szCs w:val="20"/>
              </w:rPr>
              <w:t xml:space="preserve">Method</w:t>
            </w:r>
          </w:p>
        </w:tc>
        <w:tc>
          <w:tcPr>
            <w:tcW w:type="dxa" w:w="2200"/>
            <w:shd w:fill="EDEBE6" w:val="clear"/>
            <w:tcMar>
              <w:top w:type="dxa" w:w="60"/>
              <w:left w:type="dxa" w:w="100"/>
              <w:bottom w:type="dxa" w:w="60"/>
              <w:right w:type="dxa" w:w="100"/>
            </w:tcMar>
          </w:tcPr>
          <w:p>
            <w:pPr>
              <w:spacing w:after="0" w:line="252"/>
            </w:pPr>
            <w:r>
              <w:rPr>
                <w:rFonts w:ascii="Calibri" w:cs="Calibri" w:eastAsia="Calibri" w:hAnsi="Calibri"/>
                <w:b/>
                <w:bCs/>
                <w:sz w:val="20"/>
                <w:szCs w:val="20"/>
              </w:rPr>
              <w:t xml:space="preserve">Path</w:t>
            </w:r>
          </w:p>
        </w:tc>
        <w:tc>
          <w:tcPr>
            <w:tcW w:type="dxa" w:w="5860"/>
            <w:shd w:fill="EDEBE6" w:val="clear"/>
            <w:tcMar>
              <w:top w:type="dxa" w:w="60"/>
              <w:left w:type="dxa" w:w="100"/>
              <w:bottom w:type="dxa" w:w="60"/>
              <w:right w:type="dxa" w:w="100"/>
            </w:tcMar>
          </w:tcPr>
          <w:p>
            <w:pPr>
              <w:spacing w:after="0" w:line="252"/>
            </w:pPr>
            <w:r>
              <w:rPr>
                <w:rFonts w:ascii="Calibri" w:cs="Calibri" w:eastAsia="Calibri" w:hAnsi="Calibri"/>
                <w:b/>
                <w:bCs/>
                <w:sz w:val="20"/>
                <w:szCs w:val="20"/>
              </w:rPr>
              <w:t xml:space="preserve">Purpose</w:t>
            </w:r>
          </w:p>
        </w:tc>
      </w:tr>
      <w:tr>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GET</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/health</w:t>
            </w:r>
          </w:p>
        </w:tc>
        <w:tc>
          <w:tcPr>
            <w:tcW w:type="dxa" w:w="58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Liveness check: { ok: true }</w:t>
            </w:r>
          </w:p>
        </w:tc>
      </w:tr>
      <w:tr>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GET</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/catalogue</w:t>
            </w:r>
          </w:p>
        </w:tc>
        <w:tc>
          <w:tcPr>
            <w:tcW w:type="dxa" w:w="58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Discover platforms, actions, variants, and clients</w:t>
            </w:r>
          </w:p>
        </w:tc>
      </w:tr>
      <w:tr>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POST</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/jobs</w:t>
            </w:r>
          </w:p>
        </w:tc>
        <w:tc>
          <w:tcPr>
            <w:tcW w:type="dxa" w:w="58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{useCase, client, input}; returns 202 {jobId, state}</w:t>
            </w:r>
          </w:p>
        </w:tc>
      </w:tr>
      <w:tr>
        <w:tc>
          <w:tcPr>
            <w:tcW w:type="dxa" w:w="1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GET</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/jobs/:id</w:t>
            </w:r>
          </w:p>
        </w:tc>
        <w:tc>
          <w:tcPr>
            <w:tcW w:type="dxa" w:w="58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{state, envelope?}; poll until state is DONE</w:t>
            </w:r>
          </w:p>
        </w:tc>
      </w:tr>
    </w:tbl>
    <w:p>
      <w:pPr>
        <w:spacing w:after="160" w:line="276"/>
      </w:pPr>
      <w:r>
        <w:rPr>
          <w:rFonts w:ascii="Calibri" w:cs="Calibri" w:eastAsia="Calibri" w:hAnsi="Calibri"/>
          <w:b w:val="false"/>
          <w:bCs w:val="false"/>
          <w:i w:val="false"/>
          <w:iCs w:val="false"/>
          <w:sz w:val="22"/>
          <w:szCs w:val="22"/>
        </w:rPr>
        <w:t xml:space="preserve"/>
      </w:r>
    </w:p>
    <w:p>
      <w:pPr>
        <w:spacing w:after="160" w:line="276"/>
      </w:pPr>
      <w:r>
        <w:rPr>
          <w:rFonts w:ascii="Calibri" w:cs="Calibri" w:eastAsia="Calibri" w:hAnsi="Calibri"/>
          <w:b w:val="false"/>
          <w:bCs w:val="false"/>
          <w:i w:val="false"/>
          <w:iCs w:val="false"/>
          <w:sz w:val="22"/>
          <w:szCs w:val="22"/>
        </w:rPr>
        <w:t xml:space="preserve">Every completed job returns the same envelope: jobId, useCase, client, a status of success, failure, or error, a data object shaped by the action's extract schema, an error object with a machine-readable code (AUTH_REQUIRED, LOGIN_FAILED, MATCH_FAILED, FIELD_NOT_FOUND, TIMEOUT, and so on), and a meta block carrying the Browserbase session id, the session replay URL, the credential item that ran, timestamps, duration, and attempt count. The three-way status split is the contract's most valuable property: failure means the automation ran cleanly and the answer was negative (no matching record, blank field), while error means the system itself had a problem. Callers can safely automate on failure and alert on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DEBE6" w:val="clear"/>
            <w:tcMar>
              <w:top w:type="dxa" w:w="60"/>
              <w:left w:type="dxa" w:w="100"/>
              <w:bottom w:type="dxa" w:w="60"/>
              <w:right w:type="dxa" w:w="100"/>
            </w:tcMar>
          </w:tcPr>
          <w:p>
            <w:pPr>
              <w:spacing w:after="0" w:line="252"/>
            </w:pPr>
            <w:r>
              <w:rPr>
                <w:rFonts w:ascii="Calibri" w:cs="Calibri" w:eastAsia="Calibri" w:hAnsi="Calibri"/>
                <w:b/>
                <w:bCs/>
                <w:sz w:val="20"/>
                <w:szCs w:val="20"/>
              </w:rPr>
              <w:t xml:space="preserve">Status</w:t>
            </w:r>
          </w:p>
        </w:tc>
        <w:tc>
          <w:tcPr>
            <w:tcW w:type="dxa" w:w="7560"/>
            <w:shd w:fill="EDEBE6" w:val="clear"/>
            <w:tcMar>
              <w:top w:type="dxa" w:w="60"/>
              <w:left w:type="dxa" w:w="100"/>
              <w:bottom w:type="dxa" w:w="60"/>
              <w:right w:type="dxa" w:w="100"/>
            </w:tcMar>
          </w:tcPr>
          <w:p>
            <w:pPr>
              <w:spacing w:after="0" w:line="252"/>
            </w:pPr>
            <w:r>
              <w:rPr>
                <w:rFonts w:ascii="Calibri" w:cs="Calibri" w:eastAsia="Calibri" w:hAnsi="Calibri"/>
                <w:b/>
                <w:bCs/>
                <w:sz w:val="20"/>
                <w:szCs w:val="20"/>
              </w:rPr>
              <w:t xml:space="preserve">Meaning</w:t>
            </w:r>
          </w:p>
        </w:tc>
      </w:tr>
      <w:tr>
        <w:tc>
          <w:tcPr>
            <w:tcW w:type="dxa" w:w="1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success</w:t>
            </w:r>
          </w:p>
        </w:tc>
        <w:tc>
          <w:tcPr>
            <w:tcW w:type="dxa" w:w="7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Goal met: record found, match verified, data extracted (a legitimately blank field still counts as read)</w:t>
            </w:r>
          </w:p>
        </w:tc>
      </w:tr>
      <w:tr>
        <w:tc>
          <w:tcPr>
            <w:tcW w:type="dxa" w:w="1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failure</w:t>
            </w:r>
          </w:p>
        </w:tc>
        <w:tc>
          <w:tcPr>
            <w:tcW w:type="dxa" w:w="7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Ran cleanly with a negative outcome: no confident match, missing record</w:t>
            </w:r>
          </w:p>
        </w:tc>
      </w:tr>
      <w:tr>
        <w:tc>
          <w:tcPr>
            <w:tcW w:type="dxa" w:w="1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error</w:t>
            </w:r>
          </w:p>
        </w:tc>
        <w:tc>
          <w:tcPr>
            <w:tcW w:type="dxa" w:w="7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System, auth, or navigation problem: login failure, timeout, portal change</w:t>
            </w:r>
          </w:p>
        </w:tc>
      </w:tr>
    </w:tbl>
    <w:p>
      <w:pPr>
        <w:spacing w:after="160" w:line="276"/>
      </w:pPr>
      <w:r>
        <w:rPr>
          <w:rFonts w:ascii="Calibri" w:cs="Calibri" w:eastAsia="Calibri" w:hAnsi="Calibri"/>
          <w:b w:val="false"/>
          <w:bCs w:val="false"/>
          <w:i w:val="false"/>
          <w:iCs w:val="false"/>
          <w:sz w:val="22"/>
          <w:szCs w:val="22"/>
        </w:rPr>
        <w:t xml:space="preserve"/>
      </w:r>
    </w:p>
    <w:p>
      <w:pPr>
        <w:spacing w:after="160" w:line="276"/>
      </w:pPr>
      <w:r>
        <w:rPr>
          <w:rFonts w:ascii="Calibri" w:cs="Calibri" w:eastAsia="Calibri" w:hAnsi="Calibri"/>
          <w:b w:val="false"/>
          <w:bCs w:val="false"/>
          <w:i w:val="false"/>
          <w:iCs w:val="false"/>
          <w:sz w:val="22"/>
          <w:szCs w:val="22"/>
        </w:rPr>
        <w:t xml:space="preserve">Callers authenticate with bearer tokens (GATEWAY_TOKEN scheme today, per-caller tokens in the admin design), and authorization is scoped per useCase and client pair, so an intake app can be allowed to run milestoneStatus for lgcyco and brandx and nothing else. Webhooks do not exist yet; integration is poll-based.</w:t>
      </w:r>
    </w:p>
    <w:p>
      <w:pPr>
        <w:pStyle w:val="Heading1"/>
        <w:spacing w:after="160" w:before="320"/>
      </w:pPr>
      <w:r>
        <w:rPr>
          <w:rFonts w:ascii="Calibri" w:cs="Calibri" w:eastAsia="Calibri" w:hAnsi="Calibri"/>
        </w:rPr>
        <w:t xml:space="preserve">7. Administration and Operations</w:t>
      </w:r>
    </w:p>
    <w:p>
      <w:pPr>
        <w:spacing w:after="160" w:line="276"/>
      </w:pPr>
      <w:r>
        <w:rPr>
          <w:rFonts w:ascii="Calibri" w:cs="Calibri" w:eastAsia="Calibri" w:hAnsi="Calibri"/>
          <w:b w:val="false"/>
          <w:bCs w:val="false"/>
          <w:i w:val="false"/>
          <w:iCs w:val="false"/>
          <w:sz w:val="22"/>
          <w:szCs w:val="22"/>
        </w:rPr>
        <w:t xml:space="preserve">The admin console design (mocked in admin-console-mockup.html) is organized platform-first: the catalogue lists platforms, a platform opens into its actions and its client roster side by side, and each client row shows its 1Password item, credential health, Context warmth, and override count. The action editor exposes the base definition with a per-client override list; the override editor allows label maps, goal hints, alternate URLs, and timeouts, and visibly locks the extract schema. Test runs can be fired per action per client against a known record, and are excluded from caller statistics.</w:t>
      </w:r>
    </w:p>
    <w:p>
      <w:pPr>
        <w:spacing w:after="160" w:line="276"/>
      </w:pPr>
      <w:r>
        <w:rPr>
          <w:rFonts w:ascii="Calibri" w:cs="Calibri" w:eastAsia="Calibri" w:hAnsi="Calibri"/>
          <w:b w:val="false"/>
          <w:bCs w:val="false"/>
          <w:i w:val="false"/>
          <w:iCs w:val="false"/>
          <w:sz w:val="22"/>
          <w:szCs w:val="22"/>
        </w:rPr>
        <w:t xml:space="preserve">Operational surfaces include a jobs table with client and outcome filters and a per-job drawer showing the full envelope, timeline, and replay link with retry and cancel controls; a credentials page grouped by platform with per-client login tests and Context re-warming; vault management with service account token age, rate budget, and rotation; runner policy (risk gates, execution limits, model selection, credential fast path); caller token issuance with useCase by client scopes; a canary matrix that runs a scheduled known-record job per platform and client pair, plus a layout-drift alert for canaries that pass but needed label fallbacks; and an append-only audit log of every admin action.</w:t>
      </w:r>
    </w:p>
    <w:p>
      <w:pPr>
        <w:spacing w:after="160" w:line="276"/>
      </w:pPr>
      <w:r>
        <w:rPr>
          <w:rFonts w:ascii="Calibri" w:cs="Calibri" w:eastAsia="Calibri" w:hAnsi="Calibri"/>
          <w:b w:val="false"/>
          <w:bCs w:val="false"/>
          <w:i w:val="false"/>
          <w:iCs w:val="false"/>
          <w:sz w:val="22"/>
          <w:szCs w:val="22"/>
        </w:rPr>
        <w:t xml:space="preserve">One open decision matters more than the rest: whether console edits write to a config store the gateway reads, or open a pull request against catalogue.ts. Because entries are code (zod schemas and goal builders), the recommendation is the PR route first: it inherits review, rollback, and history for free, at the cost of slower edits. A config-store path can come later for the subset of fields that are safely data (enable flags, label maps, timeouts).</w:t>
      </w:r>
    </w:p>
    <w:p>
      <w:pPr>
        <w:pStyle w:val="Heading1"/>
        <w:spacing w:after="160" w:before="320"/>
      </w:pPr>
      <w:r>
        <w:rPr>
          <w:rFonts w:ascii="Calibri" w:cs="Calibri" w:eastAsia="Calibri" w:hAnsi="Calibri"/>
        </w:rPr>
        <w:t xml:space="preserve">8. Dev Philosophy Adherence Review</w:t>
      </w:r>
    </w:p>
    <w:p>
      <w:pPr>
        <w:spacing w:after="160" w:line="276"/>
      </w:pPr>
      <w:r>
        <w:rPr>
          <w:rFonts w:ascii="Calibri" w:cs="Calibri" w:eastAsia="Calibri" w:hAnsi="Calibri"/>
          <w:b w:val="false"/>
          <w:bCs w:val="false"/>
          <w:i w:val="false"/>
          <w:iCs w:val="false"/>
          <w:sz w:val="22"/>
          <w:szCs w:val="22"/>
        </w:rPr>
        <w:t xml:space="preserve">Assessed against the monorepo-infra standards (the house rules for the Node.js/TypeScript stack). The domain design aligns well; the gaps are concentrated in tooling, testing, and operational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2200"/>
        <w:gridCol w:w="1460"/>
      </w:tblGrid>
      <w:tr>
        <w:tc>
          <w:tcPr>
            <w:tcW w:type="dxa" w:w="2300"/>
            <w:shd w:fill="EDEBE6" w:val="clear"/>
            <w:tcMar>
              <w:top w:type="dxa" w:w="60"/>
              <w:left w:type="dxa" w:w="100"/>
              <w:bottom w:type="dxa" w:w="60"/>
              <w:right w:type="dxa" w:w="100"/>
            </w:tcMar>
          </w:tcPr>
          <w:p>
            <w:pPr>
              <w:spacing w:after="0" w:line="252"/>
            </w:pPr>
            <w:r>
              <w:rPr>
                <w:rFonts w:ascii="Calibri" w:cs="Calibri" w:eastAsia="Calibri" w:hAnsi="Calibri"/>
                <w:b/>
                <w:bCs/>
                <w:sz w:val="20"/>
                <w:szCs w:val="20"/>
              </w:rPr>
              <w:t xml:space="preserve">Standard</w:t>
            </w:r>
          </w:p>
        </w:tc>
        <w:tc>
          <w:tcPr>
            <w:tcW w:type="dxa" w:w="3400"/>
            <w:shd w:fill="EDEBE6" w:val="clear"/>
            <w:tcMar>
              <w:top w:type="dxa" w:w="60"/>
              <w:left w:type="dxa" w:w="100"/>
              <w:bottom w:type="dxa" w:w="60"/>
              <w:right w:type="dxa" w:w="100"/>
            </w:tcMar>
          </w:tcPr>
          <w:p>
            <w:pPr>
              <w:spacing w:after="0" w:line="252"/>
            </w:pPr>
            <w:r>
              <w:rPr>
                <w:rFonts w:ascii="Calibri" w:cs="Calibri" w:eastAsia="Calibri" w:hAnsi="Calibri"/>
                <w:b/>
                <w:bCs/>
                <w:sz w:val="20"/>
                <w:szCs w:val="20"/>
              </w:rPr>
              <w:t xml:space="preserve">Current state</w:t>
            </w:r>
          </w:p>
        </w:tc>
        <w:tc>
          <w:tcPr>
            <w:tcW w:type="dxa" w:w="2200"/>
            <w:shd w:fill="EDEBE6" w:val="clear"/>
            <w:tcMar>
              <w:top w:type="dxa" w:w="60"/>
              <w:left w:type="dxa" w:w="100"/>
              <w:bottom w:type="dxa" w:w="60"/>
              <w:right w:type="dxa" w:w="100"/>
            </w:tcMar>
          </w:tcPr>
          <w:p>
            <w:pPr>
              <w:spacing w:after="0" w:line="252"/>
            </w:pPr>
            <w:r>
              <w:rPr>
                <w:rFonts w:ascii="Calibri" w:cs="Calibri" w:eastAsia="Calibri" w:hAnsi="Calibri"/>
                <w:b/>
                <w:bCs/>
                <w:sz w:val="20"/>
                <w:szCs w:val="20"/>
              </w:rPr>
              <w:t xml:space="preserve">Verdict</w:t>
            </w:r>
          </w:p>
        </w:tc>
        <w:tc>
          <w:tcPr>
            <w:tcW w:type="dxa" w:w="1460"/>
            <w:shd w:fill="EDEBE6" w:val="clear"/>
            <w:tcMar>
              <w:top w:type="dxa" w:w="60"/>
              <w:left w:type="dxa" w:w="100"/>
              <w:bottom w:type="dxa" w:w="60"/>
              <w:right w:type="dxa" w:w="100"/>
            </w:tcMar>
          </w:tcPr>
          <w:p>
            <w:pPr>
              <w:spacing w:after="0" w:line="252"/>
            </w:pPr>
            <w:r>
              <w:rPr>
                <w:rFonts w:ascii="Calibri" w:cs="Calibri" w:eastAsia="Calibri" w:hAnsi="Calibri"/>
                <w:b/>
                <w:bCs/>
                <w:sz w:val="20"/>
                <w:szCs w:val="20"/>
              </w:rPr>
              <w:t xml:space="preserve">Priority</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Zod for validation</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All caller input validated by per-action zod schemas before any browser launches</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Adheres</w:t>
            </w:r>
          </w:p>
        </w:tc>
        <w:tc>
          <w:tcPr>
            <w:tcW w:type="dxa" w:w="1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Domain / infrastructure separation</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catalogue.ts is pure domain; secrets, runner, server are replaceable adapters</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Adheres</w:t>
            </w:r>
          </w:p>
        </w:tc>
        <w:tc>
          <w:tcPr>
            <w:tcW w:type="dxa" w:w="1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Pure functions, modules over classes</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Five small single-purpose modules, no class hierarchies</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Adheres</w:t>
            </w:r>
          </w:p>
        </w:tc>
        <w:tc>
          <w:tcPr>
            <w:tcW w:type="dxa" w:w="1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YAGNI / simplest thing first</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In-memory store and no queue are deliberate v1 choices</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Adheres (revisit at scale)</w:t>
            </w:r>
          </w:p>
        </w:tc>
        <w:tc>
          <w:tcPr>
            <w:tcW w:type="dxa" w:w="1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Immutable data models</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Envelope and entries are effectively write-once; not yet enforced with readonly types</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Partial</w:t>
            </w:r>
          </w:p>
        </w:tc>
        <w:tc>
          <w:tcPr>
            <w:tcW w:type="dxa" w:w="1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Low</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Express / Fastify for REST APIs</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Bare node:http server</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Deviation</w:t>
            </w:r>
          </w:p>
        </w:tc>
        <w:tc>
          <w:tcPr>
            <w:tcW w:type="dxa" w:w="1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Medium</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pino structured logging</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Ad-hoc logging with secret redaction; no structured logs or correlation IDs</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Deviation</w:t>
            </w:r>
          </w:p>
        </w:tc>
        <w:tc>
          <w:tcPr>
            <w:tcW w:type="dxa" w:w="1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Medium</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TDD, 80 percent coverage</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No tests; tsc has not run on a real machine yet</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Violation</w:t>
            </w:r>
          </w:p>
        </w:tc>
        <w:tc>
          <w:tcPr>
            <w:tcW w:type="dxa" w:w="1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High</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Env conventions (dev / prod / local)</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PORT and GATEWAY_TOKEN only; no environment switch</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Deviation</w:t>
            </w:r>
          </w:p>
        </w:tc>
        <w:tc>
          <w:tcPr>
            <w:tcW w:type="dxa" w:w="1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Medium</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Sanitize subprocess credentials</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op read outputs secrets on stdout; token passed via env (good); errors not yet sanitized</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Partial</w:t>
            </w:r>
          </w:p>
        </w:tc>
        <w:tc>
          <w:tcPr>
            <w:tcW w:type="dxa" w:w="1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High</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Do not advance state on failure</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Job state machine must mark DONE only after the envelope is written; verify under retries</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Verify in tests</w:t>
            </w:r>
          </w:p>
        </w:tc>
        <w:tc>
          <w:tcPr>
            <w:tcW w:type="dxa" w:w="1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High</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Migrations, RLS, timestamp triggers</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Not yet applicable (no database)</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Applies when the job store moves to Postgres</w:t>
            </w:r>
          </w:p>
        </w:tc>
        <w:tc>
          <w:tcPr>
            <w:tcW w:type="dxa" w:w="1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Later</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Batch scripts: incremental, parallel, resumable</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Not yet applicable; will apply to queues and backfills</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Applies later</w:t>
            </w:r>
          </w:p>
        </w:tc>
        <w:tc>
          <w:tcPr>
            <w:tcW w:type="dxa" w:w="1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Later</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Frontend: React 19, Vite, mobile-first, font scale</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Admin console exists only as a throwaway HTML mockup</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Real console must use the house frontend stack</w:t>
            </w:r>
          </w:p>
        </w:tc>
        <w:tc>
          <w:tcPr>
            <w:tcW w:type="dxa" w:w="1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When built</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Docs in sync</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Gateway reference, agent config, and session handoff docs exist and are current</w:t>
            </w:r>
          </w:p>
        </w:tc>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Adheres</w:t>
            </w:r>
          </w:p>
        </w:tc>
        <w:tc>
          <w:tcPr>
            <w:tcW w:type="dxa" w:w="1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t>
            </w:r>
          </w:p>
        </w:tc>
      </w:tr>
    </w:tbl>
    <w:p>
      <w:pPr>
        <w:spacing w:after="160" w:line="276"/>
      </w:pPr>
      <w:r>
        <w:rPr>
          <w:rFonts w:ascii="Calibri" w:cs="Calibri" w:eastAsia="Calibri" w:hAnsi="Calibri"/>
          <w:b w:val="false"/>
          <w:bCs w:val="false"/>
          <w:i w:val="false"/>
          <w:iCs w:val="false"/>
          <w:sz w:val="22"/>
          <w:szCs w:val="22"/>
        </w:rPr>
        <w:t xml:space="preserve"/>
      </w:r>
    </w:p>
    <w:p>
      <w:pPr>
        <w:spacing w:after="160" w:line="276"/>
      </w:pPr>
      <w:r>
        <w:rPr>
          <w:rFonts w:ascii="Calibri" w:cs="Calibri" w:eastAsia="Calibri" w:hAnsi="Calibri"/>
          <w:b w:val="false"/>
          <w:bCs w:val="false"/>
          <w:i w:val="false"/>
          <w:iCs w:val="false"/>
          <w:sz w:val="22"/>
          <w:szCs w:val="22"/>
        </w:rPr>
        <w:t xml:space="preserve">Reading the table as a whole: the architecture was designed by the same philosophy the house holds (small pure modules, validation at the boundary, domain isolated from adapters), so nothing structural needs to change. The debt is in the scaffolding around the code. The highest-priority items are running the typechecker on a real machine, adding unit tests for the three pieces of logic most likely to break silently (the override merge, the secrets cache keyed by platform and client, and outcome-to-envelope mapping), and sanitizing subprocess errors before any production traffic carries real credentials.</w:t>
      </w:r>
    </w:p>
    <w:p>
      <w:pPr>
        <w:pStyle w:val="Heading1"/>
        <w:spacing w:after="160" w:before="320"/>
      </w:pPr>
      <w:r>
        <w:rPr>
          <w:rFonts w:ascii="Calibri" w:cs="Calibri" w:eastAsia="Calibri" w:hAnsi="Calibri"/>
        </w:rPr>
        <w:t xml:space="preserve">9. Risks and Open Questions</w:t>
      </w:r>
    </w:p>
    <w:p>
      <w:pPr>
        <w:spacing w:after="160" w:line="276"/>
      </w:pPr>
      <w:r>
        <w:rPr>
          <w:rFonts w:ascii="Calibri" w:cs="Calibri" w:eastAsia="Calibri" w:hAnsi="Calibri"/>
          <w:b w:val="false"/>
          <w:bCs w:val="false"/>
          <w:i w:val="false"/>
          <w:iCs w:val="false"/>
          <w:sz w:val="22"/>
          <w:szCs w:val="22"/>
        </w:rPr>
        <w:t xml:space="preserve">Unvalidated portal assumptions. No live run has confirmed the LightReach field labels, search flow, or login sequence, and every whitelabel brand multiplies the assumption surface. The first live run per brand against a known record is the cheapest de-risking step available and should precede any further build-out.</w:t>
      </w:r>
    </w:p>
    <w:p>
      <w:pPr>
        <w:spacing w:after="160" w:line="276"/>
      </w:pPr>
      <w:r>
        <w:rPr>
          <w:rFonts w:ascii="Calibri" w:cs="Calibri" w:eastAsia="Calibri" w:hAnsi="Calibri"/>
          <w:b w:val="false"/>
          <w:bCs w:val="false"/>
          <w:i w:val="false"/>
          <w:iCs w:val="false"/>
          <w:sz w:val="22"/>
          <w:szCs w:val="22"/>
        </w:rPr>
        <w:t xml:space="preserve">Reliability ceiling and human fallback. LLM-driven browsing will not reach 100 percent success. The envelope's replay URL is the designed fallback for humans, but the workflow around it (who watches replays, who retries, who fixes overrides) is undefined. If intake blocks on gateway answers, that workflow is part of the product.</w:t>
      </w:r>
    </w:p>
    <w:p>
      <w:pPr>
        <w:spacing w:after="160" w:line="276"/>
      </w:pPr>
      <w:r>
        <w:rPr>
          <w:rFonts w:ascii="Calibri" w:cs="Calibri" w:eastAsia="Calibri" w:hAnsi="Calibri"/>
          <w:b w:val="false"/>
          <w:bCs w:val="false"/>
          <w:i w:val="false"/>
          <w:iCs w:val="false"/>
          <w:sz w:val="22"/>
          <w:szCs w:val="22"/>
        </w:rPr>
        <w:t xml:space="preserve">State durability. The in-memory job store loses all jobs on restart and precludes replicas. Acceptable for v1 with one caller; unacceptable once two applications depend on results. The move to Redis or Postgres also triggers the house migration rules (timestamped SQL files, RLS enabled, created_at / updated_at triggers).</w:t>
      </w:r>
    </w:p>
    <w:p>
      <w:pPr>
        <w:spacing w:after="160" w:line="276"/>
      </w:pPr>
      <w:r>
        <w:rPr>
          <w:rFonts w:ascii="Calibri" w:cs="Calibri" w:eastAsia="Calibri" w:hAnsi="Calibri"/>
          <w:b w:val="false"/>
          <w:bCs w:val="false"/>
          <w:i w:val="false"/>
          <w:iCs w:val="false"/>
          <w:sz w:val="22"/>
          <w:szCs w:val="22"/>
        </w:rPr>
        <w:t xml:space="preserve">External constraints. 1Password service accounts are rate limited (mitigated by the 60 second cache and future ID-based reads); Browserbase caps concurrent sessions by plan (a queue is needed before scale); portals can change layouts silently (mitigated by the per-brand canary matrix and layout-drift alerts); and platform terms of service for automated access have not been reviewed and should be, per platform, before volume ramps.</w:t>
      </w:r>
    </w:p>
    <w:p>
      <w:pPr>
        <w:spacing w:after="160" w:line="276"/>
      </w:pPr>
      <w:r>
        <w:rPr>
          <w:rFonts w:ascii="Calibri" w:cs="Calibri" w:eastAsia="Calibri" w:hAnsi="Calibri"/>
          <w:b w:val="false"/>
          <w:bCs w:val="false"/>
          <w:i w:val="false"/>
          <w:iCs w:val="false"/>
          <w:sz w:val="22"/>
          <w:szCs w:val="22"/>
        </w:rPr>
        <w:t xml:space="preserve">Organizational scale. If only one person can write a good goal template, the catalogue becomes a bottleneck with a name on it. An entry template plus a review checklist makes action authoring transferable. Relatedly, the write-actions question (form submission, document upload) should be answered explicitly now: the current risk model auto-approves only the login submit and blocks destructive actions, and admitting writes later flips that model into approval workflows.</w:t>
      </w:r>
    </w:p>
    <w:p>
      <w:pPr>
        <w:pStyle w:val="Heading1"/>
        <w:spacing w:after="160" w:before="320"/>
      </w:pPr>
      <w:r>
        <w:rPr>
          <w:rFonts w:ascii="Calibri" w:cs="Calibri" w:eastAsia="Calibri" w:hAnsi="Calibri"/>
        </w:rPr>
        <w:t xml:space="preserve">10. Recommended Roadmap</w:t>
      </w:r>
    </w:p>
    <w:p>
      <w:pPr>
        <w:pStyle w:val="ListParagraph"/>
        <w:numPr>
          <w:ilvl w:val="0"/>
          <w:numId w:val="3"/>
        </w:numPr>
        <w:spacing w:after="100" w:line="276"/>
      </w:pPr>
      <w:r>
        <w:rPr>
          <w:rFonts w:ascii="Calibri" w:cs="Calibri" w:eastAsia="Calibri" w:hAnsi="Calibri"/>
          <w:sz w:val="22"/>
          <w:szCs w:val="22"/>
        </w:rPr>
        <w:t xml:space="preserve">Run npm run typecheck on a real machine and fix type issues; add unit tests for the override merge, secrets cache, and envelope mapping (start of the TDD debt paydown).</w:t>
      </w:r>
    </w:p>
    <w:p>
      <w:pPr>
        <w:pStyle w:val="ListParagraph"/>
        <w:numPr>
          <w:ilvl w:val="0"/>
          <w:numId w:val="3"/>
        </w:numPr>
        <w:spacing w:after="100" w:line="276"/>
      </w:pPr>
      <w:r>
        <w:rPr>
          <w:rFonts w:ascii="Calibri" w:cs="Calibri" w:eastAsia="Calibri" w:hAnsi="Calibri"/>
          <w:sz w:val="22"/>
          <w:szCs w:val="22"/>
        </w:rPr>
        <w:t xml:space="preserve">First live LightReach run against a known record; correct assumed labels and login flow in the catalogue.</w:t>
      </w:r>
    </w:p>
    <w:p>
      <w:pPr>
        <w:pStyle w:val="ListParagraph"/>
        <w:numPr>
          <w:ilvl w:val="0"/>
          <w:numId w:val="3"/>
        </w:numPr>
        <w:spacing w:after="100" w:line="276"/>
      </w:pPr>
      <w:r>
        <w:rPr>
          <w:rFonts w:ascii="Calibri" w:cs="Calibri" w:eastAsia="Calibri" w:hAnsi="Calibri"/>
          <w:sz w:val="22"/>
          <w:szCs w:val="22"/>
        </w:rPr>
        <w:t xml:space="preserve">Sanitize subprocess errors in secrets.ts and adopt pino structured logging with caller correlation IDs.</w:t>
      </w:r>
    </w:p>
    <w:p>
      <w:pPr>
        <w:pStyle w:val="ListParagraph"/>
        <w:numPr>
          <w:ilvl w:val="0"/>
          <w:numId w:val="3"/>
        </w:numPr>
        <w:spacing w:after="100" w:line="276"/>
      </w:pPr>
      <w:r>
        <w:rPr>
          <w:rFonts w:ascii="Calibri" w:cs="Calibri" w:eastAsia="Calibri" w:hAnsi="Calibri"/>
          <w:sz w:val="22"/>
          <w:szCs w:val="22"/>
        </w:rPr>
        <w:t xml:space="preserve">Add the client dimension end to end (request field, credential resolution by platform.client, serialization per credential) and onboard a second LightReach client to prove the override model.</w:t>
      </w:r>
    </w:p>
    <w:p>
      <w:pPr>
        <w:pStyle w:val="ListParagraph"/>
        <w:numPr>
          <w:ilvl w:val="0"/>
          <w:numId w:val="3"/>
        </w:numPr>
        <w:spacing w:after="100" w:line="276"/>
      </w:pPr>
      <w:r>
        <w:rPr>
          <w:rFonts w:ascii="Calibri" w:cs="Calibri" w:eastAsia="Calibri" w:hAnsi="Calibri"/>
          <w:sz w:val="22"/>
          <w:szCs w:val="22"/>
        </w:rPr>
        <w:t xml:space="preserve">Onboard a second platform to prove the platform template; write the entry-authoring checklist.</w:t>
      </w:r>
    </w:p>
    <w:p>
      <w:pPr>
        <w:pStyle w:val="ListParagraph"/>
        <w:numPr>
          <w:ilvl w:val="0"/>
          <w:numId w:val="3"/>
        </w:numPr>
        <w:spacing w:after="100" w:line="276"/>
      </w:pPr>
      <w:r>
        <w:rPr>
          <w:rFonts w:ascii="Calibri" w:cs="Calibri" w:eastAsia="Calibri" w:hAnsi="Calibri"/>
          <w:sz w:val="22"/>
          <w:szCs w:val="22"/>
        </w:rPr>
        <w:t xml:space="preserve">Migrate server.ts to Express or Fastify while the surface is still four endpoints; adopt the dev / prod / local environment convention.</w:t>
      </w:r>
    </w:p>
    <w:p>
      <w:pPr>
        <w:pStyle w:val="ListParagraph"/>
        <w:numPr>
          <w:ilvl w:val="0"/>
          <w:numId w:val="3"/>
        </w:numPr>
        <w:spacing w:after="100" w:line="276"/>
      </w:pPr>
      <w:r>
        <w:rPr>
          <w:rFonts w:ascii="Calibri" w:cs="Calibri" w:eastAsia="Calibri" w:hAnsi="Calibri"/>
          <w:sz w:val="22"/>
          <w:szCs w:val="22"/>
        </w:rPr>
        <w:t xml:space="preserve">Durable job store (Redis or Postgres, following migration rules) plus a queue in front of Browserbase concurrency limits.</w:t>
      </w:r>
    </w:p>
    <w:p>
      <w:pPr>
        <w:pStyle w:val="ListParagraph"/>
        <w:numPr>
          <w:ilvl w:val="0"/>
          <w:numId w:val="3"/>
        </w:numPr>
        <w:spacing w:after="100" w:line="276"/>
      </w:pPr>
      <w:r>
        <w:rPr>
          <w:rFonts w:ascii="Calibri" w:cs="Calibri" w:eastAsia="Calibri" w:hAnsi="Calibri"/>
          <w:sz w:val="22"/>
          <w:szCs w:val="22"/>
        </w:rPr>
        <w:t xml:space="preserve">Browserbase Contexts per platform and client as the login fast path with JIT fallback; 1Password SDK swap.</w:t>
      </w:r>
    </w:p>
    <w:p>
      <w:pPr>
        <w:pStyle w:val="ListParagraph"/>
        <w:numPr>
          <w:ilvl w:val="0"/>
          <w:numId w:val="3"/>
        </w:numPr>
        <w:spacing w:after="100" w:line="276"/>
      </w:pPr>
      <w:r>
        <w:rPr>
          <w:rFonts w:ascii="Calibri" w:cs="Calibri" w:eastAsia="Calibri" w:hAnsi="Calibri"/>
          <w:sz w:val="22"/>
          <w:szCs w:val="22"/>
        </w:rPr>
        <w:t xml:space="preserve">Admin console v1 in the house frontend stack, read-only first (jobs, replays, canary matrix), then catalogue editing via pull requests.</w:t>
      </w:r>
    </w:p>
    <w:p>
      <w:pPr>
        <w:pStyle w:val="ListParagraph"/>
        <w:numPr>
          <w:ilvl w:val="0"/>
          <w:numId w:val="3"/>
        </w:numPr>
        <w:spacing w:after="100" w:line="276"/>
      </w:pPr>
      <w:r>
        <w:rPr>
          <w:rFonts w:ascii="Calibri" w:cs="Calibri" w:eastAsia="Calibri" w:hAnsi="Calibri"/>
          <w:sz w:val="22"/>
          <w:szCs w:val="22"/>
        </w:rPr>
        <w:t xml:space="preserve">Canary matrix per platform and client with layout-drift alerting wired to Slack.</w:t>
      </w:r>
    </w:p>
    <w:p>
      <w:pPr>
        <w:spacing w:after="160" w:line="276"/>
      </w:pPr>
      <w:r>
        <w:rPr>
          <w:rFonts w:ascii="Calibri" w:cs="Calibri" w:eastAsia="Calibri" w:hAnsi="Calibri"/>
          <w:b w:val="false"/>
          <w:bCs w:val="false"/>
          <w:i w:val="false"/>
          <w:iCs w:val="false"/>
          <w:sz w:val="22"/>
          <w:szCs w:val="22"/>
        </w:rPr>
        <w:t xml:space="preserve"/>
      </w:r>
    </w:p>
    <w:p>
      <w:pPr>
        <w:spacing w:after="160" w:line="276"/>
      </w:pPr>
      <w:r>
        <w:rPr>
          <w:rFonts w:ascii="Calibri" w:cs="Calibri" w:eastAsia="Calibri" w:hAnsi="Calibri"/>
          <w:b w:val="false"/>
          <w:bCs w:val="false"/>
          <w:i/>
          <w:iCs/>
          <w:sz w:val="22"/>
          <w:szCs w:val="22"/>
        </w:rPr>
        <w:t xml:space="preserve">Bottom line: the design holds up well against both its own goals and the house engineering philosophy. The architecture needs no structural change to support whitelabel scale; it needs a first live run, a test suite, and the operational scaffolding (logging, durable state, canaries) that turns a good design into a dependable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20"/>
      </w:pPr>
    </w:lvl>
  </w:abstractNum>
  <w:abstractNum w:abstractNumId="3" w15:restartNumberingAfterBreak="0">
    <w:multiLevelType w:val="hybridMultilevel"/>
    <w:lvl w:ilvl="0" w15:tentative="1">
      <w:start w:val="1"/>
      <w:numFmt w:val="decimal"/>
      <w:lvlText w:val="%1."/>
      <w:lvlJc w:val="star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1a18"/>
      <w:sz w:val="30"/>
      <w:szCs w:val="30"/>
    </w:rPr>
  </w:style>
  <w:style w:type="paragraph" w:styleId="Heading2">
    <w:name w:val="Heading 2"/>
    <w:basedOn w:val="Normal"/>
    <w:next w:val="Normal"/>
    <w:qFormat/>
    <w:rPr>
      <w:rFonts w:ascii="Calibri" w:cs="Calibri" w:eastAsia="Calibri" w:hAnsi="Calibri"/>
      <w:b/>
      <w:bCs/>
      <w:color w:val="3a393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2026-07-10T23:44:08.409Z</dcterms:created>
  <dcterms:modified xsi:type="dcterms:W3CDTF">2026-07-10T23:44:08.409Z</dcterms:modified>
</cp:coreProperties>
</file>

<file path=docProps/custom.xml><?xml version="1.0" encoding="utf-8"?>
<Properties xmlns="http://schemas.openxmlformats.org/officeDocument/2006/custom-properties" xmlns:vt="http://schemas.openxmlformats.org/officeDocument/2006/docPropsVTypes"/>
</file>