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b/>
          <w:bCs/>
          <w:color w:val="10233F"/>
          <w:sz w:val="56"/>
          <w:szCs w:val="56"/>
        </w:rPr>
        <w:t xml:space="preserve">CASO ATLANTIC CITY</w:t>
      </w:r>
    </w:p>
    <w:p>
      <w:pPr>
        <w:spacing w:after="60"/>
        <w:jc w:val="center"/>
      </w:pPr>
      <w:r>
        <w:rPr>
          <w:color w:val="5A6472"/>
          <w:sz w:val="22"/>
          <w:szCs w:val="22"/>
        </w:rPr>
        <w:t xml:space="preserve">Curso: Componente de la Capa Vista  |  Metodología ABP</w:t>
      </w:r>
    </w:p>
    <w:p>
      <w:pPr>
        <w:spacing w:after="500"/>
        <w:jc w:val="center"/>
      </w:pPr>
      <w:r>
        <w:rPr>
          <w:color w:val="5A6472"/>
          <w:sz w:val="20"/>
          <w:szCs w:val="20"/>
        </w:rPr>
        <w:t xml:space="preserve">Fecha: 25 de mayo de 2026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952A" w:sz="4"/>
              <w:left w:val="single" w:color="C8952A" w:sz="24"/>
              <w:bottom w:val="single" w:color="C8952A" w:sz="4"/>
              <w:right w:val="single" w:color="C8952A" w:sz="4"/>
            </w:tcBorders>
            <w:shd w:fill="EFF2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10233F"/>
                <w:sz w:val="19"/>
                <w:szCs w:val="19"/>
              </w:rPr>
              <w:t xml:space="preserve">NOMBRE DE LA PROPUESTA DE SOLUCIÓN</w:t>
            </w:r>
          </w:p>
          <w:p>
            <w:r>
              <w:rPr>
                <w:i/>
                <w:iCs/>
                <w:color w:val="34404E"/>
                <w:sz w:val="21"/>
                <w:szCs w:val="21"/>
              </w:rPr>
              <w:t xml:space="preserve">AtlantiCRM 360 — Plataforma integrada de gestión de relaciones con clientes para Atlantic City</w:t>
            </w:r>
          </w:p>
        </w:tc>
      </w:tr>
    </w:tbl>
    <w:p>
      <w:pPr>
        <w:spacing w:after="300"/>
      </w:pP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Este documento reúne los diez entregables solicitados para el caso Atlantic City, desarrollados a partir del análisis técnico y funcional del problema (Informe Técnico – Modernización del Sistema de Gestión de Clientes).</w:t>
      </w:r>
    </w:p>
    <w:p>
      <w:r>
        <w:br w:type="page"/>
      </w:r>
    </w:p>
    <w:p>
      <w:pPr>
        <w:pStyle w:val="Heading1"/>
        <w:pBdr>
          <w:bottom w:val="single" w:color="C8952A" w:sz="12" w:space="6"/>
        </w:pBdr>
        <w:spacing w:after="200" w:before="400"/>
      </w:pPr>
      <w:r>
        <w:rPr>
          <w:b/>
          <w:bCs/>
          <w:color w:val="C8952A"/>
          <w:sz w:val="30"/>
          <w:szCs w:val="30"/>
        </w:rPr>
        <w:t xml:space="preserve">1. </w:t>
      </w:r>
      <w:r>
        <w:rPr>
          <w:b/>
          <w:bCs/>
          <w:color w:val="10233F"/>
          <w:sz w:val="30"/>
          <w:szCs w:val="30"/>
        </w:rPr>
        <w:t xml:space="preserve">Matriz de diagnóstico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La matriz de diagnóstico resume la situación actual de Atlantic City, identificando las dimensiones del negocio afectadas, la situación problemática observada, su impacto y el nivel de criticidad asignado.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2680"/>
        <w:gridCol w:w="1200"/>
      </w:tblGrid>
      <w:tr>
        <w:trPr>
          <w:tblHeader/>
        </w:trPr>
        <w:tc>
          <w:tcPr>
            <w:tcW w:type="dxa" w:w="2000"/>
            <w:shd w:fill="10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Dimensión afectada</w:t>
            </w:r>
          </w:p>
        </w:tc>
        <w:tc>
          <w:tcPr>
            <w:tcW w:type="dxa" w:w="4200"/>
            <w:shd w:fill="10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Situación problemática</w:t>
            </w:r>
          </w:p>
        </w:tc>
        <w:tc>
          <w:tcPr>
            <w:tcW w:type="dxa" w:w="2680"/>
            <w:shd w:fill="10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Impacto en el negocio</w:t>
            </w:r>
          </w:p>
        </w:tc>
        <w:tc>
          <w:tcPr>
            <w:tcW w:type="dxa" w:w="1200"/>
            <w:shd w:fill="10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Criticidad</w:t>
            </w:r>
          </w:p>
        </w:tc>
      </w:tr>
      <w:tr>
        <w:tc>
          <w:tcPr>
            <w:tcW w:type="dxa" w:w="2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Datos del cliente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Información duplicada, incompleta o distribuida en sistemas desconectados.</w:t>
            </w:r>
          </w:p>
        </w:tc>
        <w:tc>
          <w:tcPr>
            <w:tcW w:type="dxa" w:w="2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Baja confiabilidad de la información y mayor riesgo de errores.</w:t>
            </w:r>
          </w:p>
        </w:tc>
        <w:tc>
          <w:tcPr>
            <w:tcW w:type="dxa" w:w="1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0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Atención al cliente</w:t>
            </w:r>
          </w:p>
        </w:tc>
        <w:tc>
          <w:tcPr>
            <w:tcW w:type="dxa" w:w="42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No existe una ficha única con historial de visitas, preferencias, promociones e incidencias.</w:t>
            </w:r>
          </w:p>
        </w:tc>
        <w:tc>
          <w:tcPr>
            <w:tcW w:type="dxa" w:w="268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Atención inconsistente y menor satisfacción del cliente.</w:t>
            </w:r>
          </w:p>
        </w:tc>
        <w:tc>
          <w:tcPr>
            <w:tcW w:type="dxa" w:w="12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Marketing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Dificultad para segmentar clientes y personalizar promociones.</w:t>
            </w:r>
          </w:p>
        </w:tc>
        <w:tc>
          <w:tcPr>
            <w:tcW w:type="dxa" w:w="2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Menor efectividad de campañas y menor retención.</w:t>
            </w:r>
          </w:p>
        </w:tc>
        <w:tc>
          <w:tcPr>
            <w:tcW w:type="dxa" w:w="1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0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Operaciones</w:t>
            </w:r>
          </w:p>
        </w:tc>
        <w:tc>
          <w:tcPr>
            <w:tcW w:type="dxa" w:w="42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Procesos manuales o repetitivos por falta de automatización.</w:t>
            </w:r>
          </w:p>
        </w:tc>
        <w:tc>
          <w:tcPr>
            <w:tcW w:type="dxa" w:w="268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Pérdida de productividad y mayor carga operativa.</w:t>
            </w:r>
          </w:p>
        </w:tc>
        <w:tc>
          <w:tcPr>
            <w:tcW w:type="dxa" w:w="12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Gestión gerencial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Falta de reportes en tiempo real y datos consolidados.</w:t>
            </w:r>
          </w:p>
        </w:tc>
        <w:tc>
          <w:tcPr>
            <w:tcW w:type="dxa" w:w="2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Decisiones tardías, parciales o basadas en información no confiable.</w:t>
            </w:r>
          </w:p>
        </w:tc>
        <w:tc>
          <w:tcPr>
            <w:tcW w:type="dxa" w:w="1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0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42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Múltiples sistemas sin interoperabilidad.</w:t>
            </w:r>
          </w:p>
        </w:tc>
        <w:tc>
          <w:tcPr>
            <w:tcW w:type="dxa" w:w="268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Mayor complejidad de mantenimiento e integración futura.</w:t>
            </w:r>
          </w:p>
        </w:tc>
        <w:tc>
          <w:tcPr>
            <w:tcW w:type="dxa" w:w="12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Media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b w:val="false"/>
          <w:bCs w:val="false"/>
          <w:i/>
          <w:iCs/>
          <w:color w:val="2B2B2B"/>
          <w:sz w:val="21"/>
          <w:szCs w:val="21"/>
        </w:rPr>
        <w:t xml:space="preserve">Conclusión del diagnóstico: la organización opera con información fragmentada en al menos tres frentes críticos (datos, atención y gestión gerencial), lo que justifica priorizar una solución de centralización antes de invertir en funcionalidades avanzadas de analítica.</w:t>
      </w:r>
    </w:p>
    <w:p>
      <w:r>
        <w:br w:type="page"/>
      </w:r>
    </w:p>
    <w:p>
      <w:pPr>
        <w:pStyle w:val="Heading1"/>
        <w:pBdr>
          <w:bottom w:val="single" w:color="C8952A" w:sz="12" w:space="6"/>
        </w:pBdr>
        <w:spacing w:after="200" w:before="400"/>
      </w:pPr>
      <w:r>
        <w:rPr>
          <w:b/>
          <w:bCs/>
          <w:color w:val="C8952A"/>
          <w:sz w:val="30"/>
          <w:szCs w:val="30"/>
        </w:rPr>
        <w:t xml:space="preserve">2. </w:t>
      </w:r>
      <w:r>
        <w:rPr>
          <w:b/>
          <w:bCs/>
          <w:color w:val="10233F"/>
          <w:sz w:val="30"/>
          <w:szCs w:val="30"/>
        </w:rPr>
        <w:t xml:space="preserve">Técnica del árbol (árbol de problemas y árbol de objetivos)</w:t>
      </w:r>
    </w:p>
    <w:p>
      <w:pPr>
        <w:pStyle w:val="Heading2"/>
        <w:spacing w:after="120" w:before="260"/>
      </w:pPr>
      <w:r>
        <w:rPr>
          <w:b/>
          <w:bCs/>
          <w:color w:val="10233F"/>
          <w:sz w:val="24"/>
          <w:szCs w:val="24"/>
        </w:rPr>
        <w:t xml:space="preserve">2.1. Árbol de problemas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Problema central: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952A" w:sz="4"/>
              <w:left w:val="single" w:color="C8952A" w:sz="24"/>
              <w:bottom w:val="single" w:color="C8952A" w:sz="4"/>
              <w:right w:val="single" w:color="C8952A" w:sz="4"/>
            </w:tcBorders>
            <w:shd w:fill="EFF2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10233F"/>
                <w:sz w:val="19"/>
                <w:szCs w:val="19"/>
              </w:rPr>
              <w:t xml:space="preserve">PROBLEMA CENTRAL</w:t>
            </w:r>
          </w:p>
          <w:p>
            <w:r>
              <w:rPr>
                <w:i/>
                <w:iCs/>
                <w:color w:val="34404E"/>
                <w:sz w:val="21"/>
                <w:szCs w:val="21"/>
              </w:rPr>
              <w:t xml:space="preserve">Ausencia de una plataforma integrada para gestionar la relación con los clientes de Atlantic City.</w:t>
            </w:r>
          </w:p>
        </w:tc>
      </w:tr>
    </w:tbl>
    <w:p>
      <w:pPr>
        <w:spacing w:after="140"/>
      </w:pPr>
    </w:p>
    <w:p>
      <w:pPr>
        <w:spacing w:after="160" w:line="300"/>
      </w:pPr>
      <w:r>
        <w:rPr>
          <w:b/>
          <w:bCs/>
          <w:i w:val="false"/>
          <w:iCs w:val="false"/>
          <w:color w:val="2B2B2B"/>
          <w:sz w:val="21"/>
          <w:szCs w:val="21"/>
        </w:rPr>
        <w:t xml:space="preserve">Causas (raíces del árbol):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B2B2B"/>
          <w:sz w:val="21"/>
          <w:szCs w:val="21"/>
        </w:rPr>
        <w:t xml:space="preserve">Uso de sistemas aislados para procesos relacionados con clientes, promociones y atención.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B2B2B"/>
          <w:sz w:val="21"/>
          <w:szCs w:val="21"/>
        </w:rPr>
        <w:t xml:space="preserve">Ausencia de un repositorio centralizado de datos de clientes.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B2B2B"/>
          <w:sz w:val="21"/>
          <w:szCs w:val="21"/>
        </w:rPr>
        <w:t xml:space="preserve">Falta de reglas de integridad, validación y consolidación de información.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B2B2B"/>
          <w:sz w:val="21"/>
          <w:szCs w:val="21"/>
        </w:rPr>
        <w:t xml:space="preserve">Limitada capacidad analítica para reportar indicadores en tiempo real.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B2B2B"/>
          <w:sz w:val="21"/>
          <w:szCs w:val="21"/>
        </w:rPr>
        <w:t xml:space="preserve">Procesos comerciales y operativos dependientes de información dispersa.</w:t>
      </w:r>
    </w:p>
    <w:p>
      <w:pPr>
        <w:spacing w:after="140"/>
      </w:pPr>
    </w:p>
    <w:p>
      <w:pPr>
        <w:spacing w:after="160" w:line="300"/>
      </w:pPr>
      <w:r>
        <w:rPr>
          <w:b/>
          <w:bCs/>
          <w:i w:val="false"/>
          <w:iCs w:val="false"/>
          <w:color w:val="2B2B2B"/>
          <w:sz w:val="21"/>
          <w:szCs w:val="21"/>
        </w:rPr>
        <w:t xml:space="preserve">Efectos (ramas del árbol):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B2B2B"/>
          <w:sz w:val="21"/>
          <w:szCs w:val="21"/>
        </w:rPr>
        <w:t xml:space="preserve">Insatisfacción del cliente por atención inconsistente.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B2B2B"/>
          <w:sz w:val="21"/>
          <w:szCs w:val="21"/>
        </w:rPr>
        <w:t xml:space="preserve">Pérdida de oportunidades comerciales por promociones mal dirigidas.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B2B2B"/>
          <w:sz w:val="21"/>
          <w:szCs w:val="21"/>
        </w:rPr>
        <w:t xml:space="preserve">Baja eficiencia operativa por tiempo invertido en tareas manuales.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B2B2B"/>
          <w:sz w:val="21"/>
          <w:szCs w:val="21"/>
        </w:rPr>
        <w:t xml:space="preserve">Decisiones gerenciales poco fundamentadas.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B2B2B"/>
          <w:sz w:val="21"/>
          <w:szCs w:val="21"/>
        </w:rPr>
        <w:t xml:space="preserve">Crecimiento desordenado, sin infraestructura tecnológica que lo acompañe.</w:t>
      </w:r>
    </w:p>
    <w:p>
      <w:pPr>
        <w:spacing w:after="200"/>
      </w:pPr>
    </w:p>
    <w:p>
      <w:pPr>
        <w:pStyle w:val="Heading2"/>
        <w:spacing w:after="120" w:before="260"/>
      </w:pPr>
      <w:r>
        <w:rPr>
          <w:b/>
          <w:bCs/>
          <w:color w:val="10233F"/>
          <w:sz w:val="24"/>
          <w:szCs w:val="24"/>
        </w:rPr>
        <w:t xml:space="preserve">2.2. Árbol de objetivos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Objetivo central (imagen positiva del problema):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952A" w:sz="4"/>
              <w:left w:val="single" w:color="C8952A" w:sz="24"/>
              <w:bottom w:val="single" w:color="C8952A" w:sz="4"/>
              <w:right w:val="single" w:color="C8952A" w:sz="4"/>
            </w:tcBorders>
            <w:shd w:fill="EFF2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10233F"/>
                <w:sz w:val="19"/>
                <w:szCs w:val="19"/>
              </w:rPr>
              <w:t xml:space="preserve">OBJETIVO CENTRAL</w:t>
            </w:r>
          </w:p>
          <w:p>
            <w:r>
              <w:rPr>
                <w:i/>
                <w:iCs/>
                <w:color w:val="34404E"/>
                <w:sz w:val="21"/>
                <w:szCs w:val="21"/>
              </w:rPr>
              <w:t xml:space="preserve">Implementar una plataforma integrada (AtlantiCRM 360) que centralice, valide y explote analíticamente la información de los clientes de Atlantic City.</w:t>
            </w:r>
          </w:p>
        </w:tc>
      </w:tr>
    </w:tbl>
    <w:p>
      <w:pPr>
        <w:spacing w:after="140"/>
      </w:pPr>
    </w:p>
    <w:p>
      <w:pPr>
        <w:spacing w:after="160" w:line="300"/>
      </w:pPr>
      <w:r>
        <w:rPr>
          <w:b/>
          <w:bCs/>
          <w:i w:val="false"/>
          <w:iCs w:val="false"/>
          <w:color w:val="2B2B2B"/>
          <w:sz w:val="21"/>
          <w:szCs w:val="21"/>
        </w:rPr>
        <w:t xml:space="preserve">Medios (equivalentes positivos de las causas):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B2B2B"/>
          <w:sz w:val="21"/>
          <w:szCs w:val="21"/>
        </w:rPr>
        <w:t xml:space="preserve">Integrar los procesos de clientes, promociones y atención sobre una plataforma única.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B2B2B"/>
          <w:sz w:val="21"/>
          <w:szCs w:val="21"/>
        </w:rPr>
        <w:t xml:space="preserve">Construir un repositorio centralizado de datos de clientes.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B2B2B"/>
          <w:sz w:val="21"/>
          <w:szCs w:val="21"/>
        </w:rPr>
        <w:t xml:space="preserve">Establecer reglas de integridad, validación y unicidad de registros.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B2B2B"/>
          <w:sz w:val="21"/>
          <w:szCs w:val="21"/>
        </w:rPr>
        <w:t xml:space="preserve">Desarrollar módulos de reportería e indicadores en tiempo real.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B2B2B"/>
          <w:sz w:val="21"/>
          <w:szCs w:val="21"/>
        </w:rPr>
        <w:t xml:space="preserve">Automatizar procesos comerciales y operativos repetitivos.</w:t>
      </w:r>
    </w:p>
    <w:p>
      <w:pPr>
        <w:spacing w:after="140"/>
      </w:pPr>
    </w:p>
    <w:p>
      <w:pPr>
        <w:spacing w:after="160" w:line="300"/>
      </w:pPr>
      <w:r>
        <w:rPr>
          <w:b/>
          <w:bCs/>
          <w:i w:val="false"/>
          <w:iCs w:val="false"/>
          <w:color w:val="2B2B2B"/>
          <w:sz w:val="21"/>
          <w:szCs w:val="21"/>
        </w:rPr>
        <w:t xml:space="preserve">Fines (equivalentes positivos de los efectos):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B2B2B"/>
          <w:sz w:val="21"/>
          <w:szCs w:val="21"/>
        </w:rPr>
        <w:t xml:space="preserve">Mayor satisfacción y fidelización del cliente.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B2B2B"/>
          <w:sz w:val="21"/>
          <w:szCs w:val="21"/>
        </w:rPr>
        <w:t xml:space="preserve">Mayor efectividad y aprovechamiento de oportunidades comerciales.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B2B2B"/>
          <w:sz w:val="21"/>
          <w:szCs w:val="21"/>
        </w:rPr>
        <w:t xml:space="preserve">Mayor eficiencia operativa y productividad del personal.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B2B2B"/>
          <w:sz w:val="21"/>
          <w:szCs w:val="21"/>
        </w:rPr>
        <w:t xml:space="preserve">Decisiones gerenciales oportunas y fundamentadas en datos.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B2B2B"/>
          <w:sz w:val="21"/>
          <w:szCs w:val="21"/>
        </w:rPr>
        <w:t xml:space="preserve">Crecimiento ordenado, escalable y sostenido en el tiempo.</w:t>
      </w:r>
    </w:p>
    <w:p>
      <w:r>
        <w:br w:type="page"/>
      </w:r>
    </w:p>
    <w:p>
      <w:pPr>
        <w:pStyle w:val="Heading1"/>
        <w:pBdr>
          <w:bottom w:val="single" w:color="C8952A" w:sz="12" w:space="6"/>
        </w:pBdr>
        <w:spacing w:after="200" w:before="400"/>
      </w:pPr>
      <w:r>
        <w:rPr>
          <w:b/>
          <w:bCs/>
          <w:color w:val="C8952A"/>
          <w:sz w:val="30"/>
          <w:szCs w:val="30"/>
        </w:rPr>
        <w:t xml:space="preserve">3. </w:t>
      </w:r>
      <w:r>
        <w:rPr>
          <w:b/>
          <w:bCs/>
          <w:color w:val="10233F"/>
          <w:sz w:val="30"/>
          <w:szCs w:val="30"/>
        </w:rPr>
        <w:t xml:space="preserve">Análisis FODA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El análisis FODA evalúa las condiciones internas y externas de Atlantic City frente a la implementación de AtlantiCRM 360.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shd w:fill="10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Fortalezas</w:t>
            </w:r>
          </w:p>
        </w:tc>
        <w:tc>
          <w:tcPr>
            <w:tcW w:type="dxa" w:w="5040"/>
            <w:shd w:fill="10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Oportunidades</w:t>
            </w:r>
          </w:p>
        </w:tc>
      </w:tr>
      <w:tr>
        <w:tc>
          <w:tcPr>
            <w:tcW w:type="dxa" w:w="504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90" w:line="270"/>
            </w:pPr>
            <w:r>
              <w:rPr>
                <w:color w:val="2B2B2B"/>
                <w:sz w:val="19"/>
                <w:szCs w:val="19"/>
              </w:rPr>
              <w:t xml:space="preserve">Base de clientes existente con historial de visitas y consumo disponible para migrar.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70"/>
            </w:pPr>
            <w:r>
              <w:rPr>
                <w:color w:val="2B2B2B"/>
                <w:sz w:val="19"/>
                <w:szCs w:val="19"/>
              </w:rPr>
              <w:t xml:space="preserve">Compromiso de seis gerencias (Operaciones, Marketing, RR.HH., Desarrollo de Negocios, Servicio al Cliente y TI) con el proyecto.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70"/>
            </w:pPr>
            <w:r>
              <w:rPr>
                <w:color w:val="2B2B2B"/>
                <w:sz w:val="19"/>
                <w:szCs w:val="19"/>
              </w:rPr>
              <w:t xml:space="preserve">Procesos de negocio ya identificados y documentados.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70"/>
            </w:pPr>
            <w:r>
              <w:rPr>
                <w:color w:val="2B2B2B"/>
                <w:sz w:val="19"/>
                <w:szCs w:val="19"/>
              </w:rPr>
              <w:t xml:space="preserve">Cultura organizacional orientada a promociones y fidelización de clientes.</w:t>
            </w:r>
          </w:p>
        </w:tc>
        <w:tc>
          <w:tcPr>
            <w:tcW w:type="dxa" w:w="504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90" w:line="270"/>
            </w:pPr>
            <w:r>
              <w:rPr>
                <w:color w:val="2B2B2B"/>
                <w:sz w:val="19"/>
                <w:szCs w:val="19"/>
              </w:rPr>
              <w:t xml:space="preserve">Tecnologías CRM y de nube maduras, con bajo costo de entrada.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70"/>
            </w:pPr>
            <w:r>
              <w:rPr>
                <w:color w:val="2B2B2B"/>
                <w:sz w:val="19"/>
                <w:szCs w:val="19"/>
              </w:rPr>
              <w:t xml:space="preserve">Tendencia del mercado hacia personalización basada en datos.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70"/>
            </w:pPr>
            <w:r>
              <w:rPr>
                <w:color w:val="2B2B2B"/>
                <w:sz w:val="19"/>
                <w:szCs w:val="19"/>
              </w:rPr>
              <w:t xml:space="preserve">Posibilidad de incorporar analítica avanzada (BI) como ventaja competitiva.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70"/>
            </w:pPr>
            <w:r>
              <w:rPr>
                <w:color w:val="2B2B2B"/>
                <w:sz w:val="19"/>
                <w:szCs w:val="19"/>
              </w:rPr>
              <w:t xml:space="preserve">Mejora esperada en retención mediante segmentación y promociones dirigidas.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shd w:fill="10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Debilidades</w:t>
            </w:r>
          </w:p>
        </w:tc>
        <w:tc>
          <w:tcPr>
            <w:tcW w:type="dxa" w:w="5040"/>
            <w:shd w:fill="10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Amenazas</w:t>
            </w:r>
          </w:p>
        </w:tc>
      </w:tr>
      <w:tr>
        <w:tc>
          <w:tcPr>
            <w:tcW w:type="dxa" w:w="504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90" w:line="270"/>
            </w:pPr>
            <w:r>
              <w:rPr>
                <w:color w:val="2B2B2B"/>
                <w:sz w:val="19"/>
                <w:szCs w:val="19"/>
              </w:rPr>
              <w:t xml:space="preserve">Sistemas actuales aislados, sin interoperabilidad.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70"/>
            </w:pPr>
            <w:r>
              <w:rPr>
                <w:color w:val="2B2B2B"/>
                <w:sz w:val="19"/>
                <w:szCs w:val="19"/>
              </w:rPr>
              <w:t xml:space="preserve">Ausencia de gobierno de datos: duplicidad y falta de validación.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70"/>
            </w:pPr>
            <w:r>
              <w:rPr>
                <w:color w:val="2B2B2B"/>
                <w:sz w:val="19"/>
                <w:szCs w:val="19"/>
              </w:rPr>
              <w:t xml:space="preserve">Capacidad analítica limitada en la operación actual.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70"/>
            </w:pPr>
            <w:r>
              <w:rPr>
                <w:color w:val="2B2B2B"/>
                <w:sz w:val="19"/>
                <w:szCs w:val="19"/>
              </w:rPr>
              <w:t xml:space="preserve">Posible resistencia al cambio y curva de adopción del personal.</w:t>
            </w:r>
          </w:p>
        </w:tc>
        <w:tc>
          <w:tcPr>
            <w:tcW w:type="dxa" w:w="504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90" w:line="270"/>
            </w:pPr>
            <w:r>
              <w:rPr>
                <w:color w:val="2B2B2B"/>
                <w:sz w:val="19"/>
                <w:szCs w:val="19"/>
              </w:rPr>
              <w:t xml:space="preserve">Competencia con soluciones CRM ya maduras en el mercado.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70"/>
            </w:pPr>
            <w:r>
              <w:rPr>
                <w:color w:val="2B2B2B"/>
                <w:sz w:val="19"/>
                <w:szCs w:val="19"/>
              </w:rPr>
              <w:t xml:space="preserve">Riesgos de seguridad y exposición de datos personales.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70"/>
            </w:pPr>
            <w:r>
              <w:rPr>
                <w:color w:val="2B2B2B"/>
                <w:sz w:val="19"/>
                <w:szCs w:val="19"/>
              </w:rPr>
              <w:t xml:space="preserve">Dependencia de proveedores tecnológicos externos (nube, hosting).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70"/>
            </w:pPr>
            <w:r>
              <w:rPr>
                <w:color w:val="2B2B2B"/>
                <w:sz w:val="19"/>
                <w:szCs w:val="19"/>
              </w:rPr>
              <w:t xml:space="preserve">Cambios regulatorios en protección de datos personales.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12" w:space="6"/>
        </w:pBdr>
        <w:spacing w:after="200" w:before="400"/>
      </w:pPr>
      <w:r>
        <w:rPr>
          <w:b/>
          <w:bCs/>
          <w:color w:val="C8952A"/>
          <w:sz w:val="30"/>
          <w:szCs w:val="30"/>
        </w:rPr>
        <w:t xml:space="preserve">4. </w:t>
      </w:r>
      <w:r>
        <w:rPr>
          <w:b/>
          <w:bCs/>
          <w:color w:val="10233F"/>
          <w:sz w:val="30"/>
          <w:szCs w:val="30"/>
        </w:rPr>
        <w:t xml:space="preserve">Riesgos y estrategias de respuesta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200"/>
        <w:gridCol w:w="4880"/>
      </w:tblGrid>
      <w:tr>
        <w:trPr>
          <w:tblHeader/>
        </w:trPr>
        <w:tc>
          <w:tcPr>
            <w:tcW w:type="dxa" w:w="3000"/>
            <w:shd w:fill="10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1000"/>
            <w:shd w:fill="10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Prob.</w:t>
            </w:r>
          </w:p>
        </w:tc>
        <w:tc>
          <w:tcPr>
            <w:tcW w:type="dxa" w:w="1200"/>
            <w:shd w:fill="10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4880"/>
            <w:shd w:fill="10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Estrategia de respuesta</w:t>
            </w:r>
          </w:p>
        </w:tc>
      </w:tr>
      <w:t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Resistencia del personal al cambio.</w:t>
            </w:r>
          </w:p>
        </w:tc>
        <w:tc>
          <w:tcPr>
            <w:tcW w:type="dxa" w:w="1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Media</w:t>
            </w:r>
          </w:p>
        </w:tc>
        <w:tc>
          <w:tcPr>
            <w:tcW w:type="dxa" w:w="1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Alto</w:t>
            </w:r>
          </w:p>
        </w:tc>
        <w:tc>
          <w:tcPr>
            <w:tcW w:type="dxa" w:w="48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Plan de capacitación temprano; meta de 80% de usuarios clave capacitados antes del arranque (OB-06).</w:t>
            </w:r>
          </w:p>
        </w:tc>
      </w:tr>
      <w:tr>
        <w:tc>
          <w:tcPr>
            <w:tcW w:type="dxa" w:w="30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Migración de datos con duplicados o errores.</w:t>
            </w:r>
          </w:p>
        </w:tc>
        <w:tc>
          <w:tcPr>
            <w:tcW w:type="dxa" w:w="10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Alta</w:t>
            </w:r>
          </w:p>
        </w:tc>
        <w:tc>
          <w:tcPr>
            <w:tcW w:type="dxa" w:w="12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Alto</w:t>
            </w:r>
          </w:p>
        </w:tc>
        <w:tc>
          <w:tcPr>
            <w:tcW w:type="dxa" w:w="488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Reglas de validación de unicidad y limpieza previa de datos (RF-03, requerimiento de integridad).</w:t>
            </w:r>
          </w:p>
        </w:tc>
      </w:tr>
      <w:t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Retrasos en integración con sistemas existentes.</w:t>
            </w:r>
          </w:p>
        </w:tc>
        <w:tc>
          <w:tcPr>
            <w:tcW w:type="dxa" w:w="1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Media</w:t>
            </w:r>
          </w:p>
        </w:tc>
        <w:tc>
          <w:tcPr>
            <w:tcW w:type="dxa" w:w="1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Medio</w:t>
            </w:r>
          </w:p>
        </w:tc>
        <w:tc>
          <w:tcPr>
            <w:tcW w:type="dxa" w:w="48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Arquitectura por capas con API REST e integración incremental y progresiva.</w:t>
            </w:r>
          </w:p>
        </w:tc>
      </w:tr>
      <w:tr>
        <w:tc>
          <w:tcPr>
            <w:tcW w:type="dxa" w:w="30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Fallas de seguridad o fuga de datos personales.</w:t>
            </w:r>
          </w:p>
        </w:tc>
        <w:tc>
          <w:tcPr>
            <w:tcW w:type="dxa" w:w="10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Baja</w:t>
            </w:r>
          </w:p>
        </w:tc>
        <w:tc>
          <w:tcPr>
            <w:tcW w:type="dxa" w:w="12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Muy alto</w:t>
            </w:r>
          </w:p>
        </w:tc>
        <w:tc>
          <w:tcPr>
            <w:tcW w:type="dxa" w:w="488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Autenticación JWT/OAuth2, control de roles y cifrado de datos sensibles.</w:t>
            </w:r>
          </w:p>
        </w:tc>
      </w:tr>
      <w:tr>
        <w:tc>
          <w:tcPr>
            <w:tcW w:type="dxa" w:w="3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Bajo uso del sistema después del piloto.</w:t>
            </w:r>
          </w:p>
        </w:tc>
        <w:tc>
          <w:tcPr>
            <w:tcW w:type="dxa" w:w="10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Media</w:t>
            </w:r>
          </w:p>
        </w:tc>
        <w:tc>
          <w:tcPr>
            <w:tcW w:type="dxa" w:w="1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Alto</w:t>
            </w:r>
          </w:p>
        </w:tc>
        <w:tc>
          <w:tcPr>
            <w:tcW w:type="dxa" w:w="48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Interfaz intuitiva (requerimiento de usabilidad) y acompañamiento gerencial continuo.</w:t>
            </w:r>
          </w:p>
        </w:tc>
      </w:tr>
      <w:tr>
        <w:tc>
          <w:tcPr>
            <w:tcW w:type="dxa" w:w="30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Sobrecostos o desviación del alcance.</w:t>
            </w:r>
          </w:p>
        </w:tc>
        <w:tc>
          <w:tcPr>
            <w:tcW w:type="dxa" w:w="10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Media</w:t>
            </w:r>
          </w:p>
        </w:tc>
        <w:tc>
          <w:tcPr>
            <w:tcW w:type="dxa" w:w="12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Medio</w:t>
            </w:r>
          </w:p>
        </w:tc>
        <w:tc>
          <w:tcPr>
            <w:tcW w:type="dxa" w:w="488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MVP priorizado y alcance funcional incremental claramente delimitado.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12" w:space="6"/>
        </w:pBdr>
        <w:spacing w:after="200" w:before="400"/>
      </w:pPr>
      <w:r>
        <w:rPr>
          <w:b/>
          <w:bCs/>
          <w:color w:val="C8952A"/>
          <w:sz w:val="30"/>
          <w:szCs w:val="30"/>
        </w:rPr>
        <w:t xml:space="preserve">5. </w:t>
      </w:r>
      <w:r>
        <w:rPr>
          <w:b/>
          <w:bCs/>
          <w:color w:val="10233F"/>
          <w:sz w:val="30"/>
          <w:szCs w:val="30"/>
        </w:rPr>
        <w:t xml:space="preserve">Acta de constitución del proyecto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shd w:fill="10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80"/>
            <w:shd w:fill="10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Nombre del proyecto</w:t>
            </w:r>
          </w:p>
        </w:tc>
        <w:tc>
          <w:tcPr>
            <w:tcW w:type="dxa" w:w="74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AtlantiCRM 360 — Modernización del Sistema de Gestión de Clientes</w:t>
            </w:r>
          </w:p>
        </w:tc>
      </w:tr>
      <w:tr>
        <w:tc>
          <w:tcPr>
            <w:tcW w:type="dxa" w:w="26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Organización</w:t>
            </w:r>
          </w:p>
        </w:tc>
        <w:tc>
          <w:tcPr>
            <w:tcW w:type="dxa" w:w="748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Atlantic City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Patrocinador</w:t>
            </w:r>
          </w:p>
        </w:tc>
        <w:tc>
          <w:tcPr>
            <w:tcW w:type="dxa" w:w="74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Gerencia General, con participación de Operaciones, Marketing, RR.HH., Desarrollo de Negocios, Servicio al Cliente y TI</w:t>
            </w:r>
          </w:p>
        </w:tc>
      </w:tr>
      <w:tr>
        <w:tc>
          <w:tcPr>
            <w:tcW w:type="dxa" w:w="26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Justificación</w:t>
            </w:r>
          </w:p>
        </w:tc>
        <w:tc>
          <w:tcPr>
            <w:tcW w:type="dxa" w:w="748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La gestión fragmentada de la información de clientes en múltiples sistemas no integrados genera duplicidad, atención inconsistente y decisiones poco fundamentadas.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Objetivo general</w:t>
            </w:r>
          </w:p>
        </w:tc>
        <w:tc>
          <w:tcPr>
            <w:tcW w:type="dxa" w:w="74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Desarrollar un sistema de información piloto, con enfoque CRM, que centralice datos, segmente clientes, personalice promociones, gestione incidencias y genere reportes.</w:t>
            </w:r>
          </w:p>
        </w:tc>
      </w:tr>
      <w:tr>
        <w:tc>
          <w:tcPr>
            <w:tcW w:type="dxa" w:w="26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Objetivos específicos</w:t>
            </w:r>
          </w:p>
        </w:tc>
        <w:tc>
          <w:tcPr>
            <w:tcW w:type="dxa" w:w="748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OB-01 a OB-06 (ver sección de objetivos SMART del informe técnico): centralización, reducción de duplicidad, eficiencia en atención, efectividad de promociones, tableros gerenciales y capacitación de usuarios.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Alcance incluido</w:t>
            </w:r>
          </w:p>
        </w:tc>
        <w:tc>
          <w:tcPr>
            <w:tcW w:type="dxa" w:w="74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Gestión de clientes, visitas e interacciones, segmentación, promociones, atención al cliente, reportes y analítica básica.</w:t>
            </w:r>
          </w:p>
        </w:tc>
      </w:tr>
      <w:tr>
        <w:tc>
          <w:tcPr>
            <w:tcW w:type="dxa" w:w="26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Alcance excluido (fase posterior)</w:t>
            </w:r>
          </w:p>
        </w:tc>
        <w:tc>
          <w:tcPr>
            <w:tcW w:type="dxa" w:w="748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Integraciones con sistemas externos de membresías/marketing, analítica avanzada y recomendaciones automáticas.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Duración estimada</w:t>
            </w:r>
          </w:p>
        </w:tc>
        <w:tc>
          <w:tcPr>
            <w:tcW w:type="dxa" w:w="74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12 a 16 semanas para el piloto funcional completo.</w:t>
            </w:r>
          </w:p>
        </w:tc>
      </w:tr>
      <w:tr>
        <w:tc>
          <w:tcPr>
            <w:tcW w:type="dxa" w:w="26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Principales interesados</w:t>
            </w:r>
          </w:p>
        </w:tc>
        <w:tc>
          <w:tcPr>
            <w:tcW w:type="dxa" w:w="748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Operaciones, Marketing, RR.HH., Desarrollo de Negocios, Servicio al Cliente, Tecnologías de la Información.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74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Plazos y presupuesto definidos por las gerencias; disponibilidad de usuarios clave para pruebas y capacitación.</w:t>
            </w:r>
          </w:p>
        </w:tc>
      </w:tr>
      <w:tr>
        <w:tc>
          <w:tcPr>
            <w:tcW w:type="dxa" w:w="26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Supuestos</w:t>
            </w:r>
          </w:p>
        </w:tc>
        <w:tc>
          <w:tcPr>
            <w:tcW w:type="dxa" w:w="748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Los porcentajes y plazos de los objetivos SMART son una línea base que debe ser validada por las gerencias involucradas.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Aprobación</w:t>
            </w:r>
          </w:p>
        </w:tc>
        <w:tc>
          <w:tcPr>
            <w:tcW w:type="dxa" w:w="74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________________________  (Gerencia General / Patrocinador del proyecto)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12" w:space="6"/>
        </w:pBdr>
        <w:spacing w:after="200" w:before="400"/>
      </w:pPr>
      <w:r>
        <w:rPr>
          <w:b/>
          <w:bCs/>
          <w:color w:val="C8952A"/>
          <w:sz w:val="30"/>
          <w:szCs w:val="30"/>
        </w:rPr>
        <w:t xml:space="preserve">6. </w:t>
      </w:r>
      <w:r>
        <w:rPr>
          <w:b/>
          <w:bCs/>
          <w:color w:val="10233F"/>
          <w:sz w:val="30"/>
          <w:szCs w:val="30"/>
        </w:rPr>
        <w:t xml:space="preserve">Informe detallado del problema</w:t>
      </w:r>
    </w:p>
    <w:p>
      <w:pPr>
        <w:pStyle w:val="Heading2"/>
        <w:spacing w:after="120" w:before="260"/>
      </w:pPr>
      <w:r>
        <w:rPr>
          <w:b/>
          <w:bCs/>
          <w:color w:val="10233F"/>
          <w:sz w:val="24"/>
          <w:szCs w:val="24"/>
        </w:rPr>
        <w:t xml:space="preserve">6.1. Resumen ejecutivo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Atlantic City presenta una problemática crítica vinculada a la gestión fragmentada de la información de clientes. La organización utiliza múltiples sistemas o aplicaciones para gestionar inscripción, seguimiento de promociones, membresías, atención y operaciones diarias; sin embargo, estos sistemas no se encuentran integrados. Como consecuencia, se generan duplicidad de datos, procesos ineficientes, atención inconsistente y dificultades para tomar decisiones estratégicas con información confiable y oportuna.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952A" w:sz="4"/>
              <w:left w:val="single" w:color="C8952A" w:sz="24"/>
              <w:bottom w:val="single" w:color="C8952A" w:sz="4"/>
              <w:right w:val="single" w:color="C8952A" w:sz="4"/>
            </w:tcBorders>
            <w:shd w:fill="EFF2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10233F"/>
                <w:sz w:val="19"/>
                <w:szCs w:val="19"/>
              </w:rPr>
              <w:t xml:space="preserve">IDEA CENTRAL DEL PROYECTO</w:t>
            </w:r>
          </w:p>
          <w:p>
            <w:r>
              <w:rPr>
                <w:i/>
                <w:iCs/>
                <w:color w:val="34404E"/>
                <w:sz w:val="21"/>
                <w:szCs w:val="21"/>
              </w:rPr>
              <w:t xml:space="preserve">No se trata solamente de construir una aplicación web; se trata de habilitar una transformación digital centrada en el cliente, la eficiencia operativa y la toma de decisiones basada en datos.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b/>
          <w:bCs/>
          <w:color w:val="10233F"/>
          <w:sz w:val="24"/>
          <w:szCs w:val="24"/>
        </w:rPr>
        <w:t xml:space="preserve">6.2. Problema principal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La ausencia de una plataforma integrada impide consolidar una visión única del cliente y afecta la calidad del servicio. La información se encuentra dispersa, duplicada y no sincronizada entre las áreas de la empresa (ver Matriz de diagnóstico, sección 1).</w:t>
      </w:r>
    </w:p>
    <w:p>
      <w:pPr>
        <w:pStyle w:val="Heading2"/>
        <w:spacing w:after="120" w:before="260"/>
      </w:pPr>
      <w:r>
        <w:rPr>
          <w:b/>
          <w:bCs/>
          <w:color w:val="10233F"/>
          <w:sz w:val="24"/>
          <w:szCs w:val="24"/>
        </w:rPr>
        <w:t xml:space="preserve">6.3. Causas y consecuencias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Detalladas en el árbol de problemas (sección 2.1): cinco causas raíz —sistemas aislados, ausencia de repositorio centralizado, falta de reglas de integridad, limitada capacidad analítica y procesos dependientes de información dispersa— generan cinco consecuencias principales: insatisfacción del cliente, pérdida de oportunidades, baja eficiencia operativa, decisiones poco fundamentadas y crecimiento desordenado.</w:t>
      </w:r>
    </w:p>
    <w:p>
      <w:pPr>
        <w:pStyle w:val="Heading2"/>
        <w:spacing w:after="120" w:before="260"/>
      </w:pPr>
      <w:r>
        <w:rPr>
          <w:b/>
          <w:bCs/>
          <w:color w:val="10233F"/>
          <w:sz w:val="24"/>
          <w:szCs w:val="24"/>
        </w:rPr>
        <w:t xml:space="preserve">6.4. Necesidad del negocio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B2B2B"/>
          <w:sz w:val="21"/>
          <w:szCs w:val="21"/>
        </w:rPr>
        <w:t xml:space="preserve">Centralizar información: Unificar datos personales, visitas, preferencias, promociones, interacciones e incidencias en una sola plataforma.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B2B2B"/>
          <w:sz w:val="21"/>
          <w:szCs w:val="21"/>
        </w:rPr>
        <w:t xml:space="preserve">Evitar duplicidad: Implementar validaciones y reglas de unicidad para reducir registros repetidos o contradictorios.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B2B2B"/>
          <w:sz w:val="21"/>
          <w:szCs w:val="21"/>
        </w:rPr>
        <w:t xml:space="preserve">Mejorar atención: Disponer de historial completo para ofrecer respuestas rápidas, consistentes y personalizadas.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B2B2B"/>
          <w:sz w:val="21"/>
          <w:szCs w:val="21"/>
        </w:rPr>
        <w:t xml:space="preserve">Gestionar promociones: Crear, asignar, personalizar y medir campañas promocionales según segmentos de clientes.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B2B2B"/>
          <w:sz w:val="21"/>
          <w:szCs w:val="21"/>
        </w:rPr>
        <w:t xml:space="preserve">Segmentar clientes: Clasificar clientes por frecuencia, nivel de gasto, preferencias, comportamiento e historial promocional.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B2B2B"/>
          <w:sz w:val="21"/>
          <w:szCs w:val="21"/>
        </w:rPr>
        <w:t xml:space="preserve">Generar reportes: Visualizar indicadores comerciales, operativos y de servicio para apoyar decisiones gerenciales.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B2B2B"/>
          <w:sz w:val="21"/>
          <w:szCs w:val="21"/>
        </w:rPr>
        <w:t xml:space="preserve">Automatizar procesos: Reducir tareas repetitivas vinculadas al registro, seguimiento y análisis de información.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B2B2B"/>
          <w:sz w:val="21"/>
          <w:szCs w:val="21"/>
        </w:rPr>
        <w:t xml:space="preserve">Fortalecer el enfoque data-driven: Convertir los datos de clientes en un activo estratégico para crecimiento y competitividad.</w:t>
      </w:r>
    </w:p>
    <w:p>
      <w:pPr>
        <w:spacing w:after="120"/>
      </w:pPr>
    </w:p>
    <w:p>
      <w:pPr>
        <w:spacing w:after="160" w:line="300"/>
      </w:pPr>
      <w:r>
        <w:rPr>
          <w:b w:val="false"/>
          <w:bCs w:val="false"/>
          <w:i/>
          <w:iCs/>
          <w:color w:val="2B2B2B"/>
          <w:sz w:val="21"/>
          <w:szCs w:val="21"/>
        </w:rPr>
        <w:t xml:space="preserve">Nota: las interfaces de la solución (capturas del prototipo) se presentan en la sección 10 — Prototipado de la solución.</w:t>
      </w:r>
    </w:p>
    <w:p>
      <w:r>
        <w:br w:type="page"/>
      </w:r>
    </w:p>
    <w:p>
      <w:pPr>
        <w:pStyle w:val="Heading1"/>
        <w:pBdr>
          <w:bottom w:val="single" w:color="C8952A" w:sz="12" w:space="6"/>
        </w:pBdr>
        <w:spacing w:after="200" w:before="400"/>
      </w:pPr>
      <w:r>
        <w:rPr>
          <w:b/>
          <w:bCs/>
          <w:color w:val="C8952A"/>
          <w:sz w:val="30"/>
          <w:szCs w:val="30"/>
        </w:rPr>
        <w:t xml:space="preserve">7. </w:t>
      </w:r>
      <w:r>
        <w:rPr>
          <w:b/>
          <w:bCs/>
          <w:color w:val="10233F"/>
          <w:sz w:val="30"/>
          <w:szCs w:val="30"/>
        </w:rPr>
        <w:t xml:space="preserve">Hitos del proyecto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5780"/>
      </w:tblGrid>
      <w:tr>
        <w:trPr>
          <w:tblHeader/>
        </w:trPr>
        <w:tc>
          <w:tcPr>
            <w:tcW w:type="dxa" w:w="2600"/>
            <w:shd w:fill="10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Hito</w:t>
            </w:r>
          </w:p>
        </w:tc>
        <w:tc>
          <w:tcPr>
            <w:tcW w:type="dxa" w:w="1700"/>
            <w:shd w:fill="10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Plazo estimado</w:t>
            </w:r>
          </w:p>
        </w:tc>
        <w:tc>
          <w:tcPr>
            <w:tcW w:type="dxa" w:w="5780"/>
            <w:shd w:fill="10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 / objetivo asociado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H1 – Formalización</w:t>
            </w:r>
          </w:p>
        </w:tc>
        <w:tc>
          <w:tcPr>
            <w:tcW w:type="dxa" w:w="1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Semana 2</w:t>
            </w:r>
          </w:p>
        </w:tc>
        <w:tc>
          <w:tcPr>
            <w:tcW w:type="dxa" w:w="57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Acta de constitución, diagnóstico, árbol de problemas/objetivos y FODA aprobados.</w:t>
            </w:r>
          </w:p>
        </w:tc>
      </w:tr>
      <w:tr>
        <w:tc>
          <w:tcPr>
            <w:tcW w:type="dxa" w:w="26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H2 – Diseño</w:t>
            </w:r>
          </w:p>
        </w:tc>
        <w:tc>
          <w:tcPr>
            <w:tcW w:type="dxa" w:w="17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Semana 4</w:t>
            </w:r>
          </w:p>
        </w:tc>
        <w:tc>
          <w:tcPr>
            <w:tcW w:type="dxa" w:w="578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Modelo de datos, arquitectura y requerimientos (funcionales y no funcionales) validados.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H3 – MVP núcleo</w:t>
            </w:r>
          </w:p>
        </w:tc>
        <w:tc>
          <w:tcPr>
            <w:tcW w:type="dxa" w:w="1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Semana 8</w:t>
            </w:r>
          </w:p>
        </w:tc>
        <w:tc>
          <w:tcPr>
            <w:tcW w:type="dxa" w:w="57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Módulos de login, gestión de clientes, ficha única e historial de visitas funcionando.</w:t>
            </w:r>
          </w:p>
        </w:tc>
      </w:tr>
      <w:tr>
        <w:tc>
          <w:tcPr>
            <w:tcW w:type="dxa" w:w="26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H4 – Centralización</w:t>
            </w:r>
          </w:p>
        </w:tc>
        <w:tc>
          <w:tcPr>
            <w:tcW w:type="dxa" w:w="17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Semana 12</w:t>
            </w:r>
          </w:p>
        </w:tc>
        <w:tc>
          <w:tcPr>
            <w:tcW w:type="dxa" w:w="578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OB-01: al menos 90% de la información crítica centralizada en la plataforma piloto.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H5 – Calidad de datos y atención</w:t>
            </w:r>
          </w:p>
        </w:tc>
        <w:tc>
          <w:tcPr>
            <w:tcW w:type="dxa" w:w="1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Mes 3</w:t>
            </w:r>
          </w:p>
        </w:tc>
        <w:tc>
          <w:tcPr>
            <w:tcW w:type="dxa" w:w="57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OB-02: reducción del 60% en duplicidad. OB-03: mejora del 30% en eficiencia de atención.</w:t>
            </w:r>
          </w:p>
        </w:tc>
      </w:tr>
      <w:tr>
        <w:tc>
          <w:tcPr>
            <w:tcW w:type="dxa" w:w="26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H6 – Valor comercial</w:t>
            </w:r>
          </w:p>
        </w:tc>
        <w:tc>
          <w:tcPr>
            <w:tcW w:type="dxa" w:w="17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Mes 4</w:t>
            </w:r>
          </w:p>
        </w:tc>
        <w:tc>
          <w:tcPr>
            <w:tcW w:type="dxa" w:w="578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OB-04: +20% de efectividad en promociones personalizadas. OB-05: tableros gerenciales desplegados.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H7 – Adopción y cierre del piloto</w:t>
            </w:r>
          </w:p>
        </w:tc>
        <w:tc>
          <w:tcPr>
            <w:tcW w:type="dxa" w:w="1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Mes 4 (fin)</w:t>
            </w:r>
          </w:p>
        </w:tc>
        <w:tc>
          <w:tcPr>
            <w:tcW w:type="dxa" w:w="57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OB-06: 80% de usuarios clave capacitados; evaluación de criterios de éxito y decisión de escalamiento.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12" w:space="6"/>
        </w:pBdr>
        <w:spacing w:after="200" w:before="400"/>
      </w:pPr>
      <w:r>
        <w:rPr>
          <w:b/>
          <w:bCs/>
          <w:color w:val="C8952A"/>
          <w:sz w:val="30"/>
          <w:szCs w:val="30"/>
        </w:rPr>
        <w:t xml:space="preserve">8. </w:t>
      </w:r>
      <w:r>
        <w:rPr>
          <w:b/>
          <w:bCs/>
          <w:color w:val="10233F"/>
          <w:sz w:val="30"/>
          <w:szCs w:val="30"/>
        </w:rPr>
        <w:t xml:space="preserve">Requerimientos funcionales</w:t>
      </w:r>
    </w:p>
    <w:p>
      <w:pPr>
        <w:pStyle w:val="Heading2"/>
        <w:spacing w:after="120" w:before="260"/>
      </w:pPr>
      <w:r>
        <w:rPr>
          <w:b/>
          <w:bCs/>
          <w:color w:val="10233F"/>
          <w:sz w:val="24"/>
          <w:szCs w:val="24"/>
        </w:rPr>
        <w:t xml:space="preserve">8.1. Módulo de gestión de clientes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rPr>
          <w:tblHeader/>
        </w:trPr>
        <w:tc>
          <w:tcPr>
            <w:tcW w:type="dxa" w:w="1200"/>
            <w:shd w:fill="10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8880"/>
            <w:shd w:fill="10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RF-01</w:t>
            </w:r>
          </w:p>
        </w:tc>
        <w:tc>
          <w:tcPr>
            <w:tcW w:type="dxa" w:w="88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Permitir registrar nuevos clientes con datos personales, datos de contacto y complementarios.</w:t>
            </w:r>
          </w:p>
        </w:tc>
      </w:tr>
      <w:tr>
        <w:tc>
          <w:tcPr>
            <w:tcW w:type="dxa" w:w="12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RF-02</w:t>
            </w:r>
          </w:p>
        </w:tc>
        <w:tc>
          <w:tcPr>
            <w:tcW w:type="dxa" w:w="888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Permitir consultar, modificar, activar o desactivar perfiles de clientes.</w:t>
            </w:r>
          </w:p>
        </w:tc>
      </w:tr>
      <w:tr>
        <w:tc>
          <w:tcPr>
            <w:tcW w:type="dxa" w:w="1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RF-03</w:t>
            </w:r>
          </w:p>
        </w:tc>
        <w:tc>
          <w:tcPr>
            <w:tcW w:type="dxa" w:w="88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Validar la existencia previa de un cliente para evitar registros duplicados.</w:t>
            </w:r>
          </w:p>
        </w:tc>
      </w:tr>
      <w:tr>
        <w:tc>
          <w:tcPr>
            <w:tcW w:type="dxa" w:w="12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RF-04</w:t>
            </w:r>
          </w:p>
        </w:tc>
        <w:tc>
          <w:tcPr>
            <w:tcW w:type="dxa" w:w="888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Mostrar una ficha única del cliente con datos, visitas, preferencias, promociones e incidencias.</w:t>
            </w:r>
          </w:p>
        </w:tc>
      </w:tr>
      <w:tr>
        <w:tc>
          <w:tcPr>
            <w:tcW w:type="dxa" w:w="1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RF-05</w:t>
            </w:r>
          </w:p>
        </w:tc>
        <w:tc>
          <w:tcPr>
            <w:tcW w:type="dxa" w:w="88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Permitir buscar clientes por nombre, documento, correo, teléfono o código interno.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rPr>
          <w:b/>
          <w:bCs/>
          <w:color w:val="10233F"/>
          <w:sz w:val="24"/>
          <w:szCs w:val="24"/>
        </w:rPr>
        <w:t xml:space="preserve">8.2. Módulo de visitas e interacciones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rPr>
          <w:tblHeader/>
        </w:trPr>
        <w:tc>
          <w:tcPr>
            <w:tcW w:type="dxa" w:w="1200"/>
            <w:shd w:fill="10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8880"/>
            <w:shd w:fill="10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RF-06</w:t>
            </w:r>
          </w:p>
        </w:tc>
        <w:tc>
          <w:tcPr>
            <w:tcW w:type="dxa" w:w="88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Permitir registrar cada visita del cliente a Atlantic City.</w:t>
            </w:r>
          </w:p>
        </w:tc>
      </w:tr>
      <w:tr>
        <w:tc>
          <w:tcPr>
            <w:tcW w:type="dxa" w:w="12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RF-07</w:t>
            </w:r>
          </w:p>
        </w:tc>
        <w:tc>
          <w:tcPr>
            <w:tcW w:type="dxa" w:w="888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Almacenar preferencias identificadas durante las visitas del cliente.</w:t>
            </w:r>
          </w:p>
        </w:tc>
      </w:tr>
      <w:tr>
        <w:tc>
          <w:tcPr>
            <w:tcW w:type="dxa" w:w="1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RF-08</w:t>
            </w:r>
          </w:p>
        </w:tc>
        <w:tc>
          <w:tcPr>
            <w:tcW w:type="dxa" w:w="88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Registrar comunicaciones previas, promociones enviadas y respuestas del cliente.</w:t>
            </w:r>
          </w:p>
        </w:tc>
      </w:tr>
      <w:tr>
        <w:tc>
          <w:tcPr>
            <w:tcW w:type="dxa" w:w="12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RF-09</w:t>
            </w:r>
          </w:p>
        </w:tc>
        <w:tc>
          <w:tcPr>
            <w:tcW w:type="dxa" w:w="888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Visualizar una línea de tiempo del historial de interacción del cliente.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rPr>
          <w:b/>
          <w:bCs/>
          <w:color w:val="10233F"/>
          <w:sz w:val="24"/>
          <w:szCs w:val="24"/>
        </w:rPr>
        <w:t xml:space="preserve">8.3. Módulo de segmentación de clientes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rPr>
          <w:tblHeader/>
        </w:trPr>
        <w:tc>
          <w:tcPr>
            <w:tcW w:type="dxa" w:w="1200"/>
            <w:shd w:fill="10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8880"/>
            <w:shd w:fill="10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RF-10</w:t>
            </w:r>
          </w:p>
        </w:tc>
        <w:tc>
          <w:tcPr>
            <w:tcW w:type="dxa" w:w="88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Permitir segmentar clientes por frecuencia de visitas.</w:t>
            </w:r>
          </w:p>
        </w:tc>
      </w:tr>
      <w:tr>
        <w:tc>
          <w:tcPr>
            <w:tcW w:type="dxa" w:w="12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RF-11</w:t>
            </w:r>
          </w:p>
        </w:tc>
        <w:tc>
          <w:tcPr>
            <w:tcW w:type="dxa" w:w="888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Permitir segmentar clientes por nivel de gasto o consumo.</w:t>
            </w:r>
          </w:p>
        </w:tc>
      </w:tr>
      <w:tr>
        <w:tc>
          <w:tcPr>
            <w:tcW w:type="dxa" w:w="1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RF-12</w:t>
            </w:r>
          </w:p>
        </w:tc>
        <w:tc>
          <w:tcPr>
            <w:tcW w:type="dxa" w:w="88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Permitir segmentar clientes por preferencias de juegos, servicios o promociones.</w:t>
            </w:r>
          </w:p>
        </w:tc>
      </w:tr>
      <w:tr>
        <w:tc>
          <w:tcPr>
            <w:tcW w:type="dxa" w:w="12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RF-13</w:t>
            </w:r>
          </w:p>
        </w:tc>
        <w:tc>
          <w:tcPr>
            <w:tcW w:type="dxa" w:w="888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Permitir crear segmentos personalizados mediante filtros combinados.</w:t>
            </w:r>
          </w:p>
        </w:tc>
      </w:tr>
      <w:tr>
        <w:tc>
          <w:tcPr>
            <w:tcW w:type="dxa" w:w="1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RF-14</w:t>
            </w:r>
          </w:p>
        </w:tc>
        <w:tc>
          <w:tcPr>
            <w:tcW w:type="dxa" w:w="88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Permitir exportar o utilizar segmentos para campañas promocionales.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rPr>
          <w:b/>
          <w:bCs/>
          <w:color w:val="10233F"/>
          <w:sz w:val="24"/>
          <w:szCs w:val="24"/>
        </w:rPr>
        <w:t xml:space="preserve">8.4. Módulo de promociones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rPr>
          <w:tblHeader/>
        </w:trPr>
        <w:tc>
          <w:tcPr>
            <w:tcW w:type="dxa" w:w="1200"/>
            <w:shd w:fill="10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8880"/>
            <w:shd w:fill="10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RF-15</w:t>
            </w:r>
          </w:p>
        </w:tc>
        <w:tc>
          <w:tcPr>
            <w:tcW w:type="dxa" w:w="88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Permitir crear promociones y ofertas personalizadas.</w:t>
            </w:r>
          </w:p>
        </w:tc>
      </w:tr>
      <w:tr>
        <w:tc>
          <w:tcPr>
            <w:tcW w:type="dxa" w:w="12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RF-16</w:t>
            </w:r>
          </w:p>
        </w:tc>
        <w:tc>
          <w:tcPr>
            <w:tcW w:type="dxa" w:w="888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Permitir asociar promociones a segmentos específicos de clientes.</w:t>
            </w:r>
          </w:p>
        </w:tc>
      </w:tr>
      <w:tr>
        <w:tc>
          <w:tcPr>
            <w:tcW w:type="dxa" w:w="1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RF-17</w:t>
            </w:r>
          </w:p>
        </w:tc>
        <w:tc>
          <w:tcPr>
            <w:tcW w:type="dxa" w:w="88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Registrar promociones enviadas, aceptadas, usadas o vencidas.</w:t>
            </w:r>
          </w:p>
        </w:tc>
      </w:tr>
      <w:tr>
        <w:tc>
          <w:tcPr>
            <w:tcW w:type="dxa" w:w="12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RF-18</w:t>
            </w:r>
          </w:p>
        </w:tc>
        <w:tc>
          <w:tcPr>
            <w:tcW w:type="dxa" w:w="888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Mostrar indicadores de efectividad de cada promoción.</w:t>
            </w:r>
          </w:p>
        </w:tc>
      </w:tr>
      <w:tr>
        <w:tc>
          <w:tcPr>
            <w:tcW w:type="dxa" w:w="1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RF-19</w:t>
            </w:r>
          </w:p>
        </w:tc>
        <w:tc>
          <w:tcPr>
            <w:tcW w:type="dxa" w:w="88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Recomendar promociones según preferencias o comportamiento histórico.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rPr>
          <w:b/>
          <w:bCs/>
          <w:color w:val="10233F"/>
          <w:sz w:val="24"/>
          <w:szCs w:val="24"/>
        </w:rPr>
        <w:t xml:space="preserve">8.5. Módulo de atención al cliente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rPr>
          <w:tblHeader/>
        </w:trPr>
        <w:tc>
          <w:tcPr>
            <w:tcW w:type="dxa" w:w="1200"/>
            <w:shd w:fill="10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8880"/>
            <w:shd w:fill="10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RF-20</w:t>
            </w:r>
          </w:p>
        </w:tc>
        <w:tc>
          <w:tcPr>
            <w:tcW w:type="dxa" w:w="88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Registrar quejas, reclamos, problemas y solicitudes de clientes.</w:t>
            </w:r>
          </w:p>
        </w:tc>
      </w:tr>
      <w:tr>
        <w:tc>
          <w:tcPr>
            <w:tcW w:type="dxa" w:w="12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RF-21</w:t>
            </w:r>
          </w:p>
        </w:tc>
        <w:tc>
          <w:tcPr>
            <w:tcW w:type="dxa" w:w="888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Asignar incidencias a responsables o áreas correspondientes.</w:t>
            </w:r>
          </w:p>
        </w:tc>
      </w:tr>
      <w:tr>
        <w:tc>
          <w:tcPr>
            <w:tcW w:type="dxa" w:w="1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RF-22</w:t>
            </w:r>
          </w:p>
        </w:tc>
        <w:tc>
          <w:tcPr>
            <w:tcW w:type="dxa" w:w="88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Actualizar el estado de una incidencia: pendiente, en proceso, resuelta o cerrada.</w:t>
            </w:r>
          </w:p>
        </w:tc>
      </w:tr>
      <w:tr>
        <w:tc>
          <w:tcPr>
            <w:tcW w:type="dxa" w:w="12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RF-23</w:t>
            </w:r>
          </w:p>
        </w:tc>
        <w:tc>
          <w:tcPr>
            <w:tcW w:type="dxa" w:w="888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Conservar el historial de soluciones aplicadas por cliente.</w:t>
            </w:r>
          </w:p>
        </w:tc>
      </w:tr>
      <w:tr>
        <w:tc>
          <w:tcPr>
            <w:tcW w:type="dxa" w:w="1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RF-24</w:t>
            </w:r>
          </w:p>
        </w:tc>
        <w:tc>
          <w:tcPr>
            <w:tcW w:type="dxa" w:w="88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Generar alertas sobre incidencias pendientes o vencidas.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rPr>
          <w:b/>
          <w:bCs/>
          <w:color w:val="10233F"/>
          <w:sz w:val="24"/>
          <w:szCs w:val="24"/>
        </w:rPr>
        <w:t xml:space="preserve">8.6. Módulo de reportes y seguridad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rPr>
          <w:tblHeader/>
        </w:trPr>
        <w:tc>
          <w:tcPr>
            <w:tcW w:type="dxa" w:w="1200"/>
            <w:shd w:fill="10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8880"/>
            <w:shd w:fill="10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RF-25</w:t>
            </w:r>
          </w:p>
        </w:tc>
        <w:tc>
          <w:tcPr>
            <w:tcW w:type="dxa" w:w="88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Mostrar reportes sobre clientes activos, frecuentes e inactivos.</w:t>
            </w:r>
          </w:p>
        </w:tc>
      </w:tr>
      <w:tr>
        <w:tc>
          <w:tcPr>
            <w:tcW w:type="dxa" w:w="12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RF-26</w:t>
            </w:r>
          </w:p>
        </w:tc>
        <w:tc>
          <w:tcPr>
            <w:tcW w:type="dxa" w:w="888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Mostrar reportes sobre promociones más exitosas.</w:t>
            </w:r>
          </w:p>
        </w:tc>
      </w:tr>
      <w:tr>
        <w:tc>
          <w:tcPr>
            <w:tcW w:type="dxa" w:w="1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RF-27</w:t>
            </w:r>
          </w:p>
        </w:tc>
        <w:tc>
          <w:tcPr>
            <w:tcW w:type="dxa" w:w="88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Permitir filtrar reportes por fecha, segmento, promoción o tipo.</w:t>
            </w:r>
          </w:p>
        </w:tc>
      </w:tr>
      <w:tr>
        <w:tc>
          <w:tcPr>
            <w:tcW w:type="dxa" w:w="12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RF-28</w:t>
            </w:r>
          </w:p>
        </w:tc>
        <w:tc>
          <w:tcPr>
            <w:tcW w:type="dxa" w:w="888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Mostrar indicadores mediante gráficos, tarjetas y tablas dinámicas.</w:t>
            </w:r>
          </w:p>
        </w:tc>
      </w:tr>
      <w:tr>
        <w:tc>
          <w:tcPr>
            <w:tcW w:type="dxa" w:w="1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RF-29</w:t>
            </w:r>
          </w:p>
        </w:tc>
        <w:tc>
          <w:tcPr>
            <w:tcW w:type="dxa" w:w="88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Permitir exportar reportes en PDF, Excel o CSV.</w:t>
            </w:r>
          </w:p>
        </w:tc>
      </w:tr>
      <w:tr>
        <w:tc>
          <w:tcPr>
            <w:tcW w:type="dxa" w:w="12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RF-30</w:t>
            </w:r>
          </w:p>
        </w:tc>
        <w:tc>
          <w:tcPr>
            <w:tcW w:type="dxa" w:w="888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Permitir inicio de sesión con usuario y contraseña.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  <w:pBdr>
          <w:bottom w:val="single" w:color="C8952A" w:sz="12" w:space="6"/>
        </w:pBdr>
        <w:spacing w:after="200" w:before="400"/>
      </w:pPr>
      <w:r>
        <w:rPr>
          <w:b/>
          <w:bCs/>
          <w:color w:val="C8952A"/>
          <w:sz w:val="30"/>
          <w:szCs w:val="30"/>
        </w:rPr>
        <w:t xml:space="preserve">9. </w:t>
      </w:r>
      <w:r>
        <w:rPr>
          <w:b/>
          <w:bCs/>
          <w:color w:val="10233F"/>
          <w:sz w:val="30"/>
          <w:szCs w:val="30"/>
        </w:rPr>
        <w:t xml:space="preserve">Requerimientos no funcionales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80"/>
      </w:tblGrid>
      <w:tr>
        <w:trPr>
          <w:tblHeader/>
        </w:trPr>
        <w:tc>
          <w:tcPr>
            <w:tcW w:type="dxa" w:w="2400"/>
            <w:shd w:fill="10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6980"/>
            <w:shd w:fill="10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 no funcional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Usabilidad</w:t>
            </w:r>
          </w:p>
        </w:tc>
        <w:tc>
          <w:tcPr>
            <w:tcW w:type="dxa" w:w="69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La interfaz debe ser intuitiva, clara y fácil de usar para empleados de distintas áreas.</w:t>
            </w:r>
          </w:p>
        </w:tc>
      </w:tr>
      <w:tr>
        <w:tc>
          <w:tcPr>
            <w:tcW w:type="dxa" w:w="24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Seguridad</w:t>
            </w:r>
          </w:p>
        </w:tc>
        <w:tc>
          <w:tcPr>
            <w:tcW w:type="dxa" w:w="698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Los datos personales y financieros deben protegerse mediante autenticación, autorización y cifrado.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Rendimiento</w:t>
            </w:r>
          </w:p>
        </w:tc>
        <w:tc>
          <w:tcPr>
            <w:tcW w:type="dxa" w:w="69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Las consultas principales de clientes y reportes deben responder en tiempos adecuados para la operación diaria.</w:t>
            </w:r>
          </w:p>
        </w:tc>
      </w:tr>
      <w:tr>
        <w:tc>
          <w:tcPr>
            <w:tcW w:type="dxa" w:w="24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Disponibilidad</w:t>
            </w:r>
          </w:p>
        </w:tc>
        <w:tc>
          <w:tcPr>
            <w:tcW w:type="dxa" w:w="698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El sistema piloto debe estar disponible durante los horarios operativos definidos por la organización.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Escalabilidad</w:t>
            </w:r>
          </w:p>
        </w:tc>
        <w:tc>
          <w:tcPr>
            <w:tcW w:type="dxa" w:w="69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La arquitectura debe permitir incorporar nuevos módulos, gerencias o integraciones futuras.</w:t>
            </w:r>
          </w:p>
        </w:tc>
      </w:tr>
      <w:tr>
        <w:tc>
          <w:tcPr>
            <w:tcW w:type="dxa" w:w="24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Mantenibilidad</w:t>
            </w:r>
          </w:p>
        </w:tc>
        <w:tc>
          <w:tcPr>
            <w:tcW w:type="dxa" w:w="698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El código debe organizarse por módulos, capas y componentes reutilizables.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Integridad</w:t>
            </w:r>
          </w:p>
        </w:tc>
        <w:tc>
          <w:tcPr>
            <w:tcW w:type="dxa" w:w="69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La información debe validarse para evitar datos incompletos, inconsistentes o duplicados.</w:t>
            </w:r>
          </w:p>
        </w:tc>
      </w:tr>
      <w:tr>
        <w:tc>
          <w:tcPr>
            <w:tcW w:type="dxa" w:w="24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Interoperabilidad</w:t>
            </w:r>
          </w:p>
        </w:tc>
        <w:tc>
          <w:tcPr>
            <w:tcW w:type="dxa" w:w="698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El sistema debe integrarse progresivamente con otros sistemas actuales o futuros.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Trazabilidad</w:t>
            </w:r>
          </w:p>
        </w:tc>
        <w:tc>
          <w:tcPr>
            <w:tcW w:type="dxa" w:w="69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Las operaciones relevantes deben quedar registradas para auditoría y control.</w:t>
            </w:r>
          </w:p>
        </w:tc>
      </w:tr>
      <w:tr>
        <w:tc>
          <w:tcPr>
            <w:tcW w:type="dxa" w:w="24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Adaptabilidad</w:t>
            </w:r>
          </w:p>
        </w:tc>
        <w:tc>
          <w:tcPr>
            <w:tcW w:type="dxa" w:w="698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El sistema debe permitir ajustar reglas de segmentación, promociones y reportes sin rediseño integral.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12" w:space="6"/>
        </w:pBdr>
        <w:spacing w:after="200" w:before="400"/>
      </w:pPr>
      <w:r>
        <w:rPr>
          <w:b/>
          <w:bCs/>
          <w:color w:val="C8952A"/>
          <w:sz w:val="30"/>
          <w:szCs w:val="30"/>
        </w:rPr>
        <w:t xml:space="preserve">10. </w:t>
      </w:r>
      <w:r>
        <w:rPr>
          <w:b/>
          <w:bCs/>
          <w:color w:val="10233F"/>
          <w:sz w:val="30"/>
          <w:szCs w:val="30"/>
        </w:rPr>
        <w:t xml:space="preserve">Prototipado de la solución (baja fidelidad)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A continuación se describe el prototipo de baja fidelidad de AtlantiCRM 360, organizado por pantalla. Cada pantalla se describe mediante sus zonas principales y componentes, siguiendo el alcance funcional definido en las secciones 8 y 9.</w:t>
      </w:r>
    </w:p>
    <w:p>
      <w:pPr>
        <w:pStyle w:val="Heading2"/>
        <w:spacing w:after="120" w:before="260"/>
      </w:pPr>
      <w:r>
        <w:rPr>
          <w:b/>
          <w:bCs/>
          <w:color w:val="10233F"/>
          <w:sz w:val="24"/>
          <w:szCs w:val="24"/>
        </w:rPr>
        <w:t xml:space="preserve">Pantalla 1 — Login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Punto de entrada al sistema; valida credenciales y roles (RF-30).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80"/>
      </w:tblGrid>
      <w:tr>
        <w:trPr>
          <w:tblHeader/>
        </w:trPr>
        <w:tc>
          <w:tcPr>
            <w:tcW w:type="dxa" w:w="2600"/>
            <w:shd w:fill="10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Zona de la pantalla</w:t>
            </w:r>
          </w:p>
        </w:tc>
        <w:tc>
          <w:tcPr>
            <w:tcW w:type="dxa" w:w="6780"/>
            <w:shd w:fill="10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Contenido / componentes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Encabezado</w:t>
            </w:r>
          </w:p>
        </w:tc>
        <w:tc>
          <w:tcPr>
            <w:tcW w:type="dxa" w:w="67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Logo AtlantiCRM 360 y nombre de Atlantic City.</w:t>
            </w:r>
          </w:p>
        </w:tc>
      </w:tr>
      <w:tr>
        <w:tc>
          <w:tcPr>
            <w:tcW w:type="dxa" w:w="26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Formulario central</w:t>
            </w:r>
          </w:p>
        </w:tc>
        <w:tc>
          <w:tcPr>
            <w:tcW w:type="dxa" w:w="678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Campos de usuario y contraseña, botón 'Ingresar', enlace 'Olvidé mi contraseña'.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Mensajes</w:t>
            </w:r>
          </w:p>
        </w:tc>
        <w:tc>
          <w:tcPr>
            <w:tcW w:type="dxa" w:w="67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Alertas de error de validación (usuario/clave incorrectos).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b/>
          <w:bCs/>
          <w:color w:val="10233F"/>
          <w:sz w:val="24"/>
          <w:szCs w:val="24"/>
        </w:rPr>
        <w:t xml:space="preserve">Pantalla 2 — Dashboard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Vista inicial tras el login; resume los indicadores clave del negocio (RF-25 a RF-28).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80"/>
      </w:tblGrid>
      <w:tr>
        <w:trPr>
          <w:tblHeader/>
        </w:trPr>
        <w:tc>
          <w:tcPr>
            <w:tcW w:type="dxa" w:w="2600"/>
            <w:shd w:fill="10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Zona de la pantalla</w:t>
            </w:r>
          </w:p>
        </w:tc>
        <w:tc>
          <w:tcPr>
            <w:tcW w:type="dxa" w:w="6780"/>
            <w:shd w:fill="10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Contenido / componentes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Barra lateral (sidebar)</w:t>
            </w:r>
          </w:p>
        </w:tc>
        <w:tc>
          <w:tcPr>
            <w:tcW w:type="dxa" w:w="67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Menú de navegación: Dashboard, Clientes, Segmentación, Promociones, Atención, Reportes.</w:t>
            </w:r>
          </w:p>
        </w:tc>
      </w:tr>
      <w:tr>
        <w:tc>
          <w:tcPr>
            <w:tcW w:type="dxa" w:w="26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Tarjetas superiores (cards)</w:t>
            </w:r>
          </w:p>
        </w:tc>
        <w:tc>
          <w:tcPr>
            <w:tcW w:type="dxa" w:w="678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Clientes activos, clientes frecuentes, incidencias pendientes, promociones vigentes.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Panel de gráficos</w:t>
            </w:r>
          </w:p>
        </w:tc>
        <w:tc>
          <w:tcPr>
            <w:tcW w:type="dxa" w:w="67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Gráfico de clientes por segmento y gráfico de efectividad de promociones.</w:t>
            </w:r>
          </w:p>
        </w:tc>
      </w:tr>
      <w:tr>
        <w:tc>
          <w:tcPr>
            <w:tcW w:type="dxa" w:w="26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Alertas</w:t>
            </w:r>
          </w:p>
        </w:tc>
        <w:tc>
          <w:tcPr>
            <w:tcW w:type="dxa" w:w="678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Notificaciones de incidencias vencidas o pendientes (RF-24).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b/>
          <w:bCs/>
          <w:color w:val="10233F"/>
          <w:sz w:val="24"/>
          <w:szCs w:val="24"/>
        </w:rPr>
        <w:t xml:space="preserve">Pantalla 3 — Gestión de clientes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Listado, búsqueda y registro de clientes (RF-01 a RF-05).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80"/>
      </w:tblGrid>
      <w:tr>
        <w:trPr>
          <w:tblHeader/>
        </w:trPr>
        <w:tc>
          <w:tcPr>
            <w:tcW w:type="dxa" w:w="2600"/>
            <w:shd w:fill="10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Zona de la pantalla</w:t>
            </w:r>
          </w:p>
        </w:tc>
        <w:tc>
          <w:tcPr>
            <w:tcW w:type="dxa" w:w="6780"/>
            <w:shd w:fill="10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Contenido / componentes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Barra de búsqueda y filtros</w:t>
            </w:r>
          </w:p>
        </w:tc>
        <w:tc>
          <w:tcPr>
            <w:tcW w:type="dxa" w:w="67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Búsqueda por nombre, documento, correo, teléfono o código interno.</w:t>
            </w:r>
          </w:p>
        </w:tc>
      </w:tr>
      <w:tr>
        <w:tc>
          <w:tcPr>
            <w:tcW w:type="dxa" w:w="26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Tabla dinámica</w:t>
            </w:r>
          </w:p>
        </w:tc>
        <w:tc>
          <w:tcPr>
            <w:tcW w:type="dxa" w:w="678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Listado paginado de clientes con acciones: ver, editar, activar/desactivar.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Botón de acción principal</w:t>
            </w:r>
          </w:p>
        </w:tc>
        <w:tc>
          <w:tcPr>
            <w:tcW w:type="dxa" w:w="67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'Nuevo cliente', abre formulario de registro con validación de duplicados (RF-03).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b/>
          <w:bCs/>
          <w:color w:val="10233F"/>
          <w:sz w:val="24"/>
          <w:szCs w:val="24"/>
        </w:rPr>
        <w:t xml:space="preserve">Pantalla 4 — Ficha única del cliente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Vista consolidada de un cliente (RF-04, RF-06 a RF-09).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80"/>
      </w:tblGrid>
      <w:tr>
        <w:trPr>
          <w:tblHeader/>
        </w:trPr>
        <w:tc>
          <w:tcPr>
            <w:tcW w:type="dxa" w:w="2600"/>
            <w:shd w:fill="10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Zona de la pantalla</w:t>
            </w:r>
          </w:p>
        </w:tc>
        <w:tc>
          <w:tcPr>
            <w:tcW w:type="dxa" w:w="6780"/>
            <w:shd w:fill="10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Contenido / componentes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Encabezado del perfil</w:t>
            </w:r>
          </w:p>
        </w:tc>
        <w:tc>
          <w:tcPr>
            <w:tcW w:type="dxa" w:w="67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Datos personales y de contacto del cliente.</w:t>
            </w:r>
          </w:p>
        </w:tc>
      </w:tr>
      <w:tr>
        <w:tc>
          <w:tcPr>
            <w:tcW w:type="dxa" w:w="26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Pestaña 'Historial'</w:t>
            </w:r>
          </w:p>
        </w:tc>
        <w:tc>
          <w:tcPr>
            <w:tcW w:type="dxa" w:w="678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Línea de tiempo de visitas, interacciones y comunicaciones previas.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Pestaña 'Preferencias'</w:t>
            </w:r>
          </w:p>
        </w:tc>
        <w:tc>
          <w:tcPr>
            <w:tcW w:type="dxa" w:w="67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Preferencias identificadas y promociones recibidas.</w:t>
            </w:r>
          </w:p>
        </w:tc>
      </w:tr>
      <w:tr>
        <w:tc>
          <w:tcPr>
            <w:tcW w:type="dxa" w:w="26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Pestaña 'Incidencias'</w:t>
            </w:r>
          </w:p>
        </w:tc>
        <w:tc>
          <w:tcPr>
            <w:tcW w:type="dxa" w:w="678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Historial de quejas, solicitudes y su estado.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b/>
          <w:bCs/>
          <w:color w:val="10233F"/>
          <w:sz w:val="24"/>
          <w:szCs w:val="24"/>
        </w:rPr>
        <w:t xml:space="preserve">Pantalla 5 — Segmentación de clientes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Creación de segmentos mediante criterios combinados (RF-10 a RF-14).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80"/>
      </w:tblGrid>
      <w:tr>
        <w:trPr>
          <w:tblHeader/>
        </w:trPr>
        <w:tc>
          <w:tcPr>
            <w:tcW w:type="dxa" w:w="2600"/>
            <w:shd w:fill="10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Zona de la pantalla</w:t>
            </w:r>
          </w:p>
        </w:tc>
        <w:tc>
          <w:tcPr>
            <w:tcW w:type="dxa" w:w="6780"/>
            <w:shd w:fill="10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Contenido / componentes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Panel de filtros</w:t>
            </w:r>
          </w:p>
        </w:tc>
        <w:tc>
          <w:tcPr>
            <w:tcW w:type="dxa" w:w="67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Frecuencia de visitas, nivel de gasto, preferencias de juegos/servicios.</w:t>
            </w:r>
          </w:p>
        </w:tc>
      </w:tr>
      <w:tr>
        <w:tc>
          <w:tcPr>
            <w:tcW w:type="dxa" w:w="26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Resultado de segmentación</w:t>
            </w:r>
          </w:p>
        </w:tc>
        <w:tc>
          <w:tcPr>
            <w:tcW w:type="dxa" w:w="678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Tabla con clientes que cumplen los criterios seleccionados.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Acción de exportación</w:t>
            </w:r>
          </w:p>
        </w:tc>
        <w:tc>
          <w:tcPr>
            <w:tcW w:type="dxa" w:w="67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Botón para usar el segmento en una campaña de promociones.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b/>
          <w:bCs/>
          <w:color w:val="10233F"/>
          <w:sz w:val="24"/>
          <w:szCs w:val="24"/>
        </w:rPr>
        <w:t xml:space="preserve">Pantalla 6 — Promociones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Creación, asignación y medición de campañas (RF-15 a RF-19).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80"/>
      </w:tblGrid>
      <w:tr>
        <w:trPr>
          <w:tblHeader/>
        </w:trPr>
        <w:tc>
          <w:tcPr>
            <w:tcW w:type="dxa" w:w="2600"/>
            <w:shd w:fill="10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Zona de la pantalla</w:t>
            </w:r>
          </w:p>
        </w:tc>
        <w:tc>
          <w:tcPr>
            <w:tcW w:type="dxa" w:w="6780"/>
            <w:shd w:fill="10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Contenido / componentes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Listado de promociones</w:t>
            </w:r>
          </w:p>
        </w:tc>
        <w:tc>
          <w:tcPr>
            <w:tcW w:type="dxa" w:w="67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Estado: enviada, aceptada, usada o vencida.</w:t>
            </w:r>
          </w:p>
        </w:tc>
      </w:tr>
      <w:tr>
        <w:tc>
          <w:tcPr>
            <w:tcW w:type="dxa" w:w="26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Formulario de nueva promoción</w:t>
            </w:r>
          </w:p>
        </w:tc>
        <w:tc>
          <w:tcPr>
            <w:tcW w:type="dxa" w:w="678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Nombre, segmento asociado, vigencia, beneficio.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Panel de efectividad</w:t>
            </w:r>
          </w:p>
        </w:tc>
        <w:tc>
          <w:tcPr>
            <w:tcW w:type="dxa" w:w="67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Indicadores de aceptación y uso por promoción.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b/>
          <w:bCs/>
          <w:color w:val="10233F"/>
          <w:sz w:val="24"/>
          <w:szCs w:val="24"/>
        </w:rPr>
        <w:t xml:space="preserve">Pantalla 7 — Atención al cliente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Registro y seguimiento de incidencias (RF-20 a RF-24).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80"/>
      </w:tblGrid>
      <w:tr>
        <w:trPr>
          <w:tblHeader/>
        </w:trPr>
        <w:tc>
          <w:tcPr>
            <w:tcW w:type="dxa" w:w="2600"/>
            <w:shd w:fill="10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Zona de la pantalla</w:t>
            </w:r>
          </w:p>
        </w:tc>
        <w:tc>
          <w:tcPr>
            <w:tcW w:type="dxa" w:w="6780"/>
            <w:shd w:fill="10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Contenido / componentes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Bandeja de incidencias</w:t>
            </w:r>
          </w:p>
        </w:tc>
        <w:tc>
          <w:tcPr>
            <w:tcW w:type="dxa" w:w="67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Listado con estado: pendiente, en proceso, resuelta, cerrada.</w:t>
            </w:r>
          </w:p>
        </w:tc>
      </w:tr>
      <w:tr>
        <w:tc>
          <w:tcPr>
            <w:tcW w:type="dxa" w:w="26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Formulario de incidencia</w:t>
            </w:r>
          </w:p>
        </w:tc>
        <w:tc>
          <w:tcPr>
            <w:tcW w:type="dxa" w:w="678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Cliente, tipo (queja/reclamo/solicitud), responsable asignado.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Historial de soluciones</w:t>
            </w:r>
          </w:p>
        </w:tc>
        <w:tc>
          <w:tcPr>
            <w:tcW w:type="dxa" w:w="67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Registro de acciones aplicadas por incidencia.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b/>
          <w:bCs/>
          <w:color w:val="10233F"/>
          <w:sz w:val="24"/>
          <w:szCs w:val="24"/>
        </w:rPr>
        <w:t xml:space="preserve">Pantalla 8 — Reportes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Indicadores y exportación de datos (RF-25 a RF-29).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80"/>
      </w:tblGrid>
      <w:tr>
        <w:trPr>
          <w:tblHeader/>
        </w:trPr>
        <w:tc>
          <w:tcPr>
            <w:tcW w:type="dxa" w:w="2600"/>
            <w:shd w:fill="10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Zona de la pantalla</w:t>
            </w:r>
          </w:p>
        </w:tc>
        <w:tc>
          <w:tcPr>
            <w:tcW w:type="dxa" w:w="6780"/>
            <w:shd w:fill="1023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Contenido / componentes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Filtros de reporte</w:t>
            </w:r>
          </w:p>
        </w:tc>
        <w:tc>
          <w:tcPr>
            <w:tcW w:type="dxa" w:w="67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Fecha, segmento, promoción o tipo de indicador.</w:t>
            </w:r>
          </w:p>
        </w:tc>
      </w:tr>
      <w:tr>
        <w:tc>
          <w:tcPr>
            <w:tcW w:type="dxa" w:w="260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Visualización</w:t>
            </w:r>
          </w:p>
        </w:tc>
        <w:tc>
          <w:tcPr>
            <w:tcW w:type="dxa" w:w="6780"/>
            <w:shd w:fill="EFF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Gráficos, tarjetas y tablas dinámicas.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Exportación</w:t>
            </w:r>
          </w:p>
        </w:tc>
        <w:tc>
          <w:tcPr>
            <w:tcW w:type="dxa" w:w="67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Botones para exportar en PDF, Excel o CSV.</w:t>
            </w:r>
          </w:p>
        </w:tc>
      </w:tr>
    </w:tbl>
    <w:p>
      <w:pPr>
        <w:spacing w:after="160"/>
      </w:pPr>
    </w:p>
    <w:p>
      <w:pPr>
        <w:spacing w:after="120"/>
      </w:pPr>
    </w:p>
    <w:p>
      <w:pPr>
        <w:spacing w:after="160" w:line="300"/>
      </w:pPr>
      <w:r>
        <w:rPr>
          <w:b w:val="false"/>
          <w:bCs w:val="false"/>
          <w:i/>
          <w:iCs/>
          <w:color w:val="2B2B2B"/>
          <w:sz w:val="21"/>
          <w:szCs w:val="21"/>
        </w:rPr>
        <w:t xml:space="preserve">Nota metodológica: este prototipo corresponde a un nivel de baja fidelidad (wireframe funcional descrito por zonas). Para la entrega de alta fidelidad se recomienda construir estas pantallas en una herramienta de diseño (Figma) o directamente como componentes navegables en React + Tailwind CSS, conforme al stack tecnológico definido para el piloto.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2"/>
        <w:sz w:val="16"/>
        <w:szCs w:val="16"/>
      </w:rPr>
      <w:t xml:space="preserve">Página </w:t>
    </w:r>
    <w:r>
      <w:rPr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6472"/>
        <w:sz w:val="16"/>
        <w:szCs w:val="16"/>
      </w:rPr>
      <w:t xml:space="preserve"> de </w:t>
    </w:r>
    <w:r>
      <w:rPr>
        <w:color w:val="5A64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52A" w:sz="6" w:space="4"/>
      </w:pBdr>
      <w:tabs>
        <w:tab w:val="right" w:pos="9026"/>
      </w:tabs>
    </w:pPr>
    <w:r>
      <w:rPr>
        <w:color w:val="5A6472"/>
        <w:sz w:val="16"/>
        <w:szCs w:val="16"/>
      </w:rPr>
      <w:t xml:space="preserve">Caso Atlantic City — AtlantiCRM 360</w:t>
    </w:r>
    <w:r>
      <w:rPr>
        <w:color w:val="5A6472"/>
        <w:sz w:val="16"/>
        <w:szCs w:val="16"/>
      </w:rPr>
      <w:t xml:space="preserve">	Componente de la Capa Vista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2026-07-06T23:43:51.700Z</dcterms:created>
  <dcterms:modified xsi:type="dcterms:W3CDTF">2026-07-06T23:43:51.700Z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