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A1662" w14:textId="77777777" w:rsidR="008B4BDD" w:rsidRPr="00CE1E0C" w:rsidRDefault="008B4BDD" w:rsidP="008B4BDD">
      <w:pPr>
        <w:pStyle w:val="Title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Fairness Metrics Tool</w:t>
      </w:r>
    </w:p>
    <w:p w14:paraId="516F006E" w14:textId="3BD6CA47" w:rsidR="008B4BDD" w:rsidRPr="00CE1E0C" w:rsidRDefault="008B4BDD" w:rsidP="008B4BDD">
      <w:pPr>
        <w:pStyle w:val="Subtitle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A Framework for Evaluating and Ensuring Fairness in AI Systems</w:t>
      </w:r>
    </w:p>
    <w:p w14:paraId="70C4BAFB" w14:textId="77777777" w:rsidR="008B4BDD" w:rsidRPr="00CE1E0C" w:rsidRDefault="008B4BDD" w:rsidP="008B4BDD">
      <w:pPr>
        <w:pStyle w:val="Heading1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Introduction</w:t>
      </w:r>
    </w:p>
    <w:p w14:paraId="646F20BD" w14:textId="234CB205" w:rsidR="008B4BDD" w:rsidRPr="00CE1E0C" w:rsidRDefault="008B4BDD" w:rsidP="008B4BDD">
      <w:pPr>
        <w:rPr>
          <w:color w:val="000000" w:themeColor="text1"/>
        </w:rPr>
      </w:pPr>
      <w:r w:rsidRPr="00CE1E0C">
        <w:rPr>
          <w:color w:val="000000" w:themeColor="text1"/>
        </w:rPr>
        <w:t xml:space="preserve">The Fairness Metrics Tool provides a robust framework for selecting fairness metrics, validating them statistically, visualizing disparities, and reporting results effectively. It complements other tools, such as the </w:t>
      </w:r>
      <w:r w:rsidR="00CE1E0C" w:rsidRPr="00CE1E0C">
        <w:rPr>
          <w:color w:val="000000" w:themeColor="text1"/>
        </w:rPr>
        <w:t xml:space="preserve">Fairness Definition Selection Tool and </w:t>
      </w:r>
      <w:r w:rsidRPr="00CE1E0C">
        <w:rPr>
          <w:color w:val="000000" w:themeColor="text1"/>
        </w:rPr>
        <w:t>Bias Source Identification Tool (BSIT.</w:t>
      </w:r>
    </w:p>
    <w:p w14:paraId="3024E8FB" w14:textId="77777777" w:rsidR="008B4BDD" w:rsidRPr="00CE1E0C" w:rsidRDefault="008B4BDD" w:rsidP="008B4BDD">
      <w:pPr>
        <w:pStyle w:val="Heading1"/>
        <w:rPr>
          <w:color w:val="000000" w:themeColor="text1"/>
        </w:rPr>
      </w:pPr>
      <w:r w:rsidRPr="00CE1E0C">
        <w:rPr>
          <w:color w:val="000000" w:themeColor="text1"/>
        </w:rPr>
        <w:t>Section 1: Metric Selection Methodology</w:t>
      </w:r>
    </w:p>
    <w:p w14:paraId="57DDD097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1.1 Determine Fairness Objective</w:t>
      </w:r>
    </w:p>
    <w:p w14:paraId="044B8303" w14:textId="77777777" w:rsidR="008B4BDD" w:rsidRPr="00CE1E0C" w:rsidRDefault="008B4BDD" w:rsidP="008B4BDD">
      <w:pPr>
        <w:rPr>
          <w:color w:val="000000" w:themeColor="text1"/>
        </w:rPr>
      </w:pPr>
      <w:r w:rsidRPr="00CE1E0C">
        <w:rPr>
          <w:color w:val="000000" w:themeColor="text1"/>
        </w:rPr>
        <w:t>This section begins by extracting the fairness goal using the Fairness Definition Selection Tool. The table below outlines various fairness objectives, their corresponding definitions, metric targets, and suitable applications: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E1E0C" w:rsidRPr="00CE1E0C" w14:paraId="62BC6567" w14:textId="77777777" w:rsidTr="008B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62D36EEA" w14:textId="708B166D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Fairness Objective</w:t>
            </w:r>
          </w:p>
        </w:tc>
        <w:tc>
          <w:tcPr>
            <w:tcW w:w="2254" w:type="dxa"/>
          </w:tcPr>
          <w:p w14:paraId="6452DFF2" w14:textId="22E85706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Fairness Definition</w:t>
            </w:r>
          </w:p>
        </w:tc>
        <w:tc>
          <w:tcPr>
            <w:tcW w:w="2254" w:type="dxa"/>
          </w:tcPr>
          <w:p w14:paraId="5A66380E" w14:textId="465F4B95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Metric Target</w:t>
            </w:r>
          </w:p>
        </w:tc>
        <w:tc>
          <w:tcPr>
            <w:tcW w:w="2254" w:type="dxa"/>
          </w:tcPr>
          <w:p w14:paraId="1E815591" w14:textId="50E37B21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Suitable For</w:t>
            </w:r>
          </w:p>
        </w:tc>
      </w:tr>
      <w:tr w:rsidR="00CE1E0C" w:rsidRPr="00CE1E0C" w14:paraId="591C200D" w14:textId="77777777" w:rsidTr="008B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22DDBFDB" w14:textId="27067DF2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Equal outcomes</w:t>
            </w:r>
          </w:p>
        </w:tc>
        <w:tc>
          <w:tcPr>
            <w:tcW w:w="2254" w:type="dxa"/>
          </w:tcPr>
          <w:p w14:paraId="3015EF87" w14:textId="3F1A83FB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Demographic Parity</w:t>
            </w:r>
          </w:p>
        </w:tc>
        <w:tc>
          <w:tcPr>
            <w:tcW w:w="2254" w:type="dxa"/>
          </w:tcPr>
          <w:p w14:paraId="5492E602" w14:textId="77461091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Statistical Parity</w:t>
            </w:r>
          </w:p>
        </w:tc>
        <w:tc>
          <w:tcPr>
            <w:tcW w:w="2254" w:type="dxa"/>
          </w:tcPr>
          <w:p w14:paraId="228EBE02" w14:textId="55F68974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Outreach programs, public services</w:t>
            </w:r>
          </w:p>
        </w:tc>
      </w:tr>
      <w:tr w:rsidR="00CE1E0C" w:rsidRPr="00CE1E0C" w14:paraId="067DD85E" w14:textId="77777777" w:rsidTr="008B4BDD">
        <w:tc>
          <w:tcPr>
            <w:tcW w:w="2254" w:type="dxa"/>
          </w:tcPr>
          <w:p w14:paraId="2BD04D37" w14:textId="24E2528F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Equal treatment of qualified</w:t>
            </w:r>
          </w:p>
        </w:tc>
        <w:tc>
          <w:tcPr>
            <w:tcW w:w="2254" w:type="dxa"/>
          </w:tcPr>
          <w:p w14:paraId="712F0248" w14:textId="19860B92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Equal Opportunity</w:t>
            </w:r>
          </w:p>
        </w:tc>
        <w:tc>
          <w:tcPr>
            <w:tcW w:w="2254" w:type="dxa"/>
          </w:tcPr>
          <w:p w14:paraId="3377730D" w14:textId="4676AECA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TPR Parity</w:t>
            </w:r>
          </w:p>
        </w:tc>
        <w:tc>
          <w:tcPr>
            <w:tcW w:w="2254" w:type="dxa"/>
          </w:tcPr>
          <w:p w14:paraId="08858CF9" w14:textId="521C518D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Hiring, admissions</w:t>
            </w:r>
          </w:p>
        </w:tc>
      </w:tr>
      <w:tr w:rsidR="00CE1E0C" w:rsidRPr="00CE1E0C" w14:paraId="1C1D9F74" w14:textId="77777777" w:rsidTr="008B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4398334D" w14:textId="377AE79A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Balanced error impact</w:t>
            </w:r>
          </w:p>
        </w:tc>
        <w:tc>
          <w:tcPr>
            <w:tcW w:w="2254" w:type="dxa"/>
          </w:tcPr>
          <w:p w14:paraId="40F4EFE8" w14:textId="0113DD36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Equalized Odds</w:t>
            </w:r>
          </w:p>
        </w:tc>
        <w:tc>
          <w:tcPr>
            <w:tcW w:w="2254" w:type="dxa"/>
          </w:tcPr>
          <w:p w14:paraId="0FA47672" w14:textId="721A010F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TPR + FPR Parity</w:t>
            </w:r>
          </w:p>
        </w:tc>
        <w:tc>
          <w:tcPr>
            <w:tcW w:w="2254" w:type="dxa"/>
          </w:tcPr>
          <w:p w14:paraId="33609AC1" w14:textId="6AA78F3D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Criminal justice, healthcare</w:t>
            </w:r>
          </w:p>
        </w:tc>
      </w:tr>
      <w:tr w:rsidR="00CE1E0C" w:rsidRPr="00CE1E0C" w14:paraId="6BD67AD6" w14:textId="77777777" w:rsidTr="008B4BDD">
        <w:tc>
          <w:tcPr>
            <w:tcW w:w="2254" w:type="dxa"/>
          </w:tcPr>
          <w:p w14:paraId="4AE37A97" w14:textId="1E33465A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Equal predictive reliability</w:t>
            </w:r>
          </w:p>
        </w:tc>
        <w:tc>
          <w:tcPr>
            <w:tcW w:w="2254" w:type="dxa"/>
          </w:tcPr>
          <w:p w14:paraId="13E2C0C9" w14:textId="301E9FAC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Predictive Parity</w:t>
            </w:r>
          </w:p>
        </w:tc>
        <w:tc>
          <w:tcPr>
            <w:tcW w:w="2254" w:type="dxa"/>
          </w:tcPr>
          <w:p w14:paraId="7D0A8EE5" w14:textId="21E04D12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PPV Parity</w:t>
            </w:r>
          </w:p>
        </w:tc>
        <w:tc>
          <w:tcPr>
            <w:tcW w:w="2254" w:type="dxa"/>
          </w:tcPr>
          <w:p w14:paraId="1918EA05" w14:textId="34F97F3C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Medical diagnosis, insurance</w:t>
            </w:r>
          </w:p>
        </w:tc>
      </w:tr>
      <w:tr w:rsidR="00CE1E0C" w:rsidRPr="00CE1E0C" w14:paraId="2C65B8A0" w14:textId="77777777" w:rsidTr="008B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10E1B4A6" w14:textId="55688EE4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Treat similar individuals equally</w:t>
            </w:r>
          </w:p>
        </w:tc>
        <w:tc>
          <w:tcPr>
            <w:tcW w:w="2254" w:type="dxa"/>
          </w:tcPr>
          <w:p w14:paraId="3DDC0C76" w14:textId="273EA695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Individual Fairness</w:t>
            </w:r>
          </w:p>
        </w:tc>
        <w:tc>
          <w:tcPr>
            <w:tcW w:w="2254" w:type="dxa"/>
          </w:tcPr>
          <w:p w14:paraId="3DD6ED23" w14:textId="29896F3B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Lipschitz-based Distance</w:t>
            </w:r>
          </w:p>
        </w:tc>
        <w:tc>
          <w:tcPr>
            <w:tcW w:w="2254" w:type="dxa"/>
          </w:tcPr>
          <w:p w14:paraId="795426E9" w14:textId="187D00C1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Credit scoring, housing</w:t>
            </w:r>
          </w:p>
        </w:tc>
      </w:tr>
      <w:tr w:rsidR="00CE1E0C" w:rsidRPr="00CE1E0C" w14:paraId="07A1943A" w14:textId="77777777" w:rsidTr="008B4BDD">
        <w:tc>
          <w:tcPr>
            <w:tcW w:w="2254" w:type="dxa"/>
          </w:tcPr>
          <w:p w14:paraId="264A7C42" w14:textId="5CC01823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Fair across hypothetical changes</w:t>
            </w:r>
          </w:p>
        </w:tc>
        <w:tc>
          <w:tcPr>
            <w:tcW w:w="2254" w:type="dxa"/>
          </w:tcPr>
          <w:p w14:paraId="128DB7E9" w14:textId="506AD0DA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Counterfactual Fairness</w:t>
            </w:r>
          </w:p>
        </w:tc>
        <w:tc>
          <w:tcPr>
            <w:tcW w:w="2254" w:type="dxa"/>
          </w:tcPr>
          <w:p w14:paraId="61D52781" w14:textId="2CDB28BE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Invariance under Sensitive Attribute Changes</w:t>
            </w:r>
          </w:p>
        </w:tc>
        <w:tc>
          <w:tcPr>
            <w:tcW w:w="2254" w:type="dxa"/>
          </w:tcPr>
          <w:p w14:paraId="4959731A" w14:textId="6EB6C9ED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Causal modeling, social science</w:t>
            </w:r>
          </w:p>
        </w:tc>
      </w:tr>
    </w:tbl>
    <w:p w14:paraId="4AFE84F1" w14:textId="77777777" w:rsidR="008B4BDD" w:rsidRPr="00CE1E0C" w:rsidRDefault="008B4BDD" w:rsidP="008B4BDD">
      <w:pPr>
        <w:pStyle w:val="Heading2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1.2 Base Rate Sensitivity</w:t>
      </w:r>
    </w:p>
    <w:p w14:paraId="4443B2BC" w14:textId="77777777" w:rsidR="008B4BDD" w:rsidRPr="00CE1E0C" w:rsidRDefault="008B4BDD" w:rsidP="008B4BDD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CE1E0C">
        <w:rPr>
          <w:color w:val="000000" w:themeColor="text1"/>
        </w:rPr>
        <w:t>If base rates are similar: Demographic Parity is the most viable metric.</w:t>
      </w:r>
    </w:p>
    <w:p w14:paraId="7ABB8BFA" w14:textId="77777777" w:rsidR="008B4BDD" w:rsidRPr="00CE1E0C" w:rsidRDefault="008B4BDD" w:rsidP="008B4BDD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CE1E0C">
        <w:rPr>
          <w:color w:val="000000" w:themeColor="text1"/>
        </w:rPr>
        <w:t>If base rates differ: Prioritize Equal Opportunity or Predictive Parity for evaluation.</w:t>
      </w:r>
    </w:p>
    <w:p w14:paraId="582E8F9D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1.3 Intersectional Considerations</w:t>
      </w:r>
    </w:p>
    <w:p w14:paraId="1FB31E50" w14:textId="77777777" w:rsidR="008B4BDD" w:rsidRPr="00CE1E0C" w:rsidRDefault="008B4BDD" w:rsidP="008B4BDD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CE1E0C">
        <w:rPr>
          <w:color w:val="000000" w:themeColor="text1"/>
        </w:rPr>
        <w:t>Extend metrics to account for multiple protected attributes (e.g., race × gender).</w:t>
      </w:r>
    </w:p>
    <w:p w14:paraId="197BE829" w14:textId="77777777" w:rsidR="008B4BDD" w:rsidRPr="00CE1E0C" w:rsidRDefault="008B4BDD" w:rsidP="008B4BDD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CE1E0C">
        <w:rPr>
          <w:color w:val="000000" w:themeColor="text1"/>
        </w:rPr>
        <w:t>Use subgroup disaggregation and conduct intersectional fairness audits.</w:t>
      </w:r>
    </w:p>
    <w:p w14:paraId="57509CCA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1.4 Quantitative Metric Violations</w:t>
      </w:r>
    </w:p>
    <w:p w14:paraId="7779E227" w14:textId="77777777" w:rsidR="008B4BDD" w:rsidRPr="00CE1E0C" w:rsidRDefault="008B4BDD" w:rsidP="008B4BDD">
      <w:pPr>
        <w:rPr>
          <w:color w:val="000000" w:themeColor="text1"/>
        </w:rPr>
      </w:pPr>
      <w:r w:rsidRPr="00CE1E0C">
        <w:rPr>
          <w:color w:val="000000" w:themeColor="text1"/>
        </w:rPr>
        <w:t>Below are formulas for common fairness metric violations: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CE1E0C" w:rsidRPr="00CE1E0C" w14:paraId="64D5768C" w14:textId="77777777" w:rsidTr="008B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252F7A7E" w14:textId="6C31BA30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lastRenderedPageBreak/>
              <w:t>Fairness Definition</w:t>
            </w:r>
          </w:p>
        </w:tc>
        <w:tc>
          <w:tcPr>
            <w:tcW w:w="3005" w:type="dxa"/>
          </w:tcPr>
          <w:p w14:paraId="297AEB12" w14:textId="4AC0C1C4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Metric Name</w:t>
            </w:r>
          </w:p>
        </w:tc>
        <w:tc>
          <w:tcPr>
            <w:tcW w:w="3006" w:type="dxa"/>
          </w:tcPr>
          <w:p w14:paraId="6B98ED53" w14:textId="5FD65F7B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Violation Formula</w:t>
            </w:r>
          </w:p>
        </w:tc>
      </w:tr>
      <w:tr w:rsidR="00CE1E0C" w:rsidRPr="00CE1E0C" w14:paraId="21EE6B02" w14:textId="77777777" w:rsidTr="008B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2477FB6D" w14:textId="528BFAA0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Demographic Parity</w:t>
            </w:r>
          </w:p>
        </w:tc>
        <w:tc>
          <w:tcPr>
            <w:tcW w:w="3005" w:type="dxa"/>
          </w:tcPr>
          <w:p w14:paraId="29F54F3A" w14:textId="5F1AB03A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Statistical Parity Difference</w:t>
            </w:r>
          </w:p>
        </w:tc>
        <w:tc>
          <w:tcPr>
            <w:tcW w:w="3006" w:type="dxa"/>
          </w:tcPr>
          <w:p w14:paraId="42ED3A9D" w14:textId="1DE794B0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P(Ŷ=1 | A=a) - P(Ŷ=1 | A=b)</w:t>
            </w:r>
          </w:p>
        </w:tc>
      </w:tr>
      <w:tr w:rsidR="00CE1E0C" w:rsidRPr="00CE1E0C" w14:paraId="45CAD7B4" w14:textId="77777777" w:rsidTr="008B4BDD">
        <w:tc>
          <w:tcPr>
            <w:tcW w:w="3005" w:type="dxa"/>
          </w:tcPr>
          <w:p w14:paraId="369AEB50" w14:textId="11C1E312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Equal Opportunity</w:t>
            </w:r>
          </w:p>
        </w:tc>
        <w:tc>
          <w:tcPr>
            <w:tcW w:w="3005" w:type="dxa"/>
          </w:tcPr>
          <w:p w14:paraId="70421EF9" w14:textId="5630D260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Equal Opportunity Difference</w:t>
            </w:r>
          </w:p>
        </w:tc>
        <w:tc>
          <w:tcPr>
            <w:tcW w:w="3006" w:type="dxa"/>
          </w:tcPr>
          <w:p w14:paraId="33AB182A" w14:textId="2A03867E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P(Ŷ=1 | Y=1, A=a) - P(Ŷ=1 | Y=1, A=b)</w:t>
            </w:r>
          </w:p>
        </w:tc>
      </w:tr>
      <w:tr w:rsidR="00CE1E0C" w:rsidRPr="00CE1E0C" w14:paraId="4EBAD030" w14:textId="77777777" w:rsidTr="008B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0997EB6" w14:textId="6FD1ABE8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Equalized Odds</w:t>
            </w:r>
          </w:p>
        </w:tc>
        <w:tc>
          <w:tcPr>
            <w:tcW w:w="3005" w:type="dxa"/>
          </w:tcPr>
          <w:p w14:paraId="5B9EE3EF" w14:textId="59BCE7C1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TPR, FPR Difference</w:t>
            </w:r>
          </w:p>
        </w:tc>
        <w:tc>
          <w:tcPr>
            <w:tcW w:w="3006" w:type="dxa"/>
          </w:tcPr>
          <w:p w14:paraId="799B1D2A" w14:textId="3F13B659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TPR: P(Ŷ=1 | Y=1, A=a) - P(Ŷ=1 | Y=1, A=b)&lt;br&gt;&lt;/br&gt;FPR: P(Ŷ=1 | Y=0, A=a) - P(Ŷ=1 | Y=0, A=b)</w:t>
            </w:r>
          </w:p>
        </w:tc>
      </w:tr>
      <w:tr w:rsidR="00CE1E0C" w:rsidRPr="00CE1E0C" w14:paraId="17BF626B" w14:textId="77777777" w:rsidTr="008B4BDD">
        <w:tc>
          <w:tcPr>
            <w:tcW w:w="3005" w:type="dxa"/>
          </w:tcPr>
          <w:p w14:paraId="21FD4485" w14:textId="242F506E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Predictive Parity</w:t>
            </w:r>
          </w:p>
        </w:tc>
        <w:tc>
          <w:tcPr>
            <w:tcW w:w="3005" w:type="dxa"/>
          </w:tcPr>
          <w:p w14:paraId="0C3A5E9A" w14:textId="462D5038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Predictive Parity Difference</w:t>
            </w:r>
          </w:p>
        </w:tc>
        <w:tc>
          <w:tcPr>
            <w:tcW w:w="3006" w:type="dxa"/>
          </w:tcPr>
          <w:p w14:paraId="364BDF39" w14:textId="536B6064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P(Y=1 | Ŷ=1, A=a) - P(Y=1 | Ŷ=1, A=b)</w:t>
            </w:r>
          </w:p>
        </w:tc>
      </w:tr>
    </w:tbl>
    <w:p w14:paraId="6E058CDD" w14:textId="77777777" w:rsidR="008B4BDD" w:rsidRPr="00CE1E0C" w:rsidRDefault="008B4BDD" w:rsidP="008B4BDD">
      <w:pPr>
        <w:pStyle w:val="Heading1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Section 2: Statistical Validation Framework</w:t>
      </w:r>
    </w:p>
    <w:p w14:paraId="167A3959" w14:textId="77777777" w:rsidR="008B4BDD" w:rsidRPr="00CE1E0C" w:rsidRDefault="008B4BDD" w:rsidP="008B4BDD">
      <w:pPr>
        <w:pStyle w:val="Heading2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2.1 Confidence Intervals</w:t>
      </w:r>
    </w:p>
    <w:p w14:paraId="09756ADF" w14:textId="77777777" w:rsidR="008B4BDD" w:rsidRPr="00CE1E0C" w:rsidRDefault="008B4BDD" w:rsidP="008B4BDD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CE1E0C">
        <w:rPr>
          <w:color w:val="000000" w:themeColor="text1"/>
        </w:rPr>
        <w:t>Use bootstrapping, jackknife, or binomial approximations to calculate 95% confidence intervals.</w:t>
      </w:r>
    </w:p>
    <w:p w14:paraId="01FD2F4D" w14:textId="77777777" w:rsidR="008B4BDD" w:rsidRPr="00CE1E0C" w:rsidRDefault="008B4BDD" w:rsidP="008B4BDD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CE1E0C">
        <w:rPr>
          <w:color w:val="000000" w:themeColor="text1"/>
        </w:rPr>
        <w:t>Handle small samples (n &lt; 100) with Bayesian estimation and report credible intervals. Flag underpowered groups clearly in results.</w:t>
      </w:r>
    </w:p>
    <w:p w14:paraId="71533100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2.2 Hypothesis Testing</w:t>
      </w:r>
    </w:p>
    <w:p w14:paraId="30583E0E" w14:textId="77777777" w:rsidR="008B4BDD" w:rsidRPr="00CE1E0C" w:rsidRDefault="008B4BDD" w:rsidP="008B4BD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CE1E0C">
        <w:rPr>
          <w:color w:val="000000" w:themeColor="text1"/>
        </w:rPr>
        <w:t>Null hypothesis: No disparity exists.</w:t>
      </w:r>
    </w:p>
    <w:p w14:paraId="38251BEE" w14:textId="77777777" w:rsidR="008B4BDD" w:rsidRPr="00CE1E0C" w:rsidRDefault="008B4BDD" w:rsidP="008B4BD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CE1E0C">
        <w:rPr>
          <w:color w:val="000000" w:themeColor="text1"/>
        </w:rPr>
        <w:t>Statistical tests: Chi-square test, t-test, Fisher’s exact test for small samples, and Benjamini–Hochberg for multiple comparisons.</w:t>
      </w:r>
    </w:p>
    <w:p w14:paraId="6A0252B9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2.3 Robustness Checks</w:t>
      </w:r>
    </w:p>
    <w:p w14:paraId="078553E7" w14:textId="77777777" w:rsidR="008B4BDD" w:rsidRPr="00CE1E0C" w:rsidRDefault="008B4BDD" w:rsidP="008B4BDD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CE1E0C">
        <w:rPr>
          <w:color w:val="000000" w:themeColor="text1"/>
        </w:rPr>
        <w:t>Validate metrics across data folds using cross-validation.</w:t>
      </w:r>
    </w:p>
    <w:p w14:paraId="524A80E2" w14:textId="77777777" w:rsidR="008B4BDD" w:rsidRPr="00CE1E0C" w:rsidRDefault="008B4BDD" w:rsidP="008B4BDD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CE1E0C">
        <w:rPr>
          <w:color w:val="000000" w:themeColor="text1"/>
        </w:rPr>
        <w:t>Perform threshold sensitivity analysis and evaluate robustness under label noise or shifted feature distributions.</w:t>
      </w:r>
    </w:p>
    <w:p w14:paraId="0E636A12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2.4 Threshold-Based Flagging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CE1E0C" w:rsidRPr="00CE1E0C" w14:paraId="331AEAEE" w14:textId="77777777" w:rsidTr="008B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4033DC70" w14:textId="2AB373CB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Metric</w:t>
            </w:r>
          </w:p>
        </w:tc>
        <w:tc>
          <w:tcPr>
            <w:tcW w:w="3005" w:type="dxa"/>
          </w:tcPr>
          <w:p w14:paraId="209C8621" w14:textId="416E0997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Suggested Threshold</w:t>
            </w:r>
          </w:p>
        </w:tc>
        <w:tc>
          <w:tcPr>
            <w:tcW w:w="3006" w:type="dxa"/>
          </w:tcPr>
          <w:p w14:paraId="2FD25530" w14:textId="3572AD57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Action</w:t>
            </w:r>
          </w:p>
        </w:tc>
      </w:tr>
      <w:tr w:rsidR="00CE1E0C" w:rsidRPr="00CE1E0C" w14:paraId="652FADBD" w14:textId="77777777" w:rsidTr="008B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32AD58C" w14:textId="71291588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Statistical Parity Diff</w:t>
            </w:r>
          </w:p>
        </w:tc>
        <w:tc>
          <w:tcPr>
            <w:tcW w:w="3005" w:type="dxa"/>
          </w:tcPr>
          <w:p w14:paraId="0D4F2BE3" w14:textId="502BF57F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≤ 0.10</w:t>
            </w:r>
          </w:p>
        </w:tc>
        <w:tc>
          <w:tcPr>
            <w:tcW w:w="3006" w:type="dxa"/>
          </w:tcPr>
          <w:p w14:paraId="315356A4" w14:textId="4175E2FA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Acceptable difference</w:t>
            </w:r>
          </w:p>
        </w:tc>
      </w:tr>
      <w:tr w:rsidR="00CE1E0C" w:rsidRPr="00CE1E0C" w14:paraId="445CE862" w14:textId="77777777" w:rsidTr="008B4BDD">
        <w:tc>
          <w:tcPr>
            <w:tcW w:w="3005" w:type="dxa"/>
          </w:tcPr>
          <w:p w14:paraId="435BF409" w14:textId="3B4BC561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Equal Opportunity Diff</w:t>
            </w:r>
          </w:p>
        </w:tc>
        <w:tc>
          <w:tcPr>
            <w:tcW w:w="3005" w:type="dxa"/>
          </w:tcPr>
          <w:p w14:paraId="39ADC7AD" w14:textId="64DFE28B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≤ 0.10</w:t>
            </w:r>
          </w:p>
        </w:tc>
        <w:tc>
          <w:tcPr>
            <w:tcW w:w="3006" w:type="dxa"/>
          </w:tcPr>
          <w:p w14:paraId="5AD1F97C" w14:textId="7C02D332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Indicates fair TPR balance</w:t>
            </w:r>
          </w:p>
        </w:tc>
      </w:tr>
      <w:tr w:rsidR="00CE1E0C" w:rsidRPr="00CE1E0C" w14:paraId="41586707" w14:textId="77777777" w:rsidTr="008B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FC06457" w14:textId="77753EB9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TPR / FPR Difference</w:t>
            </w:r>
          </w:p>
        </w:tc>
        <w:tc>
          <w:tcPr>
            <w:tcW w:w="3005" w:type="dxa"/>
          </w:tcPr>
          <w:p w14:paraId="62D61F04" w14:textId="67F42E79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≤ 0.10</w:t>
            </w:r>
          </w:p>
        </w:tc>
        <w:tc>
          <w:tcPr>
            <w:tcW w:w="3006" w:type="dxa"/>
          </w:tcPr>
          <w:p w14:paraId="4B70CC3F" w14:textId="1DA7CE1F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Balanced error across groups</w:t>
            </w:r>
          </w:p>
        </w:tc>
      </w:tr>
      <w:tr w:rsidR="00CE1E0C" w:rsidRPr="00CE1E0C" w14:paraId="08A8ED7B" w14:textId="77777777" w:rsidTr="008B4BDD">
        <w:tc>
          <w:tcPr>
            <w:tcW w:w="3005" w:type="dxa"/>
          </w:tcPr>
          <w:p w14:paraId="10D47FF9" w14:textId="53AB33D1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Predictive Parity Diff</w:t>
            </w:r>
          </w:p>
        </w:tc>
        <w:tc>
          <w:tcPr>
            <w:tcW w:w="3005" w:type="dxa"/>
          </w:tcPr>
          <w:p w14:paraId="433E201D" w14:textId="69EFB23D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≤ 0.10</w:t>
            </w:r>
          </w:p>
        </w:tc>
        <w:tc>
          <w:tcPr>
            <w:tcW w:w="3006" w:type="dxa"/>
          </w:tcPr>
          <w:p w14:paraId="4162DC44" w14:textId="2B95BBC8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Reliable predictions across groups</w:t>
            </w:r>
          </w:p>
        </w:tc>
      </w:tr>
    </w:tbl>
    <w:p w14:paraId="66AD987A" w14:textId="77777777" w:rsidR="008B4BDD" w:rsidRPr="00CE1E0C" w:rsidRDefault="008B4BDD" w:rsidP="008B4BDD">
      <w:pPr>
        <w:pStyle w:val="Heading1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Section 3: Visualization &amp; Reporting Templates</w:t>
      </w:r>
    </w:p>
    <w:p w14:paraId="1CF39399" w14:textId="77777777" w:rsidR="008B4BDD" w:rsidRPr="00CE1E0C" w:rsidRDefault="008B4BDD" w:rsidP="008B4BDD">
      <w:pPr>
        <w:pStyle w:val="Heading2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3.1 Metric Dashboard</w:t>
      </w:r>
    </w:p>
    <w:p w14:paraId="0F39A904" w14:textId="77777777" w:rsidR="008B4BDD" w:rsidRPr="00CE1E0C" w:rsidRDefault="008B4BDD" w:rsidP="008B4BDD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CE1E0C">
        <w:rPr>
          <w:color w:val="000000" w:themeColor="text1"/>
        </w:rPr>
        <w:t>Bar charts by group for TPR, FPR, PPV.</w:t>
      </w:r>
    </w:p>
    <w:p w14:paraId="636C03B1" w14:textId="77777777" w:rsidR="008B4BDD" w:rsidRPr="00CE1E0C" w:rsidRDefault="008B4BDD" w:rsidP="008B4BDD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CE1E0C">
        <w:rPr>
          <w:color w:val="000000" w:themeColor="text1"/>
        </w:rPr>
        <w:lastRenderedPageBreak/>
        <w:t>Confidence intervals visualized as error bars.</w:t>
      </w:r>
    </w:p>
    <w:p w14:paraId="6DF4CAD6" w14:textId="77777777" w:rsidR="008B4BDD" w:rsidRPr="00CE1E0C" w:rsidRDefault="008B4BDD" w:rsidP="008B4BDD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CE1E0C">
        <w:rPr>
          <w:color w:val="000000" w:themeColor="text1"/>
        </w:rPr>
        <w:t>Trend lines to track disparities over time.</w:t>
      </w:r>
    </w:p>
    <w:p w14:paraId="7253C32E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3.2 Disparity Heatmaps</w:t>
      </w:r>
    </w:p>
    <w:p w14:paraId="58A040FD" w14:textId="77777777" w:rsidR="008B4BDD" w:rsidRPr="00CE1E0C" w:rsidRDefault="008B4BDD" w:rsidP="008B4BDD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CE1E0C">
        <w:rPr>
          <w:color w:val="000000" w:themeColor="text1"/>
        </w:rPr>
        <w:t>Create color-coded matrices of metric values across intersections.</w:t>
      </w:r>
    </w:p>
    <w:p w14:paraId="49E59C59" w14:textId="77777777" w:rsidR="008B4BDD" w:rsidRPr="00CE1E0C" w:rsidRDefault="008B4BDD" w:rsidP="008B4BDD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CE1E0C">
        <w:rPr>
          <w:color w:val="000000" w:themeColor="text1"/>
        </w:rPr>
        <w:t>Use red-yellow-green coding to denote severity of violations.</w:t>
      </w:r>
    </w:p>
    <w:p w14:paraId="39165563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3.3 Summary Tables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286"/>
        <w:gridCol w:w="1285"/>
        <w:gridCol w:w="1285"/>
        <w:gridCol w:w="1284"/>
        <w:gridCol w:w="1284"/>
        <w:gridCol w:w="1285"/>
        <w:gridCol w:w="1307"/>
      </w:tblGrid>
      <w:tr w:rsidR="00CE1E0C" w:rsidRPr="00CE1E0C" w14:paraId="34E1B0D3" w14:textId="77777777" w:rsidTr="008B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6" w:type="dxa"/>
          </w:tcPr>
          <w:p w14:paraId="1E67F674" w14:textId="5149504A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Metric</w:t>
            </w:r>
          </w:p>
        </w:tc>
        <w:tc>
          <w:tcPr>
            <w:tcW w:w="1285" w:type="dxa"/>
          </w:tcPr>
          <w:p w14:paraId="156672B8" w14:textId="049A0539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Group A</w:t>
            </w:r>
          </w:p>
        </w:tc>
        <w:tc>
          <w:tcPr>
            <w:tcW w:w="1285" w:type="dxa"/>
          </w:tcPr>
          <w:p w14:paraId="164BC7A0" w14:textId="23C7031F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Group B</w:t>
            </w:r>
          </w:p>
        </w:tc>
        <w:tc>
          <w:tcPr>
            <w:tcW w:w="1284" w:type="dxa"/>
          </w:tcPr>
          <w:p w14:paraId="7436033D" w14:textId="24CF8492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Diff</w:t>
            </w:r>
          </w:p>
        </w:tc>
        <w:tc>
          <w:tcPr>
            <w:tcW w:w="1284" w:type="dxa"/>
          </w:tcPr>
          <w:p w14:paraId="57272B40" w14:textId="481D9361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95% CI</w:t>
            </w:r>
          </w:p>
        </w:tc>
        <w:tc>
          <w:tcPr>
            <w:tcW w:w="1285" w:type="dxa"/>
          </w:tcPr>
          <w:p w14:paraId="14B32C44" w14:textId="31ABCEE0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p-value</w:t>
            </w:r>
          </w:p>
        </w:tc>
        <w:tc>
          <w:tcPr>
            <w:tcW w:w="1307" w:type="dxa"/>
          </w:tcPr>
          <w:p w14:paraId="38B5E367" w14:textId="272C2AAA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Threshold Met?</w:t>
            </w:r>
          </w:p>
        </w:tc>
      </w:tr>
      <w:tr w:rsidR="00CE1E0C" w:rsidRPr="00CE1E0C" w14:paraId="3569C415" w14:textId="77777777" w:rsidTr="008B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6" w:type="dxa"/>
          </w:tcPr>
          <w:p w14:paraId="3F267574" w14:textId="35942263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TPR</w:t>
            </w:r>
          </w:p>
        </w:tc>
        <w:tc>
          <w:tcPr>
            <w:tcW w:w="1285" w:type="dxa"/>
          </w:tcPr>
          <w:p w14:paraId="4174C84B" w14:textId="0EF7F1C1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0.85</w:t>
            </w:r>
          </w:p>
        </w:tc>
        <w:tc>
          <w:tcPr>
            <w:tcW w:w="1285" w:type="dxa"/>
          </w:tcPr>
          <w:p w14:paraId="3834C754" w14:textId="59023F05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0.70</w:t>
            </w:r>
          </w:p>
        </w:tc>
        <w:tc>
          <w:tcPr>
            <w:tcW w:w="1284" w:type="dxa"/>
          </w:tcPr>
          <w:p w14:paraId="5BCFB270" w14:textId="46388EB7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0.15</w:t>
            </w:r>
          </w:p>
        </w:tc>
        <w:tc>
          <w:tcPr>
            <w:tcW w:w="1284" w:type="dxa"/>
          </w:tcPr>
          <w:p w14:paraId="49FD531F" w14:textId="02C7CB8A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(0.08–0.22)</w:t>
            </w:r>
          </w:p>
        </w:tc>
        <w:tc>
          <w:tcPr>
            <w:tcW w:w="1285" w:type="dxa"/>
          </w:tcPr>
          <w:p w14:paraId="166A9D56" w14:textId="45D8246E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color w:val="000000" w:themeColor="text1"/>
              </w:rPr>
              <w:t>0.002</w:t>
            </w:r>
          </w:p>
        </w:tc>
        <w:tc>
          <w:tcPr>
            <w:tcW w:w="1307" w:type="dxa"/>
          </w:tcPr>
          <w:p w14:paraId="1322B440" w14:textId="0FFA6BC1" w:rsidR="008B4BDD" w:rsidRPr="00CE1E0C" w:rsidRDefault="008B4BDD" w:rsidP="008B4BDD">
            <w:pPr>
              <w:rPr>
                <w:color w:val="000000" w:themeColor="text1"/>
              </w:rPr>
            </w:pPr>
            <w:r w:rsidRPr="00CE1E0C">
              <w:rPr>
                <w:rFonts w:ascii="Apple Color Emoji" w:hAnsi="Apple Color Emoji" w:cs="Apple Color Emoji"/>
                <w:color w:val="000000" w:themeColor="text1"/>
              </w:rPr>
              <w:t>❌</w:t>
            </w:r>
          </w:p>
        </w:tc>
      </w:tr>
    </w:tbl>
    <w:p w14:paraId="5D6A21E9" w14:textId="77777777" w:rsidR="008B4BDD" w:rsidRPr="00CE1E0C" w:rsidRDefault="008B4BDD" w:rsidP="008B4BDD">
      <w:pPr>
        <w:pStyle w:val="Heading1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Section 4: User Documentation</w:t>
      </w:r>
    </w:p>
    <w:p w14:paraId="54872672" w14:textId="77777777" w:rsidR="008B4BDD" w:rsidRPr="00CE1E0C" w:rsidRDefault="008B4BDD" w:rsidP="008B4BDD">
      <w:pPr>
        <w:pStyle w:val="Heading2"/>
        <w:rPr>
          <w:rFonts w:eastAsia="Times New Roman"/>
          <w:color w:val="000000" w:themeColor="text1"/>
          <w:lang w:eastAsia="en-GB"/>
        </w:rPr>
      </w:pPr>
      <w:r w:rsidRPr="00CE1E0C">
        <w:rPr>
          <w:rFonts w:eastAsia="Times New Roman"/>
          <w:color w:val="000000" w:themeColor="text1"/>
          <w:lang w:eastAsia="en-GB"/>
        </w:rPr>
        <w:t>4.1 When to Use</w:t>
      </w:r>
    </w:p>
    <w:p w14:paraId="31D6FC83" w14:textId="77777777" w:rsidR="008B4BDD" w:rsidRPr="00CE1E0C" w:rsidRDefault="008B4BDD" w:rsidP="008B4BD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E1E0C">
        <w:rPr>
          <w:color w:val="000000" w:themeColor="text1"/>
        </w:rPr>
        <w:t>Model evaluation</w:t>
      </w:r>
    </w:p>
    <w:p w14:paraId="5FD583D6" w14:textId="77777777" w:rsidR="008B4BDD" w:rsidRPr="00CE1E0C" w:rsidRDefault="008B4BDD" w:rsidP="008B4BD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E1E0C">
        <w:rPr>
          <w:color w:val="000000" w:themeColor="text1"/>
        </w:rPr>
        <w:t>Pre-deployment audit</w:t>
      </w:r>
    </w:p>
    <w:p w14:paraId="16881885" w14:textId="77777777" w:rsidR="008B4BDD" w:rsidRPr="00CE1E0C" w:rsidRDefault="008B4BDD" w:rsidP="008B4BD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E1E0C">
        <w:rPr>
          <w:color w:val="000000" w:themeColor="text1"/>
        </w:rPr>
        <w:t>Post-deployment monitoring</w:t>
      </w:r>
    </w:p>
    <w:p w14:paraId="30212543" w14:textId="77777777" w:rsidR="008B4BDD" w:rsidRPr="00CE1E0C" w:rsidRDefault="008B4BDD" w:rsidP="008B4BD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E1E0C">
        <w:rPr>
          <w:color w:val="000000" w:themeColor="text1"/>
        </w:rPr>
        <w:t>Fairness or compliance reporting</w:t>
      </w:r>
    </w:p>
    <w:p w14:paraId="577C23D7" w14:textId="77777777" w:rsidR="008B4BDD" w:rsidRPr="00CE1E0C" w:rsidRDefault="008B4BDD" w:rsidP="008B4BD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CE1E0C">
        <w:rPr>
          <w:color w:val="000000" w:themeColor="text1"/>
        </w:rPr>
        <w:t>Evaluation of intervention effectiveness</w:t>
      </w:r>
    </w:p>
    <w:p w14:paraId="2945F86F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4.2 How to Apply the Tool</w:t>
      </w:r>
    </w:p>
    <w:p w14:paraId="1B60FC5A" w14:textId="77777777" w:rsidR="008B4BDD" w:rsidRPr="00CE1E0C" w:rsidRDefault="008B4BDD" w:rsidP="008B4BDD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E1E0C">
        <w:rPr>
          <w:color w:val="000000" w:themeColor="text1"/>
        </w:rPr>
        <w:t>Identify your system’s fairness goals.</w:t>
      </w:r>
    </w:p>
    <w:p w14:paraId="1D70E08A" w14:textId="77777777" w:rsidR="008B4BDD" w:rsidRPr="00CE1E0C" w:rsidRDefault="008B4BDD" w:rsidP="008B4BDD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E1E0C">
        <w:rPr>
          <w:color w:val="000000" w:themeColor="text1"/>
        </w:rPr>
        <w:t>Select corresponding fairness metrics using Section 1.</w:t>
      </w:r>
    </w:p>
    <w:p w14:paraId="5306A624" w14:textId="77777777" w:rsidR="008B4BDD" w:rsidRPr="00CE1E0C" w:rsidRDefault="008B4BDD" w:rsidP="008B4BDD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E1E0C">
        <w:rPr>
          <w:color w:val="000000" w:themeColor="text1"/>
        </w:rPr>
        <w:t>Calculate metric values across relevant groups.</w:t>
      </w:r>
    </w:p>
    <w:p w14:paraId="52507858" w14:textId="77777777" w:rsidR="008B4BDD" w:rsidRPr="00CE1E0C" w:rsidRDefault="008B4BDD" w:rsidP="008B4BDD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E1E0C">
        <w:rPr>
          <w:color w:val="000000" w:themeColor="text1"/>
        </w:rPr>
        <w:t>Quantify violations and compare to thresholds.</w:t>
      </w:r>
    </w:p>
    <w:p w14:paraId="048FD0D9" w14:textId="77777777" w:rsidR="008B4BDD" w:rsidRPr="00CE1E0C" w:rsidRDefault="008B4BDD" w:rsidP="008B4BDD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E1E0C">
        <w:rPr>
          <w:color w:val="000000" w:themeColor="text1"/>
        </w:rPr>
        <w:t>Validate statistically using confidence intervals and hypothesis testing.</w:t>
      </w:r>
    </w:p>
    <w:p w14:paraId="0AF21927" w14:textId="77777777" w:rsidR="008B4BDD" w:rsidRPr="00CE1E0C" w:rsidRDefault="008B4BDD" w:rsidP="008B4BDD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E1E0C">
        <w:rPr>
          <w:color w:val="000000" w:themeColor="text1"/>
        </w:rPr>
        <w:t>Evaluate metric robustness using Section 2.3.</w:t>
      </w:r>
    </w:p>
    <w:p w14:paraId="08597809" w14:textId="77777777" w:rsidR="008B4BDD" w:rsidRPr="00CE1E0C" w:rsidRDefault="008B4BDD" w:rsidP="008B4BDD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E1E0C">
        <w:rPr>
          <w:color w:val="000000" w:themeColor="text1"/>
        </w:rPr>
        <w:t>Visualize results and disparities.</w:t>
      </w:r>
    </w:p>
    <w:p w14:paraId="7723FA6C" w14:textId="77777777" w:rsidR="008B4BDD" w:rsidRPr="00CE1E0C" w:rsidRDefault="008B4BDD" w:rsidP="008B4BDD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E1E0C">
        <w:rPr>
          <w:color w:val="000000" w:themeColor="text1"/>
        </w:rPr>
        <w:t>Report findings and recommend next steps.</w:t>
      </w:r>
    </w:p>
    <w:p w14:paraId="14483EDA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4.3 Integration Points</w:t>
      </w:r>
    </w:p>
    <w:p w14:paraId="18E6674F" w14:textId="77777777" w:rsidR="008B4BDD" w:rsidRPr="00CE1E0C" w:rsidRDefault="008B4BDD" w:rsidP="008B4BDD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CE1E0C">
        <w:rPr>
          <w:color w:val="000000" w:themeColor="text1"/>
        </w:rPr>
        <w:t>Model selection and evaluation phase</w:t>
      </w:r>
    </w:p>
    <w:p w14:paraId="4FA0C134" w14:textId="77777777" w:rsidR="008B4BDD" w:rsidRPr="00CE1E0C" w:rsidRDefault="008B4BDD" w:rsidP="008B4BDD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CE1E0C">
        <w:rPr>
          <w:color w:val="000000" w:themeColor="text1"/>
        </w:rPr>
        <w:t>Part of CI/CD pipelines</w:t>
      </w:r>
    </w:p>
    <w:p w14:paraId="1EB8B267" w14:textId="77777777" w:rsidR="008B4BDD" w:rsidRPr="00CE1E0C" w:rsidRDefault="008B4BDD" w:rsidP="008B4BDD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CE1E0C">
        <w:rPr>
          <w:color w:val="000000" w:themeColor="text1"/>
        </w:rPr>
        <w:t>Integrated with BSIT and other bias detection frameworks</w:t>
      </w:r>
    </w:p>
    <w:p w14:paraId="3F1DD7E4" w14:textId="77777777" w:rsidR="008B4BDD" w:rsidRPr="00CE1E0C" w:rsidRDefault="008B4BDD" w:rsidP="008B4BDD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CE1E0C">
        <w:rPr>
          <w:color w:val="000000" w:themeColor="text1"/>
        </w:rPr>
        <w:t>Used to evaluate fairness after interventions</w:t>
      </w:r>
    </w:p>
    <w:p w14:paraId="40974EA5" w14:textId="77777777" w:rsidR="008B4BDD" w:rsidRPr="00CE1E0C" w:rsidRDefault="008B4BDD" w:rsidP="008B4BDD">
      <w:pPr>
        <w:pStyle w:val="Heading2"/>
        <w:rPr>
          <w:color w:val="000000" w:themeColor="text1"/>
        </w:rPr>
      </w:pPr>
      <w:r w:rsidRPr="00CE1E0C">
        <w:rPr>
          <w:color w:val="000000" w:themeColor="text1"/>
        </w:rPr>
        <w:t>4.4 Violation Interpretation</w:t>
      </w:r>
    </w:p>
    <w:p w14:paraId="77DBFEAD" w14:textId="77777777" w:rsidR="008B4BDD" w:rsidRPr="00CE1E0C" w:rsidRDefault="008B4BDD" w:rsidP="008B4BDD">
      <w:pPr>
        <w:pStyle w:val="ListParagraph"/>
        <w:numPr>
          <w:ilvl w:val="0"/>
          <w:numId w:val="47"/>
        </w:numPr>
        <w:rPr>
          <w:color w:val="000000" w:themeColor="text1"/>
        </w:rPr>
      </w:pPr>
      <w:r w:rsidRPr="00CE1E0C">
        <w:rPr>
          <w:color w:val="000000" w:themeColor="text1"/>
        </w:rPr>
        <w:t>Metrics exceeding thresholds indicate fairness risk.</w:t>
      </w:r>
    </w:p>
    <w:p w14:paraId="3F80AF83" w14:textId="77777777" w:rsidR="008B4BDD" w:rsidRPr="00CE1E0C" w:rsidRDefault="008B4BDD" w:rsidP="008B4BDD">
      <w:pPr>
        <w:pStyle w:val="ListParagraph"/>
        <w:numPr>
          <w:ilvl w:val="0"/>
          <w:numId w:val="47"/>
        </w:numPr>
        <w:rPr>
          <w:color w:val="000000" w:themeColor="text1"/>
        </w:rPr>
      </w:pPr>
      <w:r w:rsidRPr="00CE1E0C">
        <w:rPr>
          <w:color w:val="000000" w:themeColor="text1"/>
        </w:rPr>
        <w:t>Prioritize mitigation for most violated metrics.</w:t>
      </w:r>
    </w:p>
    <w:p w14:paraId="2406881B" w14:textId="77777777" w:rsidR="008B4BDD" w:rsidRPr="00CE1E0C" w:rsidRDefault="008B4BDD" w:rsidP="008B4BDD">
      <w:pPr>
        <w:pStyle w:val="ListParagraph"/>
        <w:numPr>
          <w:ilvl w:val="0"/>
          <w:numId w:val="47"/>
        </w:numPr>
        <w:rPr>
          <w:color w:val="000000" w:themeColor="text1"/>
        </w:rPr>
      </w:pPr>
      <w:r w:rsidRPr="00CE1E0C">
        <w:rPr>
          <w:color w:val="000000" w:themeColor="text1"/>
        </w:rPr>
        <w:t>Re-evaluate metrics post-intervention.</w:t>
      </w:r>
    </w:p>
    <w:p w14:paraId="102A603E" w14:textId="77777777" w:rsidR="008B4BDD" w:rsidRPr="00CE1E0C" w:rsidRDefault="008B4BDD" w:rsidP="008B4BDD">
      <w:pPr>
        <w:pStyle w:val="ListParagraph"/>
        <w:numPr>
          <w:ilvl w:val="0"/>
          <w:numId w:val="47"/>
        </w:numPr>
        <w:rPr>
          <w:color w:val="000000" w:themeColor="text1"/>
        </w:rPr>
      </w:pPr>
      <w:r w:rsidRPr="00CE1E0C">
        <w:rPr>
          <w:color w:val="000000" w:themeColor="text1"/>
        </w:rPr>
        <w:t>Document trade-offs made when fairness metrics conflict.</w:t>
      </w:r>
    </w:p>
    <w:p w14:paraId="3576D686" w14:textId="505640F5" w:rsidR="008B4BDD" w:rsidRPr="008B4BDD" w:rsidRDefault="008B4BDD" w:rsidP="008B4BDD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sectPr w:rsidR="008B4BDD" w:rsidRPr="008B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65D7"/>
    <w:multiLevelType w:val="multilevel"/>
    <w:tmpl w:val="6E0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EE5"/>
    <w:multiLevelType w:val="multilevel"/>
    <w:tmpl w:val="9DC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76C6C"/>
    <w:multiLevelType w:val="multilevel"/>
    <w:tmpl w:val="4F0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45C71"/>
    <w:multiLevelType w:val="multilevel"/>
    <w:tmpl w:val="535C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3E8F"/>
    <w:multiLevelType w:val="multilevel"/>
    <w:tmpl w:val="58D0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44CE4"/>
    <w:multiLevelType w:val="multilevel"/>
    <w:tmpl w:val="32FE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F0C35"/>
    <w:multiLevelType w:val="multilevel"/>
    <w:tmpl w:val="E92A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D01C0"/>
    <w:multiLevelType w:val="multilevel"/>
    <w:tmpl w:val="AFD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D7E49"/>
    <w:multiLevelType w:val="multilevel"/>
    <w:tmpl w:val="2D3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531AB"/>
    <w:multiLevelType w:val="hybridMultilevel"/>
    <w:tmpl w:val="66AEA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5108D"/>
    <w:multiLevelType w:val="hybridMultilevel"/>
    <w:tmpl w:val="3F447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A1B3E"/>
    <w:multiLevelType w:val="multilevel"/>
    <w:tmpl w:val="91C6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61A85"/>
    <w:multiLevelType w:val="multilevel"/>
    <w:tmpl w:val="16C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5056B"/>
    <w:multiLevelType w:val="hybridMultilevel"/>
    <w:tmpl w:val="0D20F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2A32"/>
    <w:multiLevelType w:val="hybridMultilevel"/>
    <w:tmpl w:val="E5626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147E8"/>
    <w:multiLevelType w:val="hybridMultilevel"/>
    <w:tmpl w:val="C55E4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F3759"/>
    <w:multiLevelType w:val="hybridMultilevel"/>
    <w:tmpl w:val="07BC0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A3DE9"/>
    <w:multiLevelType w:val="hybridMultilevel"/>
    <w:tmpl w:val="89F60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B305E"/>
    <w:multiLevelType w:val="multilevel"/>
    <w:tmpl w:val="AAC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33C75"/>
    <w:multiLevelType w:val="multilevel"/>
    <w:tmpl w:val="2BF4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624AA"/>
    <w:multiLevelType w:val="multilevel"/>
    <w:tmpl w:val="809C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9E789E"/>
    <w:multiLevelType w:val="multilevel"/>
    <w:tmpl w:val="34C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194D7A"/>
    <w:multiLevelType w:val="hybridMultilevel"/>
    <w:tmpl w:val="2A905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D2D66"/>
    <w:multiLevelType w:val="hybridMultilevel"/>
    <w:tmpl w:val="C0CA8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24296"/>
    <w:multiLevelType w:val="hybridMultilevel"/>
    <w:tmpl w:val="5A583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508F4"/>
    <w:multiLevelType w:val="hybridMultilevel"/>
    <w:tmpl w:val="5E347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954B8"/>
    <w:multiLevelType w:val="multilevel"/>
    <w:tmpl w:val="D102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046953"/>
    <w:multiLevelType w:val="multilevel"/>
    <w:tmpl w:val="ADD4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05F01"/>
    <w:multiLevelType w:val="hybridMultilevel"/>
    <w:tmpl w:val="ED10F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F7BE3"/>
    <w:multiLevelType w:val="multilevel"/>
    <w:tmpl w:val="283A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D846DE"/>
    <w:multiLevelType w:val="multilevel"/>
    <w:tmpl w:val="E36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ED63A1"/>
    <w:multiLevelType w:val="multilevel"/>
    <w:tmpl w:val="AFA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330B2"/>
    <w:multiLevelType w:val="hybridMultilevel"/>
    <w:tmpl w:val="8E168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B7B48"/>
    <w:multiLevelType w:val="multilevel"/>
    <w:tmpl w:val="7A9C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262895"/>
    <w:multiLevelType w:val="multilevel"/>
    <w:tmpl w:val="14D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F7802"/>
    <w:multiLevelType w:val="multilevel"/>
    <w:tmpl w:val="6262A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F5C0D"/>
    <w:multiLevelType w:val="multilevel"/>
    <w:tmpl w:val="5732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D816F2"/>
    <w:multiLevelType w:val="multilevel"/>
    <w:tmpl w:val="10CA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CD19D6"/>
    <w:multiLevelType w:val="multilevel"/>
    <w:tmpl w:val="ADB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34622"/>
    <w:multiLevelType w:val="hybridMultilevel"/>
    <w:tmpl w:val="98184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94A35"/>
    <w:multiLevelType w:val="multilevel"/>
    <w:tmpl w:val="46C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96E22"/>
    <w:multiLevelType w:val="multilevel"/>
    <w:tmpl w:val="C206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EA096D"/>
    <w:multiLevelType w:val="hybridMultilevel"/>
    <w:tmpl w:val="AD6A6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407EA"/>
    <w:multiLevelType w:val="hybridMultilevel"/>
    <w:tmpl w:val="9EA80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41FC0"/>
    <w:multiLevelType w:val="hybridMultilevel"/>
    <w:tmpl w:val="85CEC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E2917"/>
    <w:multiLevelType w:val="multilevel"/>
    <w:tmpl w:val="291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FA52BB"/>
    <w:multiLevelType w:val="hybridMultilevel"/>
    <w:tmpl w:val="4F90B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05757">
    <w:abstractNumId w:val="5"/>
  </w:num>
  <w:num w:numId="2" w16cid:durableId="1618370225">
    <w:abstractNumId w:val="6"/>
  </w:num>
  <w:num w:numId="3" w16cid:durableId="201678002">
    <w:abstractNumId w:val="20"/>
  </w:num>
  <w:num w:numId="4" w16cid:durableId="810631021">
    <w:abstractNumId w:val="34"/>
  </w:num>
  <w:num w:numId="5" w16cid:durableId="1880699627">
    <w:abstractNumId w:val="1"/>
  </w:num>
  <w:num w:numId="6" w16cid:durableId="624966671">
    <w:abstractNumId w:val="36"/>
  </w:num>
  <w:num w:numId="7" w16cid:durableId="907769792">
    <w:abstractNumId w:val="30"/>
  </w:num>
  <w:num w:numId="8" w16cid:durableId="548036511">
    <w:abstractNumId w:val="3"/>
  </w:num>
  <w:num w:numId="9" w16cid:durableId="1587349746">
    <w:abstractNumId w:val="19"/>
  </w:num>
  <w:num w:numId="10" w16cid:durableId="1852336882">
    <w:abstractNumId w:val="33"/>
  </w:num>
  <w:num w:numId="11" w16cid:durableId="1742019383">
    <w:abstractNumId w:val="8"/>
  </w:num>
  <w:num w:numId="12" w16cid:durableId="241455609">
    <w:abstractNumId w:val="18"/>
  </w:num>
  <w:num w:numId="13" w16cid:durableId="432822129">
    <w:abstractNumId w:val="12"/>
  </w:num>
  <w:num w:numId="14" w16cid:durableId="44136805">
    <w:abstractNumId w:val="29"/>
  </w:num>
  <w:num w:numId="15" w16cid:durableId="1251697045">
    <w:abstractNumId w:val="11"/>
  </w:num>
  <w:num w:numId="16" w16cid:durableId="218126833">
    <w:abstractNumId w:val="27"/>
  </w:num>
  <w:num w:numId="17" w16cid:durableId="1213417944">
    <w:abstractNumId w:val="21"/>
  </w:num>
  <w:num w:numId="18" w16cid:durableId="829834153">
    <w:abstractNumId w:val="31"/>
  </w:num>
  <w:num w:numId="19" w16cid:durableId="1396970970">
    <w:abstractNumId w:val="41"/>
  </w:num>
  <w:num w:numId="20" w16cid:durableId="77673892">
    <w:abstractNumId w:val="37"/>
  </w:num>
  <w:num w:numId="21" w16cid:durableId="1592078243">
    <w:abstractNumId w:val="2"/>
  </w:num>
  <w:num w:numId="22" w16cid:durableId="741373149">
    <w:abstractNumId w:val="26"/>
  </w:num>
  <w:num w:numId="23" w16cid:durableId="1919754211">
    <w:abstractNumId w:val="7"/>
  </w:num>
  <w:num w:numId="24" w16cid:durableId="1194730474">
    <w:abstractNumId w:val="4"/>
  </w:num>
  <w:num w:numId="25" w16cid:durableId="1262879299">
    <w:abstractNumId w:val="40"/>
  </w:num>
  <w:num w:numId="26" w16cid:durableId="1749618417">
    <w:abstractNumId w:val="45"/>
  </w:num>
  <w:num w:numId="27" w16cid:durableId="392584231">
    <w:abstractNumId w:val="38"/>
  </w:num>
  <w:num w:numId="28" w16cid:durableId="789471012">
    <w:abstractNumId w:val="0"/>
  </w:num>
  <w:num w:numId="29" w16cid:durableId="1368677556">
    <w:abstractNumId w:val="14"/>
  </w:num>
  <w:num w:numId="30" w16cid:durableId="2074959966">
    <w:abstractNumId w:val="17"/>
  </w:num>
  <w:num w:numId="31" w16cid:durableId="1187600586">
    <w:abstractNumId w:val="9"/>
  </w:num>
  <w:num w:numId="32" w16cid:durableId="2105030987">
    <w:abstractNumId w:val="22"/>
  </w:num>
  <w:num w:numId="33" w16cid:durableId="1496652424">
    <w:abstractNumId w:val="46"/>
  </w:num>
  <w:num w:numId="34" w16cid:durableId="1339501103">
    <w:abstractNumId w:val="10"/>
  </w:num>
  <w:num w:numId="35" w16cid:durableId="2040010817">
    <w:abstractNumId w:val="16"/>
  </w:num>
  <w:num w:numId="36" w16cid:durableId="188564373">
    <w:abstractNumId w:val="43"/>
  </w:num>
  <w:num w:numId="37" w16cid:durableId="449395110">
    <w:abstractNumId w:val="28"/>
  </w:num>
  <w:num w:numId="38" w16cid:durableId="1103964347">
    <w:abstractNumId w:val="24"/>
  </w:num>
  <w:num w:numId="39" w16cid:durableId="1906522677">
    <w:abstractNumId w:val="25"/>
  </w:num>
  <w:num w:numId="40" w16cid:durableId="2126537853">
    <w:abstractNumId w:val="32"/>
  </w:num>
  <w:num w:numId="41" w16cid:durableId="1378311529">
    <w:abstractNumId w:val="23"/>
  </w:num>
  <w:num w:numId="42" w16cid:durableId="1126391124">
    <w:abstractNumId w:val="15"/>
  </w:num>
  <w:num w:numId="43" w16cid:durableId="15161693">
    <w:abstractNumId w:val="13"/>
  </w:num>
  <w:num w:numId="44" w16cid:durableId="2068139336">
    <w:abstractNumId w:val="42"/>
  </w:num>
  <w:num w:numId="45" w16cid:durableId="799105946">
    <w:abstractNumId w:val="35"/>
  </w:num>
  <w:num w:numId="46" w16cid:durableId="958267827">
    <w:abstractNumId w:val="39"/>
  </w:num>
  <w:num w:numId="47" w16cid:durableId="119762080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E9"/>
    <w:rsid w:val="006B193C"/>
    <w:rsid w:val="007B67E9"/>
    <w:rsid w:val="008B4BDD"/>
    <w:rsid w:val="00C12B50"/>
    <w:rsid w:val="00CE1E0C"/>
    <w:rsid w:val="00FB090D"/>
    <w:rsid w:val="00F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D368"/>
  <w15:chartTrackingRefBased/>
  <w15:docId w15:val="{217EEC73-350E-3642-AD53-55FAC510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7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7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7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7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6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7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7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7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67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4BDD"/>
    <w:rPr>
      <w:b/>
      <w:bCs/>
    </w:rPr>
  </w:style>
  <w:style w:type="table" w:styleId="TableGrid">
    <w:name w:val="Table Grid"/>
    <w:basedOn w:val="TableNormal"/>
    <w:uiPriority w:val="39"/>
    <w:rsid w:val="008B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B4BD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Dulo</dc:creator>
  <cp:keywords/>
  <dc:description/>
  <cp:lastModifiedBy>Job Dulo</cp:lastModifiedBy>
  <cp:revision>1</cp:revision>
  <dcterms:created xsi:type="dcterms:W3CDTF">2025-06-26T13:00:00Z</dcterms:created>
  <dcterms:modified xsi:type="dcterms:W3CDTF">2025-06-26T13:29:00Z</dcterms:modified>
</cp:coreProperties>
</file>