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45309"/>
          <w:spacing w:val="40"/>
          <w:sz w:val="18"/>
          <w:szCs w:val="18"/>
        </w:rPr>
        <w:t xml:space="preserve">CONCEPT NOTE</w:t>
      </w:r>
    </w:p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East Africa El Niño Readiness Index</w:t>
      </w:r>
    </w:p>
    <w:p>
      <w:pPr>
        <w:spacing w:after="120"/>
      </w:pPr>
      <w:r>
        <w:rPr>
          <w:i/>
          <w:iCs/>
          <w:color w:val="444444"/>
          <w:sz w:val="21"/>
          <w:szCs w:val="21"/>
        </w:rPr>
        <w:t xml:space="preserve">Mapping the gap between exposure and preparedness for the 2026–27 El Niño in the Greater Horn of Africa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1. Context and rationale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An El Niño Advisory is in effect. NOAA and the WMO give roughly an </w:t>
      </w:r>
      <w:r>
        <w:rPr>
          <w:b/>
          <w:bCs/>
          <w:color w:val="444444"/>
          <w:sz w:val="20"/>
          <w:szCs w:val="20"/>
        </w:rPr>
        <w:t xml:space="preserve">81% probability of a very strong El Niño in October–December 2026</w:t>
      </w:r>
      <w:r>
        <w:rPr>
          <w:color w:val="444444"/>
          <w:sz w:val="20"/>
          <w:szCs w:val="20"/>
        </w:rPr>
        <w:t xml:space="preserve">, potentially among the strongest events since 1950, with a ~63% chance of exceeding the 2.0°C "very strong" threshold and persistence into early 2027. FEWS NET projects a </w:t>
      </w:r>
      <w:r>
        <w:rPr>
          <w:b/>
          <w:bCs/>
          <w:color w:val="444444"/>
          <w:sz w:val="20"/>
          <w:szCs w:val="20"/>
        </w:rPr>
        <w:t xml:space="preserve">biphasic drought-to-flood cascade</w:t>
      </w:r>
      <w:r>
        <w:rPr>
          <w:color w:val="444444"/>
          <w:sz w:val="20"/>
          <w:szCs w:val="20"/>
        </w:rPr>
        <w:t xml:space="preserve"> across East Africa: below-average rains suppressing planting from June–September, followed by an Indian Ocean Dipole–driven deluge and flooding from October–December across Kenya, Somalia, southern Ethiopia and Uganda.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This shock is arriving as development and humanitarian financing contracts. When resources are scarce, the difference between a place that has prepositioned stocks, pre-agreed financing triggers and a tested contingency plan — and one that does not — is measured in lives and livelihoods. </w:t>
      </w:r>
      <w:r>
        <w:rPr>
          <w:b/>
          <w:bCs/>
          <w:color w:val="444444"/>
          <w:sz w:val="20"/>
          <w:szCs w:val="20"/>
        </w:rPr>
        <w:t xml:space="preserve">The decision-relevant question is not only where the hazard will land, but where readiness is weakest relative to exposure.</w:t>
      </w: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2. The gap this fills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The region is well served by </w:t>
      </w:r>
      <w:r>
        <w:rPr>
          <w:i/>
          <w:iCs/>
          <w:color w:val="444444"/>
          <w:sz w:val="20"/>
          <w:szCs w:val="20"/>
        </w:rPr>
        <w:t xml:space="preserve">hazard and impact</w:t>
      </w:r>
      <w:r>
        <w:rPr>
          <w:color w:val="444444"/>
          <w:sz w:val="20"/>
          <w:szCs w:val="20"/>
        </w:rPr>
        <w:t xml:space="preserve"> information — FEWS NET, IPC, WFP HungerMap, IRI forecasts, and ICPAC's regional early-warning products all map what is likely to happen. What no tool maintains in a comparable, decision-ready form is </w:t>
      </w:r>
      <w:r>
        <w:rPr>
          <w:b/>
          <w:bCs/>
          <w:color w:val="444444"/>
          <w:sz w:val="20"/>
          <w:szCs w:val="20"/>
        </w:rPr>
        <w:t xml:space="preserve">readiness</w:t>
      </w:r>
      <w:r>
        <w:rPr>
          <w:color w:val="444444"/>
          <w:sz w:val="20"/>
          <w:szCs w:val="20"/>
        </w:rPr>
        <w:t xml:space="preserve">: whether anticipatory financing, trigger matrices, prepositioning and response capacity are actually in place at a given location. This index does not duplicate the hazard layer — it borrows it, and concentrates original effort on the readiness layer, expressed against exposure so that the output isolates the dangerous quadrant: </w:t>
      </w:r>
      <w:r>
        <w:rPr>
          <w:b/>
          <w:bCs/>
          <w:color w:val="444444"/>
          <w:sz w:val="20"/>
          <w:szCs w:val="20"/>
        </w:rPr>
        <w:t xml:space="preserve">high exposure, low readiness.</w:t>
      </w: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3. Proposed approach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A composite index for the IGAD / Greater Horn region at </w:t>
      </w:r>
      <w:r>
        <w:rPr>
          <w:b/>
          <w:bCs/>
          <w:color w:val="444444"/>
          <w:sz w:val="20"/>
          <w:szCs w:val="20"/>
        </w:rPr>
        <w:t xml:space="preserve">admin-1 (province) resolution</w:t>
      </w:r>
      <w:r>
        <w:rPr>
          <w:color w:val="444444"/>
          <w:sz w:val="20"/>
          <w:szCs w:val="20"/>
        </w:rPr>
        <w:t xml:space="preserve">, built from three pillars, with a headline score of </w:t>
      </w:r>
      <w:r>
        <w:rPr>
          <w:b/>
          <w:bCs/>
          <w:color w:val="444444"/>
          <w:sz w:val="20"/>
          <w:szCs w:val="20"/>
        </w:rPr>
        <w:t xml:space="preserve">Readiness relative to Exposure</w:t>
      </w:r>
      <w:r>
        <w:rPr>
          <w:color w:val="444444"/>
          <w:sz w:val="20"/>
          <w:szCs w:val="20"/>
        </w:rPr>
        <w:t xml:space="preserve">. The framework is designed to plug into existing regional infrastructure — notably ICPAC's anticipatory-action roadmap and cross-border trigger matrices — rather than stand alone.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444444"/>
          <w:sz w:val="20"/>
          <w:szCs w:val="20"/>
        </w:rPr>
        <w:t xml:space="preserve">Exposure / Hazard — </w:t>
      </w:r>
      <w:r>
        <w:rPr>
          <w:color w:val="444444"/>
          <w:sz w:val="20"/>
          <w:szCs w:val="20"/>
        </w:rPr>
        <w:t xml:space="preserve">the El Niño signal and its rainfall and vegetation footprint (borrowed from authoritative sources, not reinvented).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444444"/>
          <w:sz w:val="20"/>
          <w:szCs w:val="20"/>
        </w:rPr>
        <w:t xml:space="preserve">Vulnerability — </w:t>
      </w:r>
      <w:r>
        <w:rPr>
          <w:color w:val="444444"/>
          <w:sz w:val="20"/>
          <w:szCs w:val="20"/>
        </w:rPr>
        <w:t xml:space="preserve">the underlying fragility that converts a shock into a crisis (poverty, nutrition, prior IPC phase).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444444"/>
          <w:sz w:val="20"/>
          <w:szCs w:val="20"/>
        </w:rPr>
        <w:t xml:space="preserve">Readiness / Coping capacity — </w:t>
      </w:r>
      <w:r>
        <w:rPr>
          <w:color w:val="444444"/>
          <w:sz w:val="20"/>
          <w:szCs w:val="20"/>
        </w:rPr>
        <w:t xml:space="preserve">the differentiator: is anticipatory financing, planning and response capacity actually in place?</w:t>
      </w: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4. Resolution: localizing the unit of analysis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The index's value rises sharply as the spatial unit shrinks. Country- and even province-level scores average away the within-area variation that local responders actually act on, so v0.1 treats </w:t>
      </w:r>
      <w:r>
        <w:rPr>
          <w:b/>
          <w:bCs/>
          <w:color w:val="444444"/>
          <w:sz w:val="20"/>
          <w:szCs w:val="20"/>
        </w:rPr>
        <w:t xml:space="preserve">admin-1 as a floor, not the target — the design goal is admin-2 (district), and ward or livelihood-zone in priority hotspots.</w:t>
      </w:r>
      <w:r>
        <w:rPr>
          <w:color w:val="444444"/>
          <w:sz w:val="20"/>
          <w:szCs w:val="20"/>
        </w:rPr>
        <w:t xml:space="preserve"> A readiness score is only actionable if it resolves to the administrative level that holds a contingency plan, prepositioned stock and a response team; a national trigger that never reaches the district is not readiness.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Because the layers differ in how fine they can go — seasonal forecasts are coarse, while readiness must be hand-compiled per unit — the approach is a </w:t>
      </w:r>
      <w:r>
        <w:rPr>
          <w:b/>
          <w:bCs/>
          <w:color w:val="444444"/>
          <w:sz w:val="20"/>
          <w:szCs w:val="20"/>
        </w:rPr>
        <w:t xml:space="preserve">variable-resolution index</w:t>
      </w:r>
      <w:r>
        <w:rPr>
          <w:color w:val="444444"/>
          <w:sz w:val="20"/>
          <w:szCs w:val="20"/>
        </w:rPr>
        <w:t xml:space="preserve">: use the finest unit each layer supports, aggregate transparently, and carry a confidence flag per cell rather than forcing a false uniform grid. Exposure is downscaled to admin-2 (seasonal forecasts bias-corrected against CHIRPS and population-weighted with WorldPop); readiness is hand-compiled to the same unit across the priority countries.</w:t>
      </w: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5. Candidate data sources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All layers draw on free or API-accessible datasets. The exposure and vulnerability pillars are data-rich; the readiness pillar requires original compilation and is where the initiative adds value.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300"/>
        <w:gridCol w:w="4650"/>
      </w:tblGrid>
      <w:tr>
        <w:trPr>
          <w:tblHeader/>
        </w:trPr>
        <w:tc>
          <w:tcPr>
            <w:tcW w:type="dxa" w:w="13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33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measures</w:t>
            </w:r>
          </w:p>
        </w:tc>
        <w:tc>
          <w:tcPr>
            <w:tcW w:type="dxa" w:w="465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Candidate sources (free / API)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Exposure / Hazard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ENSO signal, rainfall &amp; vegetation anomalies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IRI &amp; NOAA CPC ENSO forecasts; ECMWF/Copernicus C3S; ICPAC regional outlooks; CHIRPS rainfall; NASA/USGS NDVI-VHI; FAO ASIS</w:t>
            </w:r>
          </w:p>
        </w:tc>
      </w:tr>
      <w:tr>
        <w:tc>
          <w:tcPr>
            <w:tcW w:type="dxa" w:w="1350"/>
            <w:shd w:fill="EAEF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Vulnerability</w:t>
            </w:r>
          </w:p>
        </w:tc>
        <w:tc>
          <w:tcPr>
            <w:tcW w:type="dxa" w:w="3300"/>
            <w:shd w:fill="EAEF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Underlying fragility that turns shock into crisis</w:t>
            </w:r>
          </w:p>
        </w:tc>
        <w:tc>
          <w:tcPr>
            <w:tcW w:type="dxa" w:w="4650"/>
            <w:shd w:fill="EAEF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INFORM Risk Index (EU JRC); IPC/FEWS NET phases; WFP HungerMap; FAO GIEWS; World Bank poverty/WDI; DHS nutrition; WorldPop</w:t>
            </w:r>
          </w:p>
        </w:tc>
      </w:tr>
      <w:tr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Readiness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Whether financing, plans &amp; response capacity are in place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OCHA/CERF Anticipatory Action; IFRC-DREF anticipatory pillar; IGAD/ICPAC AA roadmap &amp; trigger matrices; national contingency plans; WFP prepositioning; ND-GAIN readiness sub-index</w:t>
            </w:r>
          </w:p>
        </w:tc>
      </w:tr>
    </w:tbl>
    <w:p>
      <w:pPr>
        <w:spacing w:after="100"/>
      </w:pP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6. Scope, phasing and outputs</w:t>
      </w:r>
    </w:p>
    <w:p>
      <w:pPr>
        <w:spacing w:after="120" w:line="264"/>
        <w:jc w:val="both"/>
      </w:pPr>
      <w:r>
        <w:rPr>
          <w:b/>
          <w:bCs/>
          <w:color w:val="444444"/>
          <w:sz w:val="20"/>
          <w:szCs w:val="20"/>
        </w:rPr>
        <w:t xml:space="preserve">Phase 0 (v0.1): </w:t>
      </w:r>
      <w:r>
        <w:rPr>
          <w:color w:val="444444"/>
          <w:sz w:val="20"/>
          <w:szCs w:val="20"/>
        </w:rPr>
        <w:t xml:space="preserve">a focused proof-of-concept over the current 2026–27 event — the IGAD region at admin-1, dropping to admin-2 in priority hotspots, with the three pillars above and a readiness-vs-exposure headline delivered as a scored map plus a short methodology note. </w:t>
      </w:r>
      <w:r>
        <w:rPr>
          <w:b/>
          <w:bCs/>
          <w:color w:val="444444"/>
          <w:sz w:val="20"/>
          <w:szCs w:val="20"/>
        </w:rPr>
        <w:t xml:space="preserve">Phase 1: </w:t>
      </w:r>
      <w:r>
        <w:rPr>
          <w:color w:val="444444"/>
          <w:sz w:val="20"/>
          <w:szCs w:val="20"/>
        </w:rPr>
        <w:t xml:space="preserve">a maintained data pipeline and living dashboard refreshed against seasonal forecast updates. </w:t>
      </w:r>
      <w:r>
        <w:rPr>
          <w:b/>
          <w:bCs/>
          <w:color w:val="444444"/>
          <w:sz w:val="20"/>
          <w:szCs w:val="20"/>
        </w:rPr>
        <w:t xml:space="preserve">Phase 2: </w:t>
      </w:r>
      <w:r>
        <w:rPr>
          <w:color w:val="444444"/>
          <w:sz w:val="20"/>
          <w:szCs w:val="20"/>
        </w:rPr>
        <w:t xml:space="preserve">extension to Southern Africa, where the same framework transfers directly.</w:t>
      </w: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7. Feasibility and risks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444444"/>
          <w:sz w:val="20"/>
          <w:szCs w:val="20"/>
        </w:rPr>
        <w:t xml:space="preserve">Readiness data is thin and partly qualitative. </w:t>
      </w:r>
      <w:r>
        <w:rPr>
          <w:color w:val="444444"/>
          <w:sz w:val="20"/>
          <w:szCs w:val="20"/>
        </w:rPr>
        <w:t xml:space="preserve">Trigger, financing and contingency-plan status must be hand-compiled per unit — this is the core effort and the source of differentiation, not a side task.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444444"/>
          <w:sz w:val="20"/>
          <w:szCs w:val="20"/>
        </w:rPr>
        <w:t xml:space="preserve">Resolution comes at a cost. </w:t>
      </w:r>
      <w:r>
        <w:rPr>
          <w:color w:val="444444"/>
          <w:sz w:val="20"/>
          <w:szCs w:val="20"/>
        </w:rPr>
        <w:t xml:space="preserve">Finer units sharpen targeting but multiply the data and hand-compilation burden; the variable-resolution design goes as fine as each layer supports and flags confidence rather than forcing one grid.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444444"/>
          <w:sz w:val="20"/>
          <w:szCs w:val="20"/>
        </w:rPr>
        <w:t xml:space="preserve">Attribution. </w:t>
      </w:r>
      <w:r>
        <w:rPr>
          <w:color w:val="444444"/>
          <w:sz w:val="20"/>
          <w:szCs w:val="20"/>
        </w:rPr>
        <w:t xml:space="preserve">El Niño interacts with the Indian Ocean Dipole, conflict (e.g. Sudan) and price shocks. The tool is framed as El Niño–season readiness, not sole causation.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444444"/>
          <w:sz w:val="20"/>
          <w:szCs w:val="20"/>
        </w:rPr>
        <w:t xml:space="preserve">Maintenance. </w:t>
      </w:r>
      <w:r>
        <w:rPr>
          <w:color w:val="444444"/>
          <w:sz w:val="20"/>
          <w:szCs w:val="20"/>
        </w:rPr>
        <w:t xml:space="preserve">A static index dates quickly; scope is set honestly against what can be sustained between forecast cycles.</w:t>
      </w:r>
    </w:p>
    <w:p>
      <w:pPr>
        <w:pStyle w:val="Heading1"/>
        <w:spacing w:after="100" w:before="240"/>
      </w:pPr>
      <w:r>
        <w:rPr>
          <w:b/>
          <w:bCs/>
          <w:color w:val="1F3A5F"/>
          <w:sz w:val="26"/>
          <w:szCs w:val="26"/>
        </w:rPr>
        <w:t xml:space="preserve">8. Why now, and next steps</w:t>
      </w:r>
    </w:p>
    <w:p>
      <w:pPr>
        <w:spacing w:after="120" w:line="264"/>
        <w:jc w:val="both"/>
      </w:pPr>
      <w:r>
        <w:rPr>
          <w:color w:val="444444"/>
          <w:sz w:val="20"/>
          <w:szCs w:val="20"/>
        </w:rPr>
        <w:t xml:space="preserve">Anticipatory action for this event is already live: as of mid-2026, partners had activated El Niño AA frameworks in East Africa with </w:t>
      </w:r>
      <w:r>
        <w:rPr>
          <w:b/>
          <w:bCs/>
          <w:color w:val="444444"/>
          <w:sz w:val="20"/>
          <w:szCs w:val="20"/>
        </w:rPr>
        <w:t xml:space="preserve">over US$35 million disbursed to support nearly 2 million people</w:t>
      </w:r>
      <w:r>
        <w:rPr>
          <w:color w:val="444444"/>
          <w:sz w:val="20"/>
          <w:szCs w:val="20"/>
        </w:rPr>
        <w:t xml:space="preserve">. A readiness index is therefore immediately actionable — it can help direct scarce anticipatory financing to the highest exposure–lowest readiness locations before the October–December peak. Proposed next steps: (i) confirm the priority-country set and admin-1 boundaries with regional partners; (ii) assemble the exposure and vulnerability layers from existing sources; (iii) design and pilot the readiness scoring rubric with ICPAC and AA partners; (iv) publish v0.1 with a transparent methodology note for partner review.</w:t>
      </w:r>
    </w:p>
    <w:p>
      <w:pPr>
        <w:pBdr>
          <w:bottom w:val="single" w:color="CCCCCC" w:sz="6" w:space="1"/>
        </w:pBdr>
        <w:spacing w:after="120"/>
      </w:pPr>
    </w:p>
    <w:p>
      <w:pPr>
        <w:spacing w:before="60"/>
      </w:pPr>
      <w:r>
        <w:rPr>
          <w:i/>
          <w:iCs/>
          <w:color w:val="888888"/>
          <w:sz w:val="15"/>
          <w:szCs w:val="15"/>
        </w:rPr>
        <w:t xml:space="preserve">Selected sources: NOAA CPC ENSO Diagnostic Discussion; WMO El Niño/La Niña Update (May 2026); FEWS NET El Niño 2026–2027, Southern Africa &amp; East Africa outlooks (June 2026); IGAD/ICPAC Regional Roadmap for Anticipatory Action; OCHA/CERF &amp; IFRC-DREF anticipatory action portfolios; Anticipation Hub, "El Niño 2026–2027: seizing the moment."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Concept Note v0.1  ·  For discussion with technical &amp; implementing partners  ·  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East Africa El Niño Readiness Index — Concept Note</dc:title>
  <dc:creator>El Niño Readiness Initiative</dc:creator>
  <cp:lastModifiedBy>Un-named</cp:lastModifiedBy>
  <cp:revision>1</cp:revision>
  <dcterms:created xsi:type="dcterms:W3CDTF">2026-08-10T11:59:18.938Z</dcterms:created>
  <dcterms:modified xsi:type="dcterms:W3CDTF">2026-08-10T11:59:18.938Z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