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2F2F2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46.0" w:type="dxa"/>
        <w:jc w:val="left"/>
        <w:tblBorders>
          <w:top w:color="f2f2f2" w:space="0" w:sz="4" w:val="single"/>
          <w:left w:color="f2f2f2" w:space="0" w:sz="4" w:val="single"/>
          <w:bottom w:color="f2f2f2" w:space="0" w:sz="4" w:val="single"/>
          <w:right w:color="f2f2f2" w:space="0" w:sz="4" w:val="single"/>
          <w:insideH w:color="f2f2f2" w:space="0" w:sz="4" w:val="single"/>
          <w:insideV w:color="f2f2f2" w:space="0" w:sz="4" w:val="single"/>
        </w:tblBorders>
        <w:tblLayout w:type="fixed"/>
        <w:tblLook w:val="0400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  <w:tblGridChange w:id="0">
          <w:tblGrid>
            <w:gridCol w:w="3119"/>
            <w:gridCol w:w="3071"/>
            <w:gridCol w:w="47"/>
            <w:gridCol w:w="1499"/>
            <w:gridCol w:w="1185"/>
            <w:gridCol w:w="406"/>
            <w:gridCol w:w="6"/>
            <w:gridCol w:w="2706"/>
            <w:gridCol w:w="397"/>
            <w:gridCol w:w="1856"/>
            <w:gridCol w:w="418"/>
            <w:gridCol w:w="836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2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3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f2f2f2" w:space="0" w:sz="4" w:val="single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04">
            <w:pPr>
              <w:ind w:right="-944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Designed for:</w:t>
            </w:r>
          </w:p>
        </w:tc>
        <w:tc>
          <w:tcPr>
            <w:gridSpan w:val="2"/>
            <w:tcBorders>
              <w:bottom w:color="f2f2f2" w:space="0" w:sz="4" w:val="single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09">
            <w:pPr>
              <w:ind w:left="-51" w:right="-944" w:firstLine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Designed by:</w:t>
            </w:r>
          </w:p>
        </w:tc>
        <w:tc>
          <w:tcPr>
            <w:gridSpan w:val="2"/>
            <w:tcBorders>
              <w:bottom w:color="f2f2f2" w:space="0" w:sz="4" w:val="single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0B">
            <w:pPr>
              <w:ind w:left="-80" w:right="-944" w:firstLine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Date:</w:t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0D">
            <w:pPr>
              <w:ind w:left="-108" w:right="-944" w:firstLine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Version: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0E">
            <w:pPr>
              <w:ind w:right="-944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Business Model Canvas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2f2f2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JopHelber</w:t>
            </w:r>
          </w:p>
        </w:tc>
        <w:tc>
          <w:tcPr>
            <w:gridSpan w:val="2"/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JobHelper</w:t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6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</w:t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8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1.0.0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A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B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C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1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3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Key Partners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Key Activities</w:t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Value Propositions</w:t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Customer Relationships</w:t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Customer Segments</w:t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vMerge w:val="restart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Абітурієнти, школярі, батьки, вчителі, vstup.edbo.gov.ua</w:t>
            </w:r>
          </w:p>
        </w:tc>
        <w:tc>
          <w:tcPr>
            <w:gridSpan w:val="2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Потрбіно знати, у яких предметах абітурієнт сильний та власні бажання щодо майбутньої сфери дільності, якщо такі вже є</w:t>
            </w:r>
          </w:p>
        </w:tc>
        <w:tc>
          <w:tcPr>
            <w:gridSpan w:val="4"/>
            <w:vMerge w:val="restart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Абітурієнти: поради щодо вступу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Школярі: інформування школяра про певний підхожий напрямок</w:t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Батьки: пояснення дітям перспектив певної професії….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Вчителі: кількість учнів, студентів, які не охоче навчаються</w:t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ind w:right="-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Технічна підтримка</w:t>
            </w:r>
          </w:p>
        </w:tc>
        <w:tc>
          <w:tcPr>
            <w:gridSpan w:val="3"/>
            <w:vMerge w:val="restart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ind w:right="-18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Аплікація – велика цінність для вступника , його батьків, викладачів (кількість студентів, які не охоче навчаються зменшиться в рази)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2f2f2" w:space="0" w:sz="4" w:val="single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Key Resources</w:t>
            </w:r>
          </w:p>
        </w:tc>
        <w:tc>
          <w:tcPr>
            <w:gridSpan w:val="4"/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2f2f2" w:space="0" w:sz="4" w:val="single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Channels</w:t>
            </w:r>
          </w:p>
        </w:tc>
        <w:tc>
          <w:tcPr>
            <w:gridSpan w:val="3"/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2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статистика здачі ЗНО (минулих років), </w:t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мобільний додаток та веб-сайт</w:t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Статистика здач НМТ</w:t>
            </w:r>
          </w:p>
        </w:tc>
        <w:tc>
          <w:tcPr>
            <w:gridSpan w:val="4"/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ind w:right="-1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Сторінки в соцмеражах (Facebook, інстаграм)</w:t>
            </w:r>
          </w:p>
        </w:tc>
        <w:tc>
          <w:tcPr>
            <w:gridSpan w:val="3"/>
            <w:vMerge w:val="continue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4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F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Cost Structure</w:t>
            </w:r>
          </w:p>
        </w:tc>
        <w:tc>
          <w:tcPr>
            <w:gridSpan w:val="8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Revenue Streams</w:t>
            </w:r>
          </w:p>
        </w:tc>
      </w:tr>
      <w:tr>
        <w:trPr>
          <w:cantSplit w:val="0"/>
          <w:trHeight w:val="2667" w:hRule="atLeast"/>
          <w:tblHeader w:val="0"/>
        </w:trPr>
        <w:tc>
          <w:tcPr>
            <w:gridSpan w:val="4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ind w:right="-32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Створення AI, який буде вмістити в собі бази даних ВНЗ</w:t>
            </w:r>
          </w:p>
          <w:p w:rsidR="00000000" w:rsidDel="00000000" w:rsidP="00000000" w:rsidRDefault="00000000" w:rsidRPr="00000000" w14:paraId="0000006C">
            <w:pPr>
              <w:ind w:right="-32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Вартість хостингу (~4$)</w:t>
            </w:r>
          </w:p>
          <w:p w:rsidR="00000000" w:rsidDel="00000000" w:rsidP="00000000" w:rsidRDefault="00000000" w:rsidRPr="00000000" w14:paraId="0000006D">
            <w:pPr>
              <w:ind w:right="-32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Дизайн додатку</w:t>
            </w:r>
          </w:p>
          <w:p w:rsidR="00000000" w:rsidDel="00000000" w:rsidP="00000000" w:rsidRDefault="00000000" w:rsidRPr="00000000" w14:paraId="0000006E">
            <w:pPr>
              <w:ind w:right="-32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Процес оплати </w:t>
            </w:r>
          </w:p>
          <w:p w:rsidR="00000000" w:rsidDel="00000000" w:rsidP="00000000" w:rsidRDefault="00000000" w:rsidRPr="00000000" w14:paraId="0000006F">
            <w:pPr>
              <w:ind w:right="-32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Вартість оплати ()</w:t>
            </w:r>
          </w:p>
        </w:tc>
        <w:tc>
          <w:tcPr>
            <w:gridSpan w:val="8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ind w:right="-18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Преміум підписки</w:t>
            </w:r>
          </w:p>
          <w:p w:rsidR="00000000" w:rsidDel="00000000" w:rsidP="00000000" w:rsidRDefault="00000000" w:rsidRPr="00000000" w14:paraId="00000074">
            <w:pPr>
              <w:ind w:right="-18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Реклама (якщо, це сайт)</w:t>
            </w:r>
          </w:p>
          <w:p w:rsidR="00000000" w:rsidDel="00000000" w:rsidP="00000000" w:rsidRDefault="00000000" w:rsidRPr="00000000" w14:paraId="00000075">
            <w:pPr>
              <w:ind w:right="-18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right="-18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12"/>
            <w:shd w:fill="f3f3f3" w:val="clear"/>
            <w:vAlign w:val="center"/>
          </w:tcPr>
          <w:p w:rsidR="00000000" w:rsidDel="00000000" w:rsidP="00000000" w:rsidRDefault="00000000" w:rsidRPr="00000000" w14:paraId="0000007E">
            <w:pPr>
              <w:ind w:right="-944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Designed by: The Business Model Foundry (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0000ff"/>
                  <w:sz w:val="16"/>
                  <w:szCs w:val="16"/>
                  <w:u w:val="single"/>
                  <w:rtl w:val="0"/>
                </w:rPr>
                <w:t xml:space="preserve">www.businessmodelgeneration.com/canvas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). Word implementation by: Neos Chronos Limited (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sz w:val="16"/>
                  <w:szCs w:val="16"/>
                  <w:u w:val="single"/>
                  <w:rtl w:val="0"/>
                </w:rPr>
                <w:t xml:space="preserve">https://neoschronos.com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). License: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000ff"/>
                  <w:sz w:val="16"/>
                  <w:szCs w:val="16"/>
                  <w:u w:val="single"/>
                  <w:rtl w:val="0"/>
                </w:rPr>
                <w:t xml:space="preserve">CC BY-SA 3.0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1900" w:w="16820" w:orient="landscape"/>
      <w:pgMar w:bottom="567" w:top="567" w:left="663" w:right="69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3" style="position:absolute;width:773.1pt;height:40.65pt;rotation:0;z-index:-503316481;mso-position-horizontal-relative:margin;mso-position-horizontal:center;mso-position-vertical-relative:margin;mso-position-vertical:center;" fillcolor="#c0c0c0" stroked="f" type="#_x0000_t136">
          <v:fill angle="0" opacity="65536f"/>
          <v:textpath fitshape="t" string="Neos Chronos Business Model Canvas Word" style="font-family:&amp;quot;Cambria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773.1pt;height:40.65pt;rotation:0;z-index:-503316481;mso-position-horizontal-relative:margin;mso-position-horizontal:center;mso-position-vertical-relative:margin;mso-position-vertical:center;" fillcolor="#c0c0c0" stroked="f" type="#_x0000_t136">
          <v:fill angle="0" opacity="65536f"/>
          <v:textpath fitshape="t" string="Neos Chronos Business Model Canvas Word" style="font-family:&amp;quot;Cambria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2" style="position:absolute;width:773.1pt;height:40.65pt;rotation:0;z-index:-503316481;mso-position-horizontal-relative:margin;mso-position-horizontal:center;mso-position-vertical-relative:margin;mso-position-vertical:center;" fillcolor="#c0c0c0" stroked="f" type="#_x0000_t136">
          <v:fill angle="0" opacity="65536f"/>
          <v:textpath fitshape="t" string="Neos Chronos Business Model Canvas Word" style="font-family:&amp;quot;Cambria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1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businessmodelgeneration.com/canvas" TargetMode="External"/><Relationship Id="rId7" Type="http://schemas.openxmlformats.org/officeDocument/2006/relationships/hyperlink" Target="https://neoschronos.com" TargetMode="External"/><Relationship Id="rId8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