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8038d3z37j8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Job Hunting Methodology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Job Hunting U treats every single client application as an "11 out of 10". The proprietary methodology is split into three core pillars: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84jc88d7fw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1: Landing Interviews (Bypassing HR)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Strategy</w:t>
      </w:r>
      <w:r w:rsidDel="00000000" w:rsidR="00000000" w:rsidRPr="00000000">
        <w:rPr>
          <w:rtl w:val="0"/>
        </w:rPr>
        <w:t xml:space="preserve">: Circumventing traditional, broken application systems and applicant tracking filters by bypassing HR entirely to engage primary decision-makers directly.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Execution</w:t>
      </w:r>
      <w:r w:rsidDel="00000000" w:rsidR="00000000" w:rsidRPr="00000000">
        <w:rPr>
          <w:rtl w:val="0"/>
        </w:rPr>
        <w:t xml:space="preserve">: Utilizing deep digital research to discover unlisted or active job openings and tracking down the specific executive decision-makers behind those roles. Outreach is scaled using automated email campaigns and structured follow-up sequences.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Value-Add Lead</w:t>
      </w:r>
      <w:r w:rsidDel="00000000" w:rsidR="00000000" w:rsidRPr="00000000">
        <w:rPr>
          <w:rtl w:val="0"/>
        </w:rPr>
        <w:t xml:space="preserve">: Inviting these identified target decision-makers to customized LinkedIn Live events. This provides upfront value, builds actual friendships, and positions the client as a "Key Person of Influence," building strong networking momentum before ever asking for a formal interview.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0tf461wiut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2: Turning Interviews into Job Offers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Charismatic Storytelling</w:t>
      </w:r>
      <w:r w:rsidDel="00000000" w:rsidR="00000000" w:rsidRPr="00000000">
        <w:rPr>
          <w:rtl w:val="0"/>
        </w:rPr>
        <w:t xml:space="preserve">: Coaching candidates to construct a charismatic, highly tailored 2-to-5-minute opening "journey story". This narrative explicitly demonstrates to the hiring manager how every major moment of the candidate's life and career has inevitably led them to this exact role.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 Integration</w:t>
      </w:r>
      <w:r w:rsidDel="00000000" w:rsidR="00000000" w:rsidRPr="00000000">
        <w:rPr>
          <w:rtl w:val="0"/>
        </w:rPr>
        <w:t xml:space="preserve">: Equipping clients with recommended applications, browser extensions, and cutting-edge AI software to assist them in real-time. This includes using real-time interview prompts that actively warn candidates if they are talking too much and provide seamless ways to wrap up their answers.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Mindset &amp; Visualization</w:t>
      </w:r>
      <w:r w:rsidDel="00000000" w:rsidR="00000000" w:rsidRPr="00000000">
        <w:rPr>
          <w:rtl w:val="0"/>
        </w:rPr>
        <w:t xml:space="preserve">: Training clients to vividly visualize their ideal 40-hour work week. This mental framework systematically builds the internal self-worth required to confidently command and negotiate high-level salaries.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kgcd2lxwdh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3: Working Healthy / Living Wealthy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Applying the proprietary coaching framework to ensure that the contracts, corporate cultures, and positions candidates accept match their long-term personal values, boundary requirements, and financial investment goals.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