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sz w:val="36"/>
        </w:rPr>
        <w:t>委任服務合約書（海外房地產企業顧問｜月費顧問制）</w:t>
      </w:r>
    </w:p>
    <w:p>
      <w:pPr>
        <w:jc w:val="center"/>
      </w:pPr>
      <w:r>
        <w:rPr>
          <w:rFonts w:ascii="微軟正黑體" w:hAnsi="微軟正黑體"/>
          <w:b w:val="0"/>
          <w:sz w:val="18"/>
        </w:rPr>
        <w:t>（合約母版｜使用前請以最新 gcm-vault/01_services/ 內容核對範圍與價格）</w:t>
      </w:r>
    </w:p>
    <w:p/>
    <w:p>
      <w:r>
        <w:rPr>
          <w:rFonts w:ascii="微軟正黑體" w:hAnsi="微軟正黑體"/>
          <w:b/>
          <w:sz w:val="22"/>
        </w:rPr>
        <w:t>立合約書人：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委任人（甲方，客戶）</w:t>
            </w:r>
          </w:p>
        </w:tc>
        <w:tc>
          <w:tcPr>
            <w:tcW w:type="dxa" w:w="4320"/>
          </w:tcPr>
          <w:p>
            <w:r>
              <w:t>名稱：＿＿＿＿＿＿＿＿＿　統一編號：＿＿＿＿＿＿＿＿</w:t>
              <w:br/>
              <w:t>地址：＿＿＿＿＿＿＿＿＿＿＿＿＿＿＿＿＿＿＿＿</w:t>
            </w:r>
          </w:p>
        </w:tc>
      </w:tr>
      <w:tr>
        <w:tc>
          <w:tcPr>
            <w:tcW w:type="dxa" w:w="4320"/>
          </w:tcPr>
          <w:p>
            <w:r>
              <w:t>受任人（乙方，服務提供方）</w:t>
            </w:r>
          </w:p>
        </w:tc>
        <w:tc>
          <w:tcPr>
            <w:tcW w:type="dxa" w:w="4320"/>
          </w:tcPr>
          <w:p>
            <w:r>
              <w:t>名稱：冠誠［正式登記全名待補，見 gcm-vault/00_brand/naming.md］</w:t>
              <w:br/>
              <w:t>統一編號：＿＿＿＿＿＿＿＿　地址：＿＿＿＿＿＿＿＿＿＿</w:t>
            </w:r>
          </w:p>
        </w:tc>
      </w:tr>
    </w:tbl>
    <w:p/>
    <w:p>
      <w:r>
        <w:rPr>
          <w:rFonts w:ascii="微軟正黑體" w:hAnsi="微軟正黑體"/>
          <w:b w:val="0"/>
          <w:sz w:val="22"/>
        </w:rPr>
        <w:t>本合約為「海外房地產企業顧問」服務之月費顧問委任合約，最短委任期間為六個月，甲方委任乙方提供全漏斗成長顧問服務，雙方合意訂立條款如下：</w:t>
      </w:r>
    </w:p>
    <w:p/>
    <w:p>
      <w:r>
        <w:rPr>
          <w:rFonts w:ascii="微軟正黑體" w:hAnsi="微軟正黑體"/>
          <w:b/>
          <w:sz w:val="24"/>
        </w:rPr>
        <w:t>第1條　委任範圍</w:t>
      </w:r>
    </w:p>
    <w:p>
      <w:pPr>
        <w:pStyle w:val="ListBullet"/>
      </w:pPr>
      <w:r>
        <w:rPr>
          <w:sz w:val="22"/>
        </w:rPr>
        <w:t>品牌信任定位：協助甲方建立品牌信任內容與資產。</w:t>
      </w:r>
    </w:p>
    <w:p>
      <w:pPr>
        <w:pStyle w:val="ListBullet"/>
      </w:pPr>
      <w:r>
        <w:rPr>
          <w:sz w:val="22"/>
        </w:rPr>
        <w:t>說明會漏斗：設計並優化甲方說明會轉換流程。</w:t>
      </w:r>
    </w:p>
    <w:p>
      <w:pPr>
        <w:pStyle w:val="ListBullet"/>
      </w:pPr>
      <w:r>
        <w:rPr>
          <w:sz w:val="22"/>
        </w:rPr>
        <w:t>合規內容重寫：依 06_facts 查核之法規紅線，重寫行銷內容使其合規。</w:t>
      </w:r>
    </w:p>
    <w:p>
      <w:pPr>
        <w:pStyle w:val="ListBullet"/>
      </w:pPr>
      <w:r>
        <w:rPr>
          <w:sz w:val="22"/>
        </w:rPr>
        <w:t>名單培育：規劃並執行名單培育流程。</w:t>
      </w:r>
    </w:p>
    <w:p>
      <w:pPr>
        <w:pStyle w:val="ListBullet"/>
      </w:pPr>
      <w:r>
        <w:rPr>
          <w:sz w:val="22"/>
        </w:rPr>
        <w:t>成交儀表板：建立成交追蹤儀表板供甲方營運檢視。</w:t>
      </w:r>
    </w:p>
    <w:p>
      <w:r>
        <w:rPr>
          <w:rFonts w:ascii="微軟正黑體" w:hAnsi="微軟正黑體"/>
          <w:b/>
          <w:sz w:val="24"/>
        </w:rPr>
        <w:t>第2條　交付節奏</w:t>
      </w:r>
    </w:p>
    <w:p>
      <w:pPr>
        <w:pStyle w:val="ListBullet"/>
      </w:pPr>
      <w:r>
        <w:rPr>
          <w:sz w:val="22"/>
        </w:rPr>
        <w:t>第一個月：定位＋內容＋漏斗。</w:t>
      </w:r>
    </w:p>
    <w:p>
      <w:pPr>
        <w:pStyle w:val="ListBullet"/>
      </w:pPr>
      <w:r>
        <w:rPr>
          <w:sz w:val="22"/>
        </w:rPr>
        <w:t>第二個月：說明會轉換＋追蹤腳本。</w:t>
      </w:r>
    </w:p>
    <w:p>
      <w:pPr>
        <w:pStyle w:val="ListBullet"/>
      </w:pPr>
      <w:r>
        <w:rPr>
          <w:sz w:val="22"/>
        </w:rPr>
        <w:t>第三個月：優化＋儀表板＋交接。</w:t>
      </w:r>
    </w:p>
    <w:p>
      <w:pPr>
        <w:pStyle w:val="ListBullet"/>
      </w:pPr>
      <w:r>
        <w:rPr>
          <w:sz w:val="22"/>
        </w:rPr>
        <w:t>第四至六個月：依前三個月成果延續優化與維運，具體項目由雙方每月會議確認。</w:t>
      </w:r>
    </w:p>
    <w:p>
      <w:r>
        <w:rPr>
          <w:rFonts w:ascii="微軟正黑體" w:hAnsi="微軟正黑體"/>
          <w:b/>
          <w:sz w:val="24"/>
        </w:rPr>
        <w:t>第3條　會議頻率定義</w:t>
      </w:r>
    </w:p>
    <w:p>
      <w:pPr>
        <w:pStyle w:val="ListBullet"/>
      </w:pPr>
      <w:r>
        <w:rPr>
          <w:sz w:val="22"/>
        </w:rPr>
        <w:t>每月提供 2 次顧問會議，每次會議時長以 60 分鐘為原則，形式為視訊或文字化異步討論，由雙方協調決定。</w:t>
      </w:r>
    </w:p>
    <w:p>
      <w:pPr>
        <w:pStyle w:val="ListBullet"/>
      </w:pPr>
      <w:r>
        <w:rPr>
          <w:sz w:val="22"/>
        </w:rPr>
        <w:t>超出每月 2 次之額外會議需求，以每次另行報價方式計費，不含在月費範圍內。</w:t>
      </w:r>
    </w:p>
    <w:p>
      <w:r>
        <w:rPr>
          <w:rFonts w:ascii="微軟正黑體" w:hAnsi="微軟正黑體"/>
          <w:b/>
          <w:sz w:val="24"/>
        </w:rPr>
        <w:t>第4條　付款條件</w:t>
      </w:r>
    </w:p>
    <w:p>
      <w:pPr>
        <w:pStyle w:val="ListBullet"/>
      </w:pPr>
      <w:r>
        <w:rPr>
          <w:sz w:val="22"/>
        </w:rPr>
        <w:t>採先匯後做，月費於每期服務開始前預先支付，甲方應依報價單所載金額，於每月服務開始前透過綠界（ECPay）收款連結或指定帳戶完成付款。</w:t>
      </w:r>
    </w:p>
    <w:p>
      <w:pPr>
        <w:pStyle w:val="ListBullet"/>
      </w:pPr>
      <w:r>
        <w:rPr>
          <w:sz w:val="22"/>
        </w:rPr>
        <w:t>合約最短期間為六個月，如甲方於六個月內提前終止，已預收月費不予退還，尚未履行之月份服務亦不再提供。</w:t>
      </w:r>
    </w:p>
    <w:p>
      <w:r>
        <w:rPr>
          <w:rFonts w:ascii="微軟正黑體" w:hAnsi="微軟正黑體"/>
          <w:b/>
          <w:sz w:val="24"/>
        </w:rPr>
        <w:t>第5條　修改次數上限</w:t>
      </w:r>
    </w:p>
    <w:p>
      <w:pPr>
        <w:pStyle w:val="ListBullet"/>
      </w:pPr>
      <w:r>
        <w:rPr>
          <w:sz w:val="22"/>
        </w:rPr>
        <w:t>各月交付物（漏斗設計、內容、儀表板等）提供每項 2 次修改機會，超出次數另行報價。</w:t>
      </w:r>
    </w:p>
    <w:p>
      <w:r>
        <w:rPr>
          <w:rFonts w:ascii="微軟正黑體" w:hAnsi="微軟正黑體"/>
          <w:b/>
          <w:sz w:val="24"/>
        </w:rPr>
        <w:t>第6條　智慧財產歸屬</w:t>
      </w:r>
    </w:p>
    <w:p>
      <w:pPr>
        <w:pStyle w:val="ListBullet"/>
      </w:pPr>
      <w:r>
        <w:rPr>
          <w:sz w:val="22"/>
        </w:rPr>
        <w:t>顧問服務過程中產出之策略文件、漏斗設計、內容素材，其著作財產權於乙方收訖全部應付款項後移轉予甲方；乙方得保留去識別化後之方法論與案例摘要供內部使用及能力展示。</w:t>
      </w:r>
    </w:p>
    <w:p>
      <w:r>
        <w:rPr>
          <w:rFonts w:ascii="微軟正黑體" w:hAnsi="微軟正黑體"/>
          <w:b/>
          <w:sz w:val="24"/>
        </w:rPr>
        <w:t>第7條　保密條款</w:t>
      </w:r>
    </w:p>
    <w:p>
      <w:pPr>
        <w:pStyle w:val="ListBullet"/>
      </w:pPr>
      <w:r>
        <w:rPr>
          <w:sz w:val="22"/>
        </w:rPr>
        <w:t>乙方對甲方之營運數據、客戶名單、財務資訊、商業策略負保密義務，不得對外揭露或用於本委任目的以外之用途。</w:t>
      </w:r>
    </w:p>
    <w:p>
      <w:pPr>
        <w:pStyle w:val="ListBullet"/>
      </w:pPr>
      <w:r>
        <w:rPr>
          <w:sz w:val="22"/>
        </w:rPr>
        <w:t>雙方對於因履行本合約所知悉之對方營業秘密、客戶資料、財務資訊，應負保密義務，不得洩漏予第三人，本義務於合約終止後仍持續有效。</w:t>
      </w:r>
    </w:p>
    <w:p>
      <w:r>
        <w:rPr>
          <w:rFonts w:ascii="微軟正黑體" w:hAnsi="微軟正黑體"/>
          <w:b/>
          <w:sz w:val="24"/>
        </w:rPr>
        <w:t>第8條　不可抗力</w:t>
      </w:r>
    </w:p>
    <w:p>
      <w:pPr>
        <w:pStyle w:val="ListBullet"/>
      </w:pPr>
      <w:r>
        <w:rPr>
          <w:sz w:val="22"/>
        </w:rPr>
        <w:t>因天災、疫情、政府命令、網路或金流服務商（含綠界 ECPay、SurveyCake）系統中斷等非可歸責於雙方之事由，致本合約全部或一部無法履行者，雙方得協議延展履行期限，不負遲延責任。</w:t>
      </w:r>
    </w:p>
    <w:p>
      <w:r>
        <w:rPr>
          <w:rFonts w:ascii="微軟正黑體" w:hAnsi="微軟正黑體"/>
          <w:b/>
          <w:sz w:val="24"/>
        </w:rPr>
        <w:t>第9條　管轄法院</w:t>
      </w:r>
    </w:p>
    <w:p>
      <w:pPr>
        <w:pStyle w:val="ListBullet"/>
      </w:pPr>
      <w:r>
        <w:rPr>
          <w:sz w:val="22"/>
        </w:rPr>
        <w:t>本合約如有爭議，雙方同意以台灣台中地方法院為第一審管轄法院。</w:t>
      </w:r>
    </w:p>
    <w:p/>
    <w:p>
      <w:r>
        <w:rPr>
          <w:rFonts w:ascii="微軟正黑體" w:hAnsi="微軟正黑體"/>
          <w:b w:val="0"/>
          <w:sz w:val="22"/>
        </w:rPr>
        <w:t>本合約一式二份，雙方各執一份為憑。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甲方（委任人）簽章：</w:t>
            </w:r>
          </w:p>
        </w:tc>
        <w:tc>
          <w:tcPr>
            <w:tcW w:type="dxa" w:w="4320"/>
          </w:tcPr>
          <w:p>
            <w:r>
              <w:t>乙方（受任人）簽章：</w:t>
            </w:r>
          </w:p>
        </w:tc>
      </w:tr>
      <w:tr>
        <w:tc>
          <w:tcPr>
            <w:tcW w:type="dxa" w:w="4320"/>
          </w:tcPr>
          <w:p>
            <w:r>
              <w:t>日期：　　　年　　月　　日</w:t>
            </w:r>
          </w:p>
        </w:tc>
        <w:tc>
          <w:tcPr>
            <w:tcW w:type="dxa" w:w="4320"/>
          </w:tcPr>
          <w:p>
            <w:r>
              <w:t>日期：　　　年　　月　　日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