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sz w:val="36"/>
        </w:rPr>
        <w:t>委任服務合約書（逆向破解競業情報書｜單次交付）</w:t>
      </w:r>
    </w:p>
    <w:p>
      <w:pPr>
        <w:jc w:val="center"/>
      </w:pPr>
      <w:r>
        <w:rPr>
          <w:rFonts w:ascii="微軟正黑體" w:hAnsi="微軟正黑體"/>
          <w:b w:val="0"/>
          <w:sz w:val="18"/>
        </w:rPr>
        <w:t>（合約母版｜使用前請以最新 gcm-vault/01_services/ 內容核對範圍與價格）</w:t>
      </w:r>
    </w:p>
    <w:p/>
    <w:p>
      <w:r>
        <w:rPr>
          <w:rFonts w:ascii="微軟正黑體" w:hAnsi="微軟正黑體"/>
          <w:b/>
          <w:sz w:val="22"/>
        </w:rPr>
        <w:t>立合約書人：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委任人（甲方，客戶）</w:t>
            </w:r>
          </w:p>
        </w:tc>
        <w:tc>
          <w:tcPr>
            <w:tcW w:type="dxa" w:w="4320"/>
          </w:tcPr>
          <w:p>
            <w:r>
              <w:t>名稱：＿＿＿＿＿＿＿＿＿　統一編號：＿＿＿＿＿＿＿＿</w:t>
              <w:br/>
              <w:t>地址：＿＿＿＿＿＿＿＿＿＿＿＿＿＿＿＿＿＿＿＿</w:t>
            </w:r>
          </w:p>
        </w:tc>
      </w:tr>
      <w:tr>
        <w:tc>
          <w:tcPr>
            <w:tcW w:type="dxa" w:w="4320"/>
          </w:tcPr>
          <w:p>
            <w:r>
              <w:t>受任人（乙方，服務提供方）</w:t>
            </w:r>
          </w:p>
        </w:tc>
        <w:tc>
          <w:tcPr>
            <w:tcW w:type="dxa" w:w="4320"/>
          </w:tcPr>
          <w:p>
            <w:r>
              <w:t>名稱：冠誠［正式登記全名待補，見 gcm-vault/00_brand/naming.md］</w:t>
              <w:br/>
              <w:t>統一編號：＿＿＿＿＿＿＿＿　地址：＿＿＿＿＿＿＿＿＿＿</w:t>
            </w:r>
          </w:p>
        </w:tc>
      </w:tr>
    </w:tbl>
    <w:p/>
    <w:p>
      <w:r>
        <w:rPr>
          <w:rFonts w:ascii="微軟正黑體" w:hAnsi="微軟正黑體"/>
          <w:b w:val="0"/>
          <w:sz w:val="22"/>
        </w:rPr>
        <w:t>本合約為「逆向破解競業情報書」服務之單次委任合約，甲方委任乙方就指定競業對象進行行銷策略逆向分析並產出情報書，雙方合意訂立條款如下：</w:t>
      </w:r>
    </w:p>
    <w:p/>
    <w:p>
      <w:r>
        <w:rPr>
          <w:rFonts w:ascii="微軟正黑體" w:hAnsi="微軟正黑體"/>
          <w:b/>
          <w:sz w:val="24"/>
        </w:rPr>
        <w:t>第1條　委任範圍</w:t>
      </w:r>
    </w:p>
    <w:p>
      <w:pPr>
        <w:pStyle w:val="ListBullet"/>
      </w:pPr>
      <w:r>
        <w:rPr>
          <w:sz w:val="22"/>
        </w:rPr>
        <w:t>乙方就甲方指定之競業對象（以報價單載明者為限），進行公開可得資訊之行銷策略、漏斗結構、定價邏輯逆向分析。</w:t>
      </w:r>
    </w:p>
    <w:p>
      <w:pPr>
        <w:pStyle w:val="ListBullet"/>
      </w:pPr>
      <w:r>
        <w:rPr>
          <w:sz w:val="22"/>
        </w:rPr>
        <w:t>分析範圍限於公開可得資訊，不含任何非公開、非法取得之競業內部資料。</w:t>
      </w:r>
    </w:p>
    <w:p>
      <w:r>
        <w:rPr>
          <w:rFonts w:ascii="微軟正黑體" w:hAnsi="微軟正黑體"/>
          <w:b/>
          <w:sz w:val="24"/>
        </w:rPr>
        <w:t>第2條　交付定義</w:t>
      </w:r>
    </w:p>
    <w:p>
      <w:pPr>
        <w:pStyle w:val="ListBullet"/>
      </w:pPr>
      <w:r>
        <w:rPr>
          <w:sz w:val="22"/>
        </w:rPr>
        <w:t>交付物為情報書 PDF 一份，頁數上限為 10 頁（不含封面與附錄）。</w:t>
      </w:r>
    </w:p>
    <w:p>
      <w:pPr>
        <w:pStyle w:val="ListBullet"/>
      </w:pPr>
      <w:r>
        <w:rPr>
          <w:sz w:val="22"/>
        </w:rPr>
        <w:t>交期為乙方確認收款且取得甲方指定分析對象資訊完整後起算 7 個工作天。</w:t>
      </w:r>
    </w:p>
    <w:p>
      <w:r>
        <w:rPr>
          <w:rFonts w:ascii="微軟正黑體" w:hAnsi="微軟正黑體"/>
          <w:b/>
          <w:sz w:val="24"/>
        </w:rPr>
        <w:t>第3條　付款條件</w:t>
      </w:r>
    </w:p>
    <w:p>
      <w:pPr>
        <w:pStyle w:val="ListBullet"/>
      </w:pPr>
      <w:r>
        <w:rPr>
          <w:sz w:val="22"/>
        </w:rPr>
        <w:t>採先匯後做，甲方應於本合約簽署後，依報價單所載金額全額匯款至乙方指定綠界（ECPay）收款連結或指定帳戶，乙方確認收款後起算交期。</w:t>
      </w:r>
    </w:p>
    <w:p>
      <w:r>
        <w:rPr>
          <w:rFonts w:ascii="微軟正黑體" w:hAnsi="微軟正黑體"/>
          <w:b/>
          <w:sz w:val="24"/>
        </w:rPr>
        <w:t>第4條　修改次數上限</w:t>
      </w:r>
    </w:p>
    <w:p>
      <w:pPr>
        <w:pStyle w:val="ListBullet"/>
      </w:pPr>
      <w:r>
        <w:rPr>
          <w:sz w:val="22"/>
        </w:rPr>
        <w:t>本服務提供單次修改機會，修改範圍限於原委任分析對象與原報告架構內之調整，不含新增分析對象或重新架構報告。</w:t>
      </w:r>
    </w:p>
    <w:p>
      <w:pPr>
        <w:pStyle w:val="ListBullet"/>
      </w:pPr>
      <w:r>
        <w:rPr>
          <w:sz w:val="22"/>
        </w:rPr>
        <w:t>如需新增分析對象或全新架構，須另行報價。</w:t>
      </w:r>
    </w:p>
    <w:p>
      <w:r>
        <w:rPr>
          <w:rFonts w:ascii="微軟正黑體" w:hAnsi="微軟正黑體"/>
          <w:b/>
          <w:sz w:val="24"/>
        </w:rPr>
        <w:t>第5條　智慧財產歸屬</w:t>
      </w:r>
    </w:p>
    <w:p>
      <w:pPr>
        <w:pStyle w:val="ListBullet"/>
      </w:pPr>
      <w:r>
        <w:rPr>
          <w:sz w:val="22"/>
        </w:rPr>
        <w:t>情報書之著作財產權於乙方收訖全部應付款項後移轉予甲方，惟乙方得保留去識別化後之分析方法論摘要供內部使用及能力展示。</w:t>
      </w:r>
    </w:p>
    <w:p>
      <w:r>
        <w:rPr>
          <w:rFonts w:ascii="微軟正黑體" w:hAnsi="微軟正黑體"/>
          <w:b/>
          <w:sz w:val="24"/>
        </w:rPr>
        <w:t>第6條　保密條款</w:t>
      </w:r>
    </w:p>
    <w:p>
      <w:pPr>
        <w:pStyle w:val="ListBullet"/>
      </w:pPr>
      <w:r>
        <w:rPr>
          <w:sz w:val="22"/>
        </w:rPr>
        <w:t>乙方對甲方指定之分析對象、委任目的及情報書內容負保密義務，不得對外揭露或用於本委任目的以外之用途。</w:t>
      </w:r>
    </w:p>
    <w:p>
      <w:pPr>
        <w:pStyle w:val="ListBullet"/>
      </w:pPr>
      <w:r>
        <w:rPr>
          <w:sz w:val="22"/>
        </w:rPr>
        <w:t>雙方對於因履行本合約所知悉之對方營業秘密、客戶資料、財務資訊，應負保密義務，不得洩漏予第三人，本義務於合約終止後仍持續有效。</w:t>
      </w:r>
    </w:p>
    <w:p>
      <w:r>
        <w:rPr>
          <w:rFonts w:ascii="微軟正黑體" w:hAnsi="微軟正黑體"/>
          <w:b/>
          <w:sz w:val="24"/>
        </w:rPr>
        <w:t>第7條　不可抗力</w:t>
      </w:r>
    </w:p>
    <w:p>
      <w:pPr>
        <w:pStyle w:val="ListBullet"/>
      </w:pPr>
      <w:r>
        <w:rPr>
          <w:sz w:val="22"/>
        </w:rPr>
        <w:t>因天災、疫情、政府命令、網路或金流服務商（含綠界 ECPay、SurveyCake）系統中斷等非可歸責於雙方之事由，致本合約全部或一部無法履行者，雙方得協議延展履行期限，不負遲延責任。</w:t>
      </w:r>
    </w:p>
    <w:p>
      <w:r>
        <w:rPr>
          <w:rFonts w:ascii="微軟正黑體" w:hAnsi="微軟正黑體"/>
          <w:b/>
          <w:sz w:val="24"/>
        </w:rPr>
        <w:t>第8條　管轄法院</w:t>
      </w:r>
    </w:p>
    <w:p>
      <w:pPr>
        <w:pStyle w:val="ListBullet"/>
      </w:pPr>
      <w:r>
        <w:rPr>
          <w:sz w:val="22"/>
        </w:rPr>
        <w:t>本合約如有爭議，雙方同意以台灣台中地方法院為第一審管轄法院。</w:t>
      </w:r>
    </w:p>
    <w:p/>
    <w:p>
      <w:r>
        <w:rPr>
          <w:rFonts w:ascii="微軟正黑體" w:hAnsi="微軟正黑體"/>
          <w:b w:val="0"/>
          <w:sz w:val="22"/>
        </w:rPr>
        <w:t>本合約一式二份，雙方各執一份為憑。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甲方（委任人）簽章：</w:t>
            </w:r>
          </w:p>
        </w:tc>
        <w:tc>
          <w:tcPr>
            <w:tcW w:type="dxa" w:w="4320"/>
          </w:tcPr>
          <w:p>
            <w:r>
              <w:t>乙方（受任人）簽章：</w:t>
            </w:r>
          </w:p>
        </w:tc>
      </w:tr>
      <w:tr>
        <w:tc>
          <w:tcPr>
            <w:tcW w:type="dxa" w:w="4320"/>
          </w:tcPr>
          <w:p>
            <w:r>
              <w:t>日期：　　　年　　月　　日</w:t>
            </w:r>
          </w:p>
        </w:tc>
        <w:tc>
          <w:tcPr>
            <w:tcW w:type="dxa" w:w="4320"/>
          </w:tcPr>
          <w:p>
            <w:r>
              <w:t>日期：　　　年　　月　　日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