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sz w:val="36"/>
        </w:rPr>
        <w:t>委任服務合約書（履歷重構與面試技巧｜一次性）</w:t>
      </w:r>
    </w:p>
    <w:p>
      <w:pPr>
        <w:jc w:val="center"/>
      </w:pPr>
      <w:r>
        <w:rPr>
          <w:rFonts w:ascii="微軟正黑體" w:hAnsi="微軟正黑體"/>
          <w:b w:val="0"/>
          <w:sz w:val="18"/>
        </w:rPr>
        <w:t>（合約母版｜使用前請以最新 gcm-vault/01_services/ 內容核對範圍與價格）</w:t>
      </w:r>
    </w:p>
    <w:p/>
    <w:p>
      <w:r>
        <w:rPr>
          <w:rFonts w:ascii="微軟正黑體" w:hAnsi="微軟正黑體"/>
          <w:b/>
          <w:sz w:val="22"/>
        </w:rPr>
        <w:t>立合約書人：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委任人（甲方，客戶）</w:t>
            </w:r>
          </w:p>
        </w:tc>
        <w:tc>
          <w:tcPr>
            <w:tcW w:type="dxa" w:w="4320"/>
          </w:tcPr>
          <w:p>
            <w:r>
              <w:t>名稱：＿＿＿＿＿＿＿＿＿　統一編號：＿＿＿＿＿＿＿＿</w:t>
              <w:br/>
              <w:t>地址：＿＿＿＿＿＿＿＿＿＿＿＿＿＿＿＿＿＿＿＿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t>受任人（乙方，服務提供方）</w:t>
            </w:r>
          </w:p>
        </w:tc>
        <w:tc>
          <w:tcPr>
            <w:tcW w:type="dxa" w:w="4320"/>
          </w:tcPr>
          <w:p>
            <w:r>
              <w:t>名稱：冠誠［正式登記全名待補，見 gcm-vault/00_brand/naming.md］</w:t>
              <w:br/>
              <w:t>統一編號：＿＿＿＿＿＿＿＿　地址：＿＿＿＿＿＿＿＿＿＿</w:t>
            </w:r>
          </w:p>
        </w:tc>
      </w:tr>
    </w:tbl>
    <w:p/>
    <w:p>
      <w:r>
        <w:rPr>
          <w:rFonts w:ascii="微軟正黑體" w:hAnsi="微軟正黑體"/>
          <w:b w:val="0"/>
          <w:sz w:val="22"/>
        </w:rPr>
        <w:t>本合約為「履歷重構與面試技巧」服務之一次性委任合約，甲方委任乙方提供履歷重構與面試技巧輔導服務，雙方合意訂立條款如下：</w:t>
      </w:r>
    </w:p>
    <w:p/>
    <w:p>
      <w:r>
        <w:rPr>
          <w:rFonts w:ascii="微軟正黑體" w:hAnsi="微軟正黑體"/>
          <w:b/>
          <w:sz w:val="24"/>
        </w:rPr>
        <w:t>第1條　委任範圍</w:t>
      </w:r>
    </w:p>
    <w:p>
      <w:pPr>
        <w:pStyle w:val="ListBullet"/>
      </w:pPr>
      <w:r>
        <w:rPr>
          <w:sz w:val="22"/>
        </w:rPr>
        <w:t>履歷健檢與重構：依甲方提供之原始履歷、求職目標產業與職位，產出重構後之履歷文件一份。</w:t>
      </w:r>
    </w:p>
    <w:p>
      <w:pPr>
        <w:pStyle w:val="ListBullet"/>
      </w:pPr>
      <w:r>
        <w:rPr>
          <w:sz w:val="22"/>
        </w:rPr>
        <w:t>面試技巧輔導：依甲方求職目標，提供面試技巧建議文件，形式為文字化異步顧問回饋（非即時視訊會議），回饋時程另以報價單約定。</w:t>
      </w:r>
    </w:p>
    <w:p>
      <w:r>
        <w:rPr>
          <w:rFonts w:ascii="微軟正黑體" w:hAnsi="微軟正黑體"/>
          <w:b/>
          <w:sz w:val="24"/>
        </w:rPr>
        <w:t>第2條　交付定義</w:t>
      </w:r>
    </w:p>
    <w:p>
      <w:pPr>
        <w:pStyle w:val="ListBullet"/>
      </w:pPr>
      <w:r>
        <w:rPr>
          <w:sz w:val="22"/>
        </w:rPr>
        <w:t>交付物為重構後履歷 PDF 一份，及面試技巧建議 PDF 一份。</w:t>
      </w:r>
    </w:p>
    <w:p>
      <w:pPr>
        <w:pStyle w:val="ListBullet"/>
      </w:pPr>
      <w:r>
        <w:rPr>
          <w:sz w:val="22"/>
        </w:rPr>
        <w:t>本服務屬一次性交付，不含後續定期追蹤或多職缺客製，如需追加職缺客製，另行報價。</w:t>
      </w:r>
    </w:p>
    <w:p>
      <w:r>
        <w:rPr>
          <w:rFonts w:ascii="微軟正黑體" w:hAnsi="微軟正黑體"/>
          <w:b/>
          <w:sz w:val="24"/>
        </w:rPr>
        <w:t>第3條　付款條件</w:t>
      </w:r>
    </w:p>
    <w:p>
      <w:pPr>
        <w:pStyle w:val="ListBullet"/>
      </w:pPr>
      <w:r>
        <w:rPr>
          <w:sz w:val="22"/>
        </w:rPr>
        <w:t>採先匯後做，甲方應於本合約簽署後，依報價單所載金額全額匯款至乙方指定綠界（ECPay）收款連結或指定帳戶，乙方確認收款後始開始履行本合約服務。</w:t>
      </w:r>
    </w:p>
    <w:p>
      <w:pPr>
        <w:pStyle w:val="ListBullet"/>
      </w:pPr>
      <w:r>
        <w:rPr>
          <w:sz w:val="22"/>
        </w:rPr>
        <w:t>未於報價單有效期（14 天）內完成付款者，報價單失效，須重新報價。</w:t>
      </w:r>
    </w:p>
    <w:p>
      <w:r>
        <w:rPr>
          <w:rFonts w:ascii="微軟正黑體" w:hAnsi="微軟正黑體"/>
          <w:b/>
          <w:sz w:val="24"/>
        </w:rPr>
        <w:t>第4條　修改次數上限</w:t>
      </w:r>
    </w:p>
    <w:p>
      <w:pPr>
        <w:pStyle w:val="ListBullet"/>
      </w:pPr>
      <w:r>
        <w:rPr>
          <w:sz w:val="22"/>
        </w:rPr>
        <w:t>履歷重構提供 2 次修改機會，面試技巧建議提供 1 次修改機會，超出次數以每次另行報價方式計費。</w:t>
      </w:r>
    </w:p>
    <w:p>
      <w:pPr>
        <w:pStyle w:val="ListBullet"/>
      </w:pPr>
      <w:r>
        <w:rPr>
          <w:sz w:val="22"/>
        </w:rPr>
        <w:t>修改範圍限於原委任範圍內之內容調整，不含重新選定求職目標產業或職位之全新委任。</w:t>
      </w:r>
    </w:p>
    <w:p>
      <w:r>
        <w:rPr>
          <w:rFonts w:ascii="微軟正黑體" w:hAnsi="微軟正黑體"/>
          <w:b/>
          <w:sz w:val="24"/>
        </w:rPr>
        <w:t>第5條　智慧財產歸屬</w:t>
      </w:r>
    </w:p>
    <w:p>
      <w:pPr>
        <w:pStyle w:val="ListBullet"/>
      </w:pPr>
      <w:r>
        <w:rPr>
          <w:sz w:val="22"/>
        </w:rPr>
        <w:t>重構後之履歷與面試技巧建議文件著作財產權歸甲方所有，惟乙方得保留去識別化後之作品作為內部案例存檔與能力展示使用，除非甲方另以書面反對。</w:t>
      </w:r>
    </w:p>
    <w:p>
      <w:r>
        <w:rPr>
          <w:rFonts w:ascii="微軟正黑體" w:hAnsi="微軟正黑體"/>
          <w:b/>
          <w:sz w:val="24"/>
        </w:rPr>
        <w:t>第6條　保密條款</w:t>
      </w:r>
    </w:p>
    <w:p>
      <w:pPr>
        <w:pStyle w:val="ListBullet"/>
      </w:pPr>
      <w:r>
        <w:rPr>
          <w:sz w:val="22"/>
        </w:rPr>
        <w:t>乙方對甲方提供之原始履歷、職涯經歷、個人資料負保密義務，不得對外揭露或用於本委任目的以外之用途。</w:t>
      </w:r>
    </w:p>
    <w:p>
      <w:pPr>
        <w:pStyle w:val="ListBullet"/>
      </w:pPr>
      <w:r>
        <w:rPr>
          <w:sz w:val="22"/>
        </w:rPr>
        <w:t>雙方對於因履行本合約所知悉之對方營業秘密、客戶資料、財務資訊，應負保密義務，不得洩漏予第三人，本義務於合約終止後仍持續有效。</w:t>
      </w:r>
    </w:p>
    <w:p>
      <w:r>
        <w:rPr>
          <w:rFonts w:ascii="微軟正黑體" w:hAnsi="微軟正黑體"/>
          <w:b/>
          <w:sz w:val="24"/>
        </w:rPr>
        <w:t>第7條　不可抗力</w:t>
      </w:r>
    </w:p>
    <w:p>
      <w:pPr>
        <w:pStyle w:val="ListBullet"/>
      </w:pPr>
      <w:r>
        <w:rPr>
          <w:sz w:val="22"/>
        </w:rPr>
        <w:t>因天災、疫情、政府命令、網路或金流服務商（含綠界 ECPay、SurveyCake）系統中斷等非可歸責於雙方之事由，致本合約全部或一部無法履行者，雙方得協議延展履行期限，不負遲延責任。</w:t>
      </w:r>
    </w:p>
    <w:p>
      <w:r>
        <w:rPr>
          <w:rFonts w:ascii="微軟正黑體" w:hAnsi="微軟正黑體"/>
          <w:b/>
          <w:sz w:val="24"/>
        </w:rPr>
        <w:t>第8條　管轄法院</w:t>
      </w:r>
    </w:p>
    <w:p>
      <w:pPr>
        <w:pStyle w:val="ListBullet"/>
      </w:pPr>
      <w:r>
        <w:rPr>
          <w:sz w:val="22"/>
        </w:rPr>
        <w:t>本合約如有爭議，雙方同意以台灣台中地方法院為第一審管轄法院。</w:t>
      </w:r>
    </w:p>
    <w:p/>
    <w:p>
      <w:r>
        <w:rPr>
          <w:rFonts w:ascii="微軟正黑體" w:hAnsi="微軟正黑體"/>
          <w:b w:val="0"/>
          <w:sz w:val="22"/>
        </w:rPr>
        <w:t>本合約一式二份，雙方各執一份為憑。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甲方（委任人）簽章：</w:t>
            </w:r>
          </w:p>
        </w:tc>
        <w:tc>
          <w:tcPr>
            <w:tcW w:type="dxa" w:w="4320"/>
          </w:tcPr>
          <w:p>
            <w:r>
              <w:t>乙方（受任人）簽章：</w:t>
            </w:r>
          </w:p>
        </w:tc>
      </w:tr>
      <w:tr>
        <w:tc>
          <w:tcPr>
            <w:tcW w:type="dxa" w:w="4320"/>
          </w:tcPr>
          <w:p>
            <w:r>
              <w:t>日期：　　　年　　月　　日</w:t>
            </w:r>
          </w:p>
        </w:tc>
        <w:tc>
          <w:tcPr>
            <w:tcW w:type="dxa" w:w="4320"/>
          </w:tcPr>
          <w:p>
            <w:r>
              <w:t>日期：　　　年　　月　　日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