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sz w:val="40"/>
        </w:rPr>
        <w:t>報價單</w:t>
      </w:r>
    </w:p>
    <w:p>
      <w:pPr>
        <w:jc w:val="center"/>
      </w:pPr>
      <w:r>
        <w:rPr>
          <w:rFonts w:ascii="微軟正黑體" w:hAnsi="微軟正黑體"/>
          <w:b w:val="0"/>
          <w:sz w:val="20"/>
        </w:rPr>
        <w:t>冠誠［正式登記全名待補，見 gcm-vault/00_brand/naming.md］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報價單編號</w:t>
            </w:r>
          </w:p>
        </w:tc>
        <w:tc>
          <w:tcPr>
            <w:tcW w:type="dxa" w:w="4320"/>
          </w:tcPr>
          <w:p>
            <w:r>
              <w:t>Q-20260712-001</w:t>
            </w:r>
          </w:p>
        </w:tc>
      </w:tr>
      <w:tr>
        <w:tc>
          <w:tcPr>
            <w:tcW w:type="dxa" w:w="4320"/>
          </w:tcPr>
          <w:p>
            <w:r>
              <w:t>報價日期</w:t>
            </w:r>
          </w:p>
        </w:tc>
        <w:tc>
          <w:tcPr>
            <w:tcW w:type="dxa" w:w="4320"/>
          </w:tcPr>
          <w:p>
            <w:r>
              <w:t>2026-07-12</w:t>
            </w:r>
          </w:p>
        </w:tc>
      </w:tr>
      <w:tr>
        <w:tc>
          <w:tcPr>
            <w:tcW w:type="dxa" w:w="4320"/>
          </w:tcPr>
          <w:p>
            <w:r>
              <w:t>客戶名稱</w:t>
            </w:r>
          </w:p>
        </w:tc>
        <w:tc>
          <w:tcPr>
            <w:tcW w:type="dxa" w:w="4320"/>
          </w:tcPr>
          <w:p>
            <w:r>
              <w:t>＿＿＿＿＿＿＿＿＿＿</w:t>
            </w:r>
          </w:p>
        </w:tc>
      </w:tr>
      <w:tr>
        <w:tc>
          <w:tcPr>
            <w:tcW w:type="dxa" w:w="4320"/>
          </w:tcPr>
          <w:p>
            <w:r>
              <w:t>有效期限</w:t>
            </w:r>
          </w:p>
        </w:tc>
        <w:tc>
          <w:tcPr>
            <w:tcW w:type="dxa" w:w="4320"/>
          </w:tcPr>
          <w:p>
            <w:r>
              <w:t>自報價日起 14 天內有效，逾期需重新報價</w:t>
            </w:r>
          </w:p>
        </w:tc>
      </w:tr>
    </w:tbl>
    <w:p/>
    <w:p>
      <w:r>
        <w:rPr>
          <w:rFonts w:ascii="微軟正黑體" w:hAnsi="微軟正黑體"/>
          <w:b/>
          <w:sz w:val="26"/>
        </w:rPr>
        <w:t>品項明細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品項</w:t>
            </w:r>
          </w:p>
        </w:tc>
        <w:tc>
          <w:tcPr>
            <w:tcW w:type="dxa" w:w="1728"/>
          </w:tcPr>
          <w:p>
            <w:r>
              <w:t>說明</w:t>
            </w:r>
          </w:p>
        </w:tc>
        <w:tc>
          <w:tcPr>
            <w:tcW w:type="dxa" w:w="1728"/>
          </w:tcPr>
          <w:p>
            <w:r>
              <w:t>數量</w:t>
            </w:r>
          </w:p>
        </w:tc>
        <w:tc>
          <w:tcPr>
            <w:tcW w:type="dxa" w:w="1728"/>
          </w:tcPr>
          <w:p>
            <w:r>
              <w:t>單價（未稅）</w:t>
            </w:r>
          </w:p>
        </w:tc>
        <w:tc>
          <w:tcPr>
            <w:tcW w:type="dxa" w:w="1728"/>
          </w:tcPr>
          <w:p>
            <w:r>
              <w:t>小計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未稅合計</w:t>
            </w:r>
          </w:p>
        </w:tc>
        <w:tc>
          <w:tcPr>
            <w:tcW w:type="dxa" w:w="1728"/>
          </w:tcPr>
          <w:p>
            <w:r>
              <w:t>＿＿＿＿＿＿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營業稅（5%）</w:t>
            </w:r>
          </w:p>
        </w:tc>
        <w:tc>
          <w:tcPr>
            <w:tcW w:type="dxa" w:w="1728"/>
          </w:tcPr>
          <w:p>
            <w:r>
              <w:t>＿＿＿＿＿＿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含稅總計</w:t>
            </w:r>
          </w:p>
        </w:tc>
        <w:tc>
          <w:tcPr>
            <w:tcW w:type="dxa" w:w="1728"/>
          </w:tcPr>
          <w:p>
            <w:r>
              <w:t>＿＿＿＿＿＿</w:t>
            </w:r>
          </w:p>
        </w:tc>
      </w:tr>
    </w:tbl>
    <w:p/>
    <w:p>
      <w:r>
        <w:rPr>
          <w:rFonts w:ascii="微軟正黑體" w:hAnsi="微軟正黑體"/>
          <w:b w:val="0"/>
          <w:sz w:val="20"/>
        </w:rPr>
        <w:t>稅別說明：本報價單金額另加計 5% 營業稅，如需二聯式／三聯式發票請於下單時註明統一編號。</w:t>
      </w:r>
    </w:p>
    <w:p/>
    <w:p>
      <w:r>
        <w:rPr>
          <w:rFonts w:ascii="微軟正黑體" w:hAnsi="微軟正黑體"/>
          <w:b/>
          <w:sz w:val="26"/>
        </w:rPr>
        <w:t>付款方式</w:t>
      </w:r>
    </w:p>
    <w:p>
      <w:r>
        <w:t>綠界（ECPay）付款連結：＿＿＿＿＿＿＿＿＿＿＿＿＿＿＿＿＿＿＿＿＿＿</w:t>
        <w:br/>
        <w:t>銀行匯款帳號：戶名＿＿＿＿＿＿　銀行＿＿＿＿＿＿　帳號＿＿＿＿＿＿＿＿＿＿</w:t>
        <w:br/>
        <w:t>付款方式為先匯後做，乙方確認收款後開始履行服務。</w:t>
      </w:r>
    </w:p>
    <w:p/>
    <w:p>
      <w:r>
        <w:rPr>
          <w:rFonts w:ascii="微軟正黑體" w:hAnsi="微軟正黑體"/>
          <w:b/>
          <w:sz w:val="26"/>
        </w:rPr>
        <w:t>不二價聲明</w:t>
      </w:r>
    </w:p>
    <w:p>
      <w:r>
        <w:rPr>
          <w:rFonts w:ascii="微軟正黑體" w:hAnsi="微軟正黑體"/>
          <w:b w:val="0"/>
          <w:sz w:val="22"/>
        </w:rPr>
        <w:t>本報價單所列價格為不二價，不提供議價、折扣或分期付款，如需調整服務範圍請重新確認品項後另行報價。</w:t>
      </w:r>
    </w:p>
    <w:p/>
    <w:p>
      <w:r>
        <w:rPr>
          <w:rFonts w:ascii="微軟正黑體" w:hAnsi="微軟正黑體"/>
          <w:b w:val="0"/>
          <w:sz w:val="18"/>
        </w:rPr>
        <w:t>本報價單有效期 14 天，逾期未付款需重新報價，價格以gcm-vault/01_services/ 內最新 status: active 版本為準。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