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Monte Carlo Radiative Exchange Simulator</w:t>
      </w:r>
    </w:p>
    <w:p>
      <w:pPr>
        <w:spacing w:lineRule="auto"/>
      </w:pPr>
      <w:r>
        <w:rPr/>
        <w:t xml:space="preserve">A web-based tool for modeling radiative heat transfer between two plates when one surface is </w:t>
      </w:r>
      <w:r>
        <w:rPr>
          <w:b/>
        </w:rPr>
        <w:t xml:space="preserve">micro-structured</w:t>
      </w:r>
      <w:r>
        <w:rPr/>
        <w:t xml:space="preserve">. The simulator combines </w:t>
      </w:r>
      <w:r>
        <w:rPr>
          <w:b/>
        </w:rPr>
        <w:t xml:space="preserve">3-D Monte Carlo ray tracing</w:t>
      </w:r>
      <w:r>
        <w:rPr/>
        <w:t xml:space="preserve">, </w:t>
      </w:r>
      <w:r>
        <w:rPr>
          <w:b/>
        </w:rPr>
        <w:t xml:space="preserve">temperature-dependent thin-film optics</w:t>
      </w:r>
      <w:r>
        <w:rPr/>
        <w:t xml:space="preserve">, </w:t>
      </w:r>
      <w:r>
        <w:rPr>
          <w:b/>
        </w:rPr>
        <w:t xml:space="preserve">surface-roughness scattering</w:t>
      </w:r>
      <w:r>
        <w:rPr/>
        <w:t xml:space="preserve">, </w:t>
      </w:r>
      <w:r>
        <w:rPr>
          <w:b/>
        </w:rPr>
        <w:t xml:space="preserve">waveguide modal physics</w:t>
      </w:r>
      <w:r>
        <w:rPr/>
        <w:t xml:space="preserve">, </w:t>
      </w:r>
      <w:r>
        <w:rPr>
          <w:b/>
        </w:rPr>
        <w:t xml:space="preserve">offline rigorous diffraction (RCWA)</w:t>
      </w:r>
      <w:r>
        <w:rPr/>
        <w:t xml:space="preserve">, </w:t>
      </w:r>
      <w:r>
        <w:rPr>
          <w:b/>
        </w:rPr>
        <w:t xml:space="preserve">Polder–Van Hove near-field transfer</w:t>
      </w:r>
      <w:r>
        <w:rPr/>
        <w:t xml:space="preserve">, and an </w:t>
      </w:r>
      <w:r>
        <w:rPr>
          <w:b/>
        </w:rPr>
        <w:t xml:space="preserve">active structured near-field Green-tensor + LDOS correction</w:t>
      </w:r>
      <w:r>
        <w:rPr/>
        <w:t xml:space="preserve"> (Track B2) to quantify </w:t>
      </w:r>
      <w:r>
        <w:rPr>
          <w:b/>
        </w:rPr>
        <w:t xml:space="preserve">anisotropic energy decoupling</w:t>
      </w:r>
      <w:r>
        <w:rPr/>
        <w:t xml:space="preserve"> — how micro-structured surfaces can absorb incoming radiation efficiently while emitting thermal radiation poorly from inside their cavities.</w:t>
      </w:r>
    </w:p>
    <w:p>
      <w:pPr>
        <w:pStyle w:val="Heading2"/>
        <w:spacing w:lineRule="auto"/>
      </w:pPr>
      <w:r>
        <w:rPr/>
        <w:t xml:space="preserve">🎯 The Core Idea</w:t>
      </w:r>
    </w:p>
    <w:p>
      <w:pPr>
        <w:spacing w:lineRule="auto"/>
      </w:pPr>
      <w:r>
        <w:rPr/>
        <w:t xml:space="preserve">Most surfaces absorb and emit radiation equally (Kirchhoff's law). But micro-structured surfaces break this symmetry: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Top surface</w:t>
      </w:r>
      <w:r>
        <w:rPr/>
        <w:t xml:space="preserve">: Incoming light → absorbed efficiently (α_eff ≈ 0.9–0.99)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Inside cavities</w:t>
      </w:r>
      <w:r>
        <w:rPr/>
        <w:t xml:space="preserve">: Thermal photons → mostly trapped and recycled (ε_B ≈ 0.01–0.1)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Result</w:t>
      </w:r>
      <w:r>
        <w:rPr/>
        <w:t xml:space="preserve">: Decoupling ratio up to 100:1, enabling advanced thermal engineering</w:t>
      </w:r>
    </w:p>
    <w:p>
      <w:pPr>
        <w:spacing w:lineRule="auto"/>
      </w:pPr>
      <w:r>
        <w:rPr/>
        <w:t xml:space="preserve">This simulator runs </w:t>
      </w:r>
      <w:r>
        <w:rPr>
          <w:b/>
        </w:rPr>
        <w:t xml:space="preserve">photon-scale Monte Carlo experiments</w:t>
      </w:r>
      <w:r>
        <w:rPr/>
        <w:t xml:space="preserve"> inside repeating cavity cells, accounting for: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Thin-film effects</w:t>
      </w:r>
      <w:r>
        <w:rPr/>
        <w:t xml:space="preserve"> — 100 nm walls emit 35× less than bulk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Waveguide cutoff</w:t>
      </w:r>
      <w:r>
        <w:rPr/>
        <w:t xml:space="preserve"> — photons longer than cavity diameter decay inside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Complex optics</w:t>
      </w:r>
      <w:r>
        <w:rPr/>
        <w:t xml:space="preserve"> — wavelength-dependent refractive indices and interference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Temperature-dependent optics</w:t>
      </w:r>
      <w:r>
        <w:rPr/>
        <w:t xml:space="preserve"> — Drude–Lorentz n(λ,T) with phonon/electron damping that grows with temperature, plus non-local corrections for nanostructures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Surface-roughness scattering</w:t>
      </w:r>
      <w:r>
        <w:rPr/>
        <w:t xml:space="preserve"> — Beckmann–Spizzichino / Harvey–Shack BRDF replaces naive Lambertian reflection when roughness is supplied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Near-field transfer</w:t>
      </w:r>
      <w:r>
        <w:rPr/>
        <w:t xml:space="preserve"> — evanescent waves tunnel across tiny gaps; structured Green-tensor LDOS correction (Track B2) enhances sub-wavelength inter-plate channel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Thermal radiosity</w:t>
      </w:r>
      <w:r>
        <w:rPr/>
        <w:t xml:space="preserve"> — combined heat flow across the complete enclosure</w:t>
      </w:r>
    </w:p>
    <w:p>
      <w:pPr>
        <w:pStyle w:val="Heading2"/>
        <w:spacing w:lineRule="auto"/>
      </w:pPr>
      <w:r>
        <w:rPr/>
        <w:t xml:space="preserve">🧪 Key Physics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it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matters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Thin-film Beer–Lambert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Walls thinner than absorption depth: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ε_eff(λ) = ε_bulk × [1 − exp(−t/δ)]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nm alumina: 2.2% vs. 80% (36× more accurate)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Complex refractive index + TMM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wavelength-dependent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n(λ) + ik(λ)</w:t>
            </w:r>
          </w:p>
          <w:p>
            <w:pPr>
              <w:spacing w:lineRule="auto"/>
            </w:pPr>
            <w:r>
              <w:rPr/>
              <w:t xml:space="preserve"> with phase-coherent Fresnel reflections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Captures Fabry–Pérot interference, oblique angles, s/p polarization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Temperature-dependent optics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Drude–Lorentz dielectric model with γ(T) damping and Varshni band-gap shift; anchored on 300 K tables via relative-drift factors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Hot walls (600–1200 K) become more lossy/emissive — correct high-T behavior without new lookup tables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Non-local hydrodynamic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−β²k²</w:t>
            </w:r>
          </w:p>
          <w:p>
            <w:pPr>
              <w:spacing w:lineRule="auto"/>
            </w:pPr>
            <w:r>
              <w:rPr/>
              <w:t xml:space="preserve"> to the Drude denominator when features are smaller than the electron mean free path (10–40 nm)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CNT forests (≈10 nm) scatter electrons off surfaces; local-response optics underestimates their absorption change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Surface-roughness BRDF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Beckmann–Spizzichino specular fraction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exp[−(4πσcosθ/λ)²]</w:t>
            </w:r>
          </w:p>
          <w:p>
            <w:pPr>
              <w:spacing w:lineRule="auto"/>
            </w:pPr>
            <w:r>
              <w:rPr/>
              <w:t xml:space="preserve"> + Gaussian facet lobe + Harvey–Shack diffuse aureole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etched surfaces are not Lambertian; σ→0 gives mirrors, σ≫λ gives diffuse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Lossy waveguide modal cutoff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Photons with λ &gt; λ_c become evanescent; decay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exp(−2L/δ_ev)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Quantifies modal confinement; TE11: λ_c = 1.706 × diameter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Spectral Planck sampling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photon gets wavelength from thermal distribution; per-photon corrections applied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Accurate temperature-dependent behavior; 5-band model with Planck weighting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Polder–Van Hove near-field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gaps &lt; λ_peak/(2π): evanescent tunneling adds 2–100× flux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Auto-detected; seamless switch between near/far-field regimes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Structured near-field Green-tensor + LDOS (Track B2)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Cavity Green-function LDOS weighting of evanescent transmission; multiplicative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nf_correction</w:t>
            </w:r>
          </w:p>
          <w:p>
            <w:pPr>
              <w:spacing w:lineRule="auto"/>
            </w:pPr>
            <w:r>
              <w:rPr/>
              <w:t xml:space="preserve"> ≥ 1 applied symmetrically to inter-plate one-way fluxes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only in sub-wavelength regime; defaults to 1.0 (no-op) far-field; backward compatible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Four-surface radiosity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Plate A front/back + Plate B + surroundings; exact 3-D view factors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 heat flow including reflections and enclosure effects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Offline RCWA diffraction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Fourier-modal-method S-matrix for periodic pitch p ~ λ; per-order propagating/evanescent labels; emits cached R/T/A tables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Captures diffraction the geometric ray tracer cannot; runs offline so web requests stay fast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Geometry Modes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Honeycomb Cavity Panel</w:t>
      </w:r>
      <w:r>
        <w:rPr/>
        <w:t xml:space="preserve"> — cylindrical pores in hexagonal array (porous anodized alumina)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CNT Forest Panel</w:t>
      </w:r>
      <w:r>
        <w:rPr/>
        <w:t xml:space="preserve"> — tapered carbon nanotube pillars in square lattice</w:t>
      </w:r>
    </w:p>
    <w:p>
      <w:pPr>
        <w:numPr>
          <w:ilvl w:val="0"/>
          <w:numId w:val="3"/>
        </w:numPr>
        <w:spacing w:lineRule="auto"/>
      </w:pPr>
      <w:r>
        <w:rPr/>
        <w:t xml:space="preserve">Legacy: Frustum cavities and rectangular pits (backward compatible)</w:t>
      </w:r>
    </w:p>
    <w:p>
      <w:pPr>
        <w:pStyle w:val="Heading2"/>
        <w:spacing w:lineRule="auto"/>
      </w:pPr>
      <w:r>
        <w:rPr/>
        <w:t xml:space="preserve">📊 Key Output Metrics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Interpretation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α_eff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Effective absorptivity for incident 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Higher = better light trapping; typically 0.8–0.99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ε_B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Effective emissivity from cavity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Lower = better thermal confinement; typically 0.01–0.1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Decoupling 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α_eff / ε_B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&gt;10 means strong anisotropy; this is the "magic" of the structure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p_esc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 photon escapes cavity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many thermally emitted photons get out; typically 0.001–0.1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flux (Q)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Heat flow from plate A to plate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Watts/m²; sign tells you direction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T_B_stag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Adiabatic equilibrium temperature of plate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Temperature plate B would reach if isolated; useful for validation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physics_regime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"Near-field" or "far-field"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Near-field only triggers when gap is extremely small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Cutoff wavelength (λ_c)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Longest wavelength that propagates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λ_c = 1.706 × cavity_diameter; longer wavelengths are evanescent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🏗️ System Architecture</w:t>
      </w:r>
    </w:p>
    <w:p>
      <w:pPr>
        <w:pStyle w:val="Heading3"/>
        <w:spacing w:lineRule="auto"/>
      </w:pPr>
      <w:r>
        <w:rPr/>
        <w:t xml:space="preserve">Data Flow</w:t>
      </w:r>
    </w:p>
    <w:p>
      <w:pPr>
        <w:spacing w:lineRule="auto"/>
      </w:pPr>
      <w:r>
        <w:rPr/>
        <w:drawing>
          <wp:inline distB="0" distL="0" distR="0" distT="0">
            <wp:extent cx="2857500" cy="12287250"/>
            <wp:effectExtent b="0" l="0" r="0" t="0"/>
            <wp:docPr id="1" name="image-y7sYODg2vSyyf5IsRmin0.png"/>
            <a:graphic>
              <a:graphicData uri="http://schemas.openxmlformats.org/drawingml/2006/picture">
                <pic:pic>
                  <pic:nvPicPr>
                    <pic:cNvPr id="1" name="image-y7sYODg2vSyyf5IsRmin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28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Component Hierarchy</w:t>
      </w:r>
    </w:p>
    <w:p>
      <w:pPr>
        <w:spacing w:lineRule="auto"/>
      </w:pPr>
      <w:r>
        <w:rPr/>
        <w:drawing>
          <wp:inline distB="0" distL="0" distR="0" distT="0">
            <wp:extent cx="2857500" cy="676275"/>
            <wp:effectExtent b="0" l="0" r="0" t="0"/>
            <wp:docPr id="2" name="image-VFKtrVMlGA1mVg8sfoLRx.png"/>
            <a:graphic>
              <a:graphicData uri="http://schemas.openxmlformats.org/drawingml/2006/picture">
                <pic:pic>
                  <pic:nvPicPr>
                    <pic:cNvPr id="2" name="image-VFKtrVMlGA1mVg8sfoLRx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Single Simulation Run (Inside the Engine)</w:t>
      </w:r>
    </w:p>
    <w:p>
      <w:pPr>
        <w:spacing w:lineRule="auto"/>
      </w:pPr>
      <w:r>
        <w:rPr/>
        <w:drawing>
          <wp:inline distB="0" distL="0" distR="0" distT="0">
            <wp:extent cx="2857500" cy="3067050"/>
            <wp:effectExtent b="0" l="0" r="0" t="0"/>
            <wp:docPr id="3" name="image-qWi753mKd-usVDFEKbX_o.png"/>
            <a:graphic>
              <a:graphicData uri="http://schemas.openxmlformats.org/drawingml/2006/picture">
                <pic:pic>
                  <pic:nvPicPr>
                    <pic:cNvPr id="3" name="image-qWi753mKd-usVDFEKbX_o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6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📁 Project Structure</w:t>
      </w:r>
    </w:p>
    <w:p>
      <w:pPr>
        <w:spacing w:lineRule="auto"/>
      </w:pPr>
      <w:r>
        <w:rPr>
          <w:rFonts w:ascii="Courier" w:hAnsi="Courier"/>
        </w:rPr>
        <w:t xml:space="preserve">MonteCarlo ray tracing/ │ ├── 📄 README.md                                    # You are here ├── 📄 simulation_architecture.md                   # Plain-English architecture guide ├── 📄 DEVELOPMENT_NOTES.md                         # Physics phases &amp; validation history ├── 📄 peer_review.txt                              # Physics references &amp; citations │ ├── 🖥️  FRONTEND │   ├── templates/index.html                        # Web form &amp; results display │   ├── static/app.js                               # Browser API client │   └── static/style.css                            # UI styling │ ├── 🔗 API &amp; ORCHESTRATION │   ├── app.py                                      # Flask server, /api/simulate endpoint │   └── simulator.py                                # Main orchestration + radiosity model │ ├── ⚙️  GEOMETRY │   └── geometry.py                                 # Honeycomb, CNT forest, frustum cells │ ├── 🎲 MONTE CARLO ENGINE │   ├── ray_tracer.py                               # 3-D photon tracing in cavities │   ├── sampling.py                                 # Lambertian direction &amp; Planck wavelength sampling │   └── spectral.py                                 # 5-band spectral model, Planck weighting │ ├── ✨ PHYSICS CORRECTIONS │   ├── material_optics.py                          # Thin-film Beer–Lambert, TMM, complex n+ik, │   │                                               #   Drude–Lorentz n(λ,T), non-local correction │   ├── brdf.py                                     # Beckmann–Spizzichino / Harvey–Shack roughness BRDF │   ├── waveguide_modes.py                          # TE11 modal dispersion, evanescent decay │   └── near_field_radiative_heat.py                # Polder–Van Hove near-field transfer │ ├── 🌊 FULL-WAVE ADAPTER + OFFLINE RCWA (PHASE 6) │   └── wave_physics/ │       ├── __init__.py │       ├── cached_solver.py                        # CachedWaveSolver: interpolate α_eff/ε_B │       ├── schemas.py                              # WaveResponse data structure (R/T/A grids) │       ├── rcwa.py                                 # Offline 1-D RCWA solver → cache producer (CLI) │       ├── analytic_benchmarks.py                  # Multilayer Fresnel reference │       ├── conventions.py                          # Sign &amp; time-convention constants │       └── cache/ │           ├── default_wave_response.json          # Demo wave response table │           └── rcwa_demo_response.json             # RCWA-generated diffraction table │ ├── 📚 LEGACY / REFERENCE (NOT ACTIVELY USED) │   ├── monte_carlo_radiation.py                    # 2-D reference implementation │   └── rad_leakage.py                              # 2-D educational model │ ├── 🧪 TESTS &amp; VALIDATION │   ├── test.py                                     # Core regression tests │   ├── test_thin_film.py                           # Thin-film physics validation │   ├── test_material_temperature.py                # Phase 4a: n(λ,T) &amp; non-local validation │   ├── test_brdf.py                                # Phase 4b: Beckmann/Harvey–Shack BRDF validation │   ├── test_rcwa.py                                # B1: RCWA conservation/Fresnel/cache tests │   ├── test_wave_benchmarks.py                     # Wave response schema &amp; cache tests │   ├── test_peer_review_physics.py                 # Peer-review physics checks │   ├── test_phase_integration.py                   # Phase 1 &amp; 2 integration tests │   ├── test_phase3_integration.py                  # Phase 3 (near-field) integration │   ├── test_phase3_api.py                          # Flask /api/simulate near-field tests │   └── validate_integration.py                     # Smoke tests across geometries │ ├── 📋 CONFIG │   ├── requirements.txt                            # Flask, NumPy, SciPy dependencies │   ├── .gitignore                                  # Git ignore patterns │   └── LICENSE                                     # MIT License </w:t>
      </w:r>
    </w:p>
    <w:p>
      <w:pPr>
        <w:pStyle w:val="Heading2"/>
        <w:spacing w:lineRule="auto"/>
      </w:pPr>
      <w:r>
        <w:rPr/>
        <w:t xml:space="preserve">🚀 Quick Start</w:t>
      </w:r>
    </w:p>
    <w:p>
      <w:pPr>
        <w:pStyle w:val="Heading3"/>
        <w:spacing w:lineRule="auto"/>
      </w:pPr>
      <w:r>
        <w:rPr/>
        <w:t xml:space="preserve">1. Set up environment</w:t>
      </w:r>
    </w:p>
    <w:p>
      <w:pPr>
        <w:spacing w:lineRule="auto"/>
      </w:pPr>
      <w:r>
        <w:rPr>
          <w:rFonts w:ascii="Courier" w:hAnsi="Courier"/>
        </w:rPr>
        <w:t xml:space="preserve"># Clone or download the repo, then navigate to it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"MonteCarlo ray tracing"</w:t>
      </w:r>
      <w:r>
        <w:rPr>
          <w:rFonts w:ascii="Courier" w:hAnsi="Courier"/>
        </w:rPr>
        <w:t xml:space="preserve"># Create a virtual environment (recommended)</w:t>
      </w:r>
      <w:r>
        <w:rPr>
          <w:rFonts w:ascii="Courier" w:hAnsi="Courier"/>
        </w:rPr>
        <w:t xml:space="preserve"> python -m venv .venv  </w:t>
      </w:r>
      <w:r>
        <w:rPr>
          <w:rFonts w:ascii="Courier" w:hAnsi="Courier"/>
        </w:rPr>
        <w:t xml:space="preserve"># Activate it</w:t>
      </w:r>
      <w:r>
        <w:rPr>
          <w:rFonts w:ascii="Courier" w:hAnsi="Courier"/>
        </w:rPr>
        <w:t xml:space="preserve">#   Windows PowerShell:  .\.venv\Scripts\Activate.ps1</w:t>
      </w:r>
      <w:r>
        <w:rPr>
          <w:rFonts w:ascii="Courier" w:hAnsi="Courier"/>
        </w:rPr>
        <w:t xml:space="preserve">#   Windows cmd.exe:     .venv\Scripts\activate.bat</w:t>
      </w:r>
      <w:r>
        <w:rPr>
          <w:rFonts w:ascii="Courier" w:hAnsi="Courier"/>
        </w:rPr>
        <w:t xml:space="preserve">#   macOS/Linux:         source .venv/bin/activate</w:t>
      </w:r>
    </w:p>
    <w:p>
      <w:pPr>
        <w:pStyle w:val="Heading3"/>
        <w:spacing w:lineRule="auto"/>
      </w:pPr>
      <w:r>
        <w:rPr/>
        <w:t xml:space="preserve">2. Install dependencies</w:t>
      </w:r>
    </w:p>
    <w:p>
      <w:pPr>
        <w:spacing w:lineRule="auto"/>
      </w:pPr>
      <w:r>
        <w:rPr>
          <w:rFonts w:ascii="Courier" w:hAnsi="Courier"/>
        </w:rPr>
        <w:t xml:space="preserve">pip install -r requirements.txt </w:t>
      </w:r>
      <w:r>
        <w:rPr>
          <w:rFonts w:ascii="Courier" w:hAnsi="Courier"/>
        </w:rPr>
        <w:t xml:space="preserve"># Requires: Flask &gt;= 3.0, NumPy &gt;= 1.26, SciPy &gt;= 1.12</w:t>
      </w:r>
    </w:p>
    <w:p>
      <w:pPr>
        <w:pStyle w:val="Heading3"/>
        <w:spacing w:lineRule="auto"/>
      </w:pPr>
      <w:r>
        <w:rPr/>
        <w:t xml:space="preserve">3. Run the app</w:t>
      </w:r>
    </w:p>
    <w:p>
      <w:pPr>
        <w:spacing w:lineRule="auto"/>
      </w:pPr>
      <w:r>
        <w:rPr>
          <w:rFonts w:ascii="Courier" w:hAnsi="Courier"/>
        </w:rPr>
        <w:t xml:space="preserve">python app.py </w:t>
      </w:r>
      <w:r>
        <w:rPr>
          <w:rFonts w:ascii="Courier" w:hAnsi="Courier"/>
        </w:rPr>
        <w:t xml:space="preserve"># Opens at http://127.0.0.1:5000/ in your browser</w:t>
      </w:r>
    </w:p>
    <w:p>
      <w:pPr>
        <w:pStyle w:val="Heading3"/>
        <w:spacing w:lineRule="auto"/>
      </w:pPr>
      <w:r>
        <w:rPr/>
        <w:t xml:space="preserve">4. Use the web interface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Select geometry</w:t>
      </w:r>
      <w:r>
        <w:rPr/>
        <w:t xml:space="preserve">: Honeycomb Cavity Panel or CNT Forest Panel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Set Plate A</w:t>
      </w:r>
      <w:r>
        <w:rPr/>
        <w:t xml:space="preserve"> (source): temperature, emissivity, dimensions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Set Gap &amp; environment</w:t>
      </w:r>
      <w:r>
        <w:rPr/>
        <w:t xml:space="preserve">: distance between plates, surroundings temperature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Set Plate B cavity</w:t>
      </w:r>
      <w:r>
        <w:rPr/>
        <w:t xml:space="preserve">: depth, material properties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Set MC parameters</w:t>
      </w:r>
      <w:r>
        <w:rPr/>
        <w:t xml:space="preserve">: photon count (1000–200,000), solver mode (Ray or Cached)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Click "Run Simulation"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Review results</w:t>
      </w:r>
      <w:r>
        <w:rPr/>
        <w:t xml:space="preserve">: α_eff, ε_B, decoupling ratio, net flux, physics regime badge</w:t>
      </w:r>
    </w:p>
    <w:p>
      <w:pPr>
        <w:pStyle w:val="Heading2"/>
        <w:spacing w:lineRule="auto"/>
      </w:pPr>
      <w:r>
        <w:rPr/>
        <w:t xml:space="preserve">📊 Using the Web Interface</w:t>
      </w:r>
    </w:p>
    <w:p>
      <w:pPr>
        <w:spacing w:lineRule="auto"/>
      </w:pPr>
      <w:r>
        <w:rPr/>
        <w:t xml:space="preserve">The simulator UI is organized in collapsible sections:</w:t>
      </w:r>
    </w:p>
    <w:p>
      <w:pPr>
        <w:pStyle w:val="Heading3"/>
        <w:spacing w:lineRule="auto"/>
      </w:pPr>
      <w:r>
        <w:rPr/>
        <w:t xml:space="preserve">Plate A Configuration (Source / Upper Plate)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Temperature (K)</w:t>
      </w:r>
      <w:r>
        <w:rPr/>
        <w:t xml:space="preserve">: Default 600 K (hot source)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Emissivity</w:t>
      </w:r>
      <w:r>
        <w:rPr/>
        <w:t xml:space="preserve">: Front surface (default 1.0); typical range 0.1–1.0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Back emissivity</w:t>
      </w:r>
      <w:r>
        <w:rPr/>
        <w:t xml:space="preserve">: Rear surface (default 0.1); often lower to reduce losses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Material</w:t>
      </w:r>
      <w:r>
        <w:rPr/>
        <w:t xml:space="preserve">: Optional spectral material (silver, gold, etc.)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Dimensions</w:t>
      </w:r>
      <w:r>
        <w:rPr/>
        <w:t xml:space="preserve">: Width and depth in µm (default 1000 × 1000 µm²)</w:t>
      </w:r>
    </w:p>
    <w:p>
      <w:pPr>
        <w:pStyle w:val="Heading3"/>
        <w:spacing w:lineRule="auto"/>
      </w:pPr>
      <w:r>
        <w:rPr/>
        <w:t xml:space="preserve">Gap &amp; Environment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Gap distance (µm)</w:t>
      </w:r>
      <w:r>
        <w:rPr/>
        <w:t xml:space="preserve">: Space between Plate A and Plate B cavity opening (default 100 µm) </w:t>
      </w:r>
    </w:p>
    <w:p>
      <w:pPr>
        <w:numPr>
          <w:ilvl w:val="1"/>
          <w:numId w:val="7"/>
        </w:numPr>
        <w:spacing w:lineRule="auto"/>
      </w:pPr>
      <w:r>
        <w:rPr/>
        <w:t xml:space="preserve">Small gaps (&lt; λ_peak/2π) trigger near-field physics automatically</w:t>
      </w:r>
    </w:p>
    <w:p>
      <w:pPr>
        <w:numPr>
          <w:ilvl w:val="1"/>
          <w:numId w:val="7"/>
        </w:numPr>
        <w:spacing w:lineRule="auto"/>
      </w:pPr>
      <w:r>
        <w:rPr/>
        <w:t xml:space="preserve">Larger gaps use classical far-field radiosity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Plate B temperature (K)</w:t>
      </w:r>
      <w:r>
        <w:rPr/>
        <w:t xml:space="preserve">: Default 300 K (cooler)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Surroundings temperature (K)</w:t>
      </w:r>
      <w:r>
        <w:rPr/>
        <w:t xml:space="preserve">: Background radiation temperature (default 300 K)</w:t>
      </w:r>
    </w:p>
    <w:p>
      <w:pPr>
        <w:pStyle w:val="Heading3"/>
        <w:spacing w:lineRule="auto"/>
      </w:pPr>
      <w:r>
        <w:rPr/>
        <w:t xml:space="preserve">Plate B Cavity Configuration</w:t>
      </w:r>
    </w:p>
    <w:p>
      <w:pPr>
        <w:spacing w:lineRule="auto"/>
      </w:pPr>
      <w:r>
        <w:rPr>
          <w:b/>
        </w:rPr>
        <w:t xml:space="preserve">Honeycomb mode: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Cavity diameter (µm)</w:t>
      </w:r>
      <w:r>
        <w:rPr/>
        <w:t xml:space="preserve">: Width of cylindrical pores (default 20 µm)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Wall thickness (µm)</w:t>
      </w:r>
      <w:r>
        <w:rPr/>
        <w:t xml:space="preserve">: Distance between pore centers (default 1 µm)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Cavity height (µm)</w:t>
      </w:r>
      <w:r>
        <w:rPr/>
        <w:t xml:space="preserve">: Depth of pores (default 450 µm)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Wall emissivity</w:t>
      </w:r>
      <w:r>
        <w:rPr/>
        <w:t xml:space="preserve">: Side walls (default 0.95)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Base emissivity</w:t>
      </w:r>
      <w:r>
        <w:rPr/>
        <w:t xml:space="preserve">: Bottom surface (default 0.95)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Flat top emissivity</w:t>
      </w:r>
      <w:r>
        <w:rPr/>
        <w:t xml:space="preserve">: Between-pore surface (default 0.1)</w:t>
      </w:r>
    </w:p>
    <w:p>
      <w:pPr>
        <w:spacing w:lineRule="auto"/>
      </w:pPr>
      <w:r>
        <w:rPr>
          <w:b/>
        </w:rPr>
        <w:t xml:space="preserve">CNT Forest mode: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CNT pitch (µm)</w:t>
      </w:r>
      <w:r>
        <w:rPr/>
        <w:t xml:space="preserve">: Lattice spacing (default 0.05 µm = 50 nm)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Base diameter (nm)</w:t>
      </w:r>
      <w:r>
        <w:rPr/>
        <w:t xml:space="preserve">: CNT width at bottom (default 10 nm)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Top diameter (nm)</w:t>
      </w:r>
      <w:r>
        <w:rPr/>
        <w:t xml:space="preserve">: CNT width at tip (default 5 nm, tapered)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CNT height (µm)</w:t>
      </w:r>
      <w:r>
        <w:rPr/>
        <w:t xml:space="preserve">: Forest depth (default 450 µm)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Material emissivities</w:t>
      </w:r>
      <w:r>
        <w:rPr/>
        <w:t xml:space="preserve">: Similar to honeycomb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Material</w:t>
      </w:r>
      <w:r>
        <w:rPr/>
        <w:t xml:space="preserve">: Optional spectral material</w:t>
      </w:r>
    </w:p>
    <w:p>
      <w:pPr>
        <w:pStyle w:val="Heading3"/>
        <w:spacing w:lineRule="auto"/>
      </w:pPr>
      <w:r>
        <w:rPr/>
        <w:t xml:space="preserve">Monte Carlo Settings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Photon count</w:t>
      </w:r>
      <w:r>
        <w:rPr/>
        <w:t xml:space="preserve">: How many rays to launch (1,000–200,000; more = more accurate but slower)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Solver mode</w:t>
      </w:r>
      <w:r>
        <w:rPr/>
        <w:t xml:space="preserve">: 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Ray</w:t>
      </w:r>
      <w:r>
        <w:rPr/>
        <w:t xml:space="preserve">: Full Monte Carlo (default; accurate but slower ~10–30 s)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Cached</w:t>
      </w:r>
      <w:r>
        <w:rPr/>
        <w:t xml:space="preserve">: Use pre-computed wave response table (fast; ~1 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Full-gap MC</w:t>
      </w:r>
      <w:r>
        <w:rPr/>
        <w:t xml:space="preserve"> (optional): Run separate Monte Carlo view-factor verification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Enable near-field</w:t>
      </w:r>
      <w:r>
        <w:rPr/>
        <w:t xml:space="preserve">: Auto-detect near-field regime (recommended: ON)</w:t>
      </w:r>
    </w:p>
    <w:p>
      <w:pPr>
        <w:pStyle w:val="Heading3"/>
        <w:spacing w:lineRule="auto"/>
      </w:pPr>
      <w:r>
        <w:rPr/>
        <w:t xml:space="preserve">Results Display</w:t>
      </w:r>
    </w:p>
    <w:p>
      <w:pPr>
        <w:spacing w:lineRule="auto"/>
      </w:pPr>
      <w:r>
        <w:rPr/>
        <w:t xml:space="preserve">After simulation completes:</w:t>
      </w:r>
    </w:p>
    <w:p>
      <w:pPr>
        <w:spacing w:lineRule="auto"/>
      </w:pPr>
      <w:r>
        <w:rPr>
          <w:b/>
        </w:rPr>
        <w:t xml:space="preserve">Anisotropy Metrics: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α_eff</w:t>
      </w:r>
      <w:r>
        <w:rPr/>
        <w:t xml:space="preserve">: How well the cavity absorbs incoming light (0–1)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ε_B</w:t>
      </w:r>
      <w:r>
        <w:rPr/>
        <w:t xml:space="preserve">: How well the cavity emits thermal radiation (0–1)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Decoupling ratio</w:t>
      </w:r>
      <w:r>
        <w:rPr/>
        <w:t xml:space="preserve">: α_eff / ε_B (higher = stronger anisotropy)</w:t>
      </w:r>
    </w:p>
    <w:p>
      <w:pPr>
        <w:spacing w:lineRule="auto"/>
      </w:pPr>
      <w:r>
        <w:rPr>
          <w:b/>
        </w:rPr>
        <w:t xml:space="preserve">Heat Transfer: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Net flux A→B</w:t>
      </w:r>
      <w:r>
        <w:rPr/>
        <w:t xml:space="preserve">: Watts/m² flowing from plate A to B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Stagnation temperature</w:t>
      </w:r>
      <w:r>
        <w:rPr/>
        <w:t xml:space="preserve">: Temperature plate B would reach if isolated</w:t>
      </w:r>
    </w:p>
    <w:p>
      <w:pPr>
        <w:spacing w:lineRule="auto"/>
      </w:pPr>
      <w:r>
        <w:rPr>
          <w:b/>
        </w:rPr>
        <w:t xml:space="preserve">Diagnostics: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Physics regime</w:t>
      </w:r>
      <w:r>
        <w:rPr/>
        <w:t xml:space="preserve">: "⚡ NEAR-FIELD MODE" or "📡 FAR-FIELD MODE"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Cutoff wavelength</w:t>
      </w:r>
      <w:r>
        <w:rPr/>
        <w:t xml:space="preserve">: λ_c = 1.706 × cavity_diameter (photons longer than this are evanescent)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Confinement %</w:t>
      </w:r>
      <w:r>
        <w:rPr/>
        <w:t xml:space="preserve">: How many thermal photons are trapped inside the cavity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95% confidence intervals</w:t>
      </w:r>
      <w:r>
        <w:rPr/>
        <w:t xml:space="preserve">: Statistical uncertainty on α_eff and ε_B</w:t>
      </w:r>
    </w:p>
    <w:p>
      <w:pPr>
        <w:pStyle w:val="Heading2"/>
        <w:spacing w:lineRule="auto"/>
      </w:pPr>
      <w:r>
        <w:rPr/>
        <w:t xml:space="preserve">� REST API</w:t>
      </w:r>
    </w:p>
    <w:p>
      <w:pPr>
        <w:spacing w:lineRule="auto"/>
      </w:pPr>
      <w:r>
        <w:rPr/>
        <w:t xml:space="preserve">If you want to call the simulator programmatically:</w:t>
      </w:r>
    </w:p>
    <w:p>
      <w:pPr>
        <w:pStyle w:val="Heading3"/>
        <w:spacing w:lineRule="auto"/>
      </w:pPr>
      <w:r>
        <w:rPr/>
        <w:t xml:space="preserve">Endpoint</w:t>
      </w:r>
    </w:p>
    <w:p>
      <w:pPr>
        <w:spacing w:lineRule="auto"/>
      </w:pPr>
      <w:r>
        <w:rPr>
          <w:rFonts w:ascii="Courier" w:hAnsi="Courier"/>
        </w:rPr>
        <w:t xml:space="preserve">POST /api/simulate Content-Type: application/json </w:t>
      </w:r>
    </w:p>
    <w:p>
      <w:pPr>
        <w:pStyle w:val="Heading3"/>
        <w:spacing w:lineRule="auto"/>
      </w:pPr>
      <w:r>
        <w:rPr/>
        <w:t xml:space="preserve">Essential Request Fields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"geometry_mode"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"honeycomb"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or "cnt_forest"</w:t>
      </w:r>
      <w:r>
        <w:rPr>
          <w:rFonts w:ascii="Courier" w:hAnsi="Courier"/>
        </w:rPr>
        <w:t xml:space="preserve">"cavity_diameter"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µm (honeycomb)</w:t>
      </w:r>
      <w:r>
        <w:rPr>
          <w:rFonts w:ascii="Courier" w:hAnsi="Courier"/>
        </w:rPr>
        <w:t xml:space="preserve">"wall_thickness"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µm (honeycomb)</w:t>
      </w:r>
      <w:r>
        <w:rPr>
          <w:rFonts w:ascii="Courier" w:hAnsi="Courier"/>
        </w:rPr>
        <w:t xml:space="preserve">"height"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450.0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Cavity depth (µm)</w:t>
      </w:r>
      <w:r>
        <w:rPr>
          <w:rFonts w:ascii="Courier" w:hAnsi="Courier"/>
        </w:rPr>
        <w:t xml:space="preserve">"temp_a"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600.0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Plate A temperature (K)</w:t>
      </w:r>
      <w:r>
        <w:rPr>
          <w:rFonts w:ascii="Courier" w:hAnsi="Courier"/>
        </w:rPr>
        <w:t xml:space="preserve">"emissivity_a"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Plate A emissivity (0–1)</w:t>
      </w:r>
      <w:r>
        <w:rPr>
          <w:rFonts w:ascii="Courier" w:hAnsi="Courier"/>
        </w:rPr>
        <w:t xml:space="preserve">"emissivity_a_back"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Plate A back emissivity</w:t>
      </w:r>
      <w:r>
        <w:rPr>
          <w:rFonts w:ascii="Courier" w:hAnsi="Courier"/>
        </w:rPr>
        <w:t xml:space="preserve">"gap"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100.0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Gap distance (µm)</w:t>
      </w:r>
      <w:r>
        <w:rPr>
          <w:rFonts w:ascii="Courier" w:hAnsi="Courier"/>
        </w:rPr>
        <w:t xml:space="preserve">"temp_b"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300.0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Plate B temperature (K)</w:t>
      </w:r>
      <w:r>
        <w:rPr>
          <w:rFonts w:ascii="Courier" w:hAnsi="Courier"/>
        </w:rPr>
        <w:t xml:space="preserve">"temp_surr"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300.0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Surroundings temperature (K)</w:t>
      </w:r>
      <w:r>
        <w:rPr>
          <w:rFonts w:ascii="Courier" w:hAnsi="Courier"/>
        </w:rPr>
        <w:t xml:space="preserve">"n_photons"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5000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Monte Carlo photon count</w:t>
      </w:r>
      <w:r>
        <w:rPr>
          <w:rFonts w:ascii="Courier" w:hAnsi="Courier"/>
        </w:rPr>
        <w:t xml:space="preserve">"wave_model"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"ray"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"ray" or "cached"</w:t>
      </w:r>
      <w:r>
        <w:rPr>
          <w:rFonts w:ascii="Courier" w:hAnsi="Courier"/>
        </w:rPr>
        <w:t xml:space="preserve">"enable_near_field"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Auto-detect near-field</w:t>
      </w:r>
      <w:r>
        <w:rPr>
          <w:rFonts w:ascii="Courier" w:hAnsi="Courier"/>
        </w:rPr>
        <w:t xml:space="preserve">"surface_roughness_um"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0.05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// OPTIONAL: RMS roughness σ (µm); omit → Lambertian</w:t>
      </w:r>
      <w:r>
        <w:rPr>
          <w:rFonts w:ascii="Courier" w:hAnsi="Courier"/>
        </w:rPr>
        <w:t xml:space="preserve">"roughness_correlation_um"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// OPTIONAL: correlation length τ (µm)</w:t>
      </w:r>
      <w:r>
        <w:rPr>
          <w:rFonts w:ascii="Courier" w:hAnsi="Courier"/>
        </w:rPr>
        <w:t xml:space="preserve">}</w:t>
      </w:r>
    </w:p>
    <w:p>
      <w:pPr>
        <w:ind w:left="284"/>
        <w:jc w:val="both"/>
        <w:spacing w:lineRule="auto"/>
      </w:pPr>
      <w:r>
        <w:rPr>
          <w:b/>
        </w:rPr>
        <w:t xml:space="preserve">Note on temperatures</w:t>
      </w:r>
      <w:r>
        <w:rPr/>
        <w:t xml:space="preserve">: Plate A/B temperatures (</w:t>
      </w:r>
      <w:r>
        <w:rPr/>
        <w:t xml:space="preserve">temp_a</w:t>
      </w:r>
      <w:r>
        <w:rPr/>
        <w:t xml:space="preserve">, </w:t>
      </w:r>
      <w:r>
        <w:rPr/>
        <w:t xml:space="preserve">temp_b</w:t>
      </w:r>
      <w:r>
        <w:rPr/>
        <w:t xml:space="preserve">) automatically drive temperature-dependent optical constants — no extra flag needed. At 300 K the tabulated Palik data are used exactly; at other temperatures a Drude–Lorentz drift model applies.</w:t>
      </w:r>
    </w:p>
    <w:p>
      <w:pPr>
        <w:pStyle w:val="Heading3"/>
        <w:spacing w:lineRule="auto"/>
      </w:pPr>
      <w:r>
        <w:rPr/>
        <w:t xml:space="preserve">Example Response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"status"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"success"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"results"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"alpha_eff"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0.9101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"alpha_eff_ci95"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0.0045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"epsilon_b"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0.0710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"epsilon_b_ci95"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0.0105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"decoupling_ratio"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12.8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"p_esc"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0.0072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"net_flux_A_front"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-6.6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"q_net_a_to_b_physical"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-6.6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"T_B_stag"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284.75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"cutoff_wavelength_um"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853.0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"confinement_pct"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98.7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"cavity_enhancement"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161.0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"physics_regime"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"far-field"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"gap_ratio"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130.1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"wave_model"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"ray"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"solver_mode"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"ray"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"kirchhoff_error"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0.0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spacing w:lineRule="auto"/>
      </w:pPr>
      <w:r>
        <w:rPr/>
        <w:t xml:space="preserve">See the code in </w:t>
      </w:r>
      <w:r>
        <w:rPr/>
        <w:t xml:space="preserve">app.py</w:t>
      </w:r>
      <w:r>
        <w:rPr/>
        <w:t xml:space="preserve"> for the complete list of optional parameters (material selections, near-field quadrature settings, etc.).</w:t>
      </w:r>
    </w:p>
    <w:p>
      <w:pPr>
        <w:pStyle w:val="Heading2"/>
        <w:spacing w:lineRule="auto"/>
      </w:pPr>
      <w:r>
        <w:rPr/>
        <w:t xml:space="preserve">🧬 Key Physics Equations</w:t>
      </w:r>
    </w:p>
    <w:p>
      <w:pPr>
        <w:pStyle w:val="Heading3"/>
        <w:spacing w:lineRule="auto"/>
      </w:pPr>
      <w:r>
        <w:rPr/>
        <w:t xml:space="preserve">Thin-Film Beer–Lambert Law</w:t>
      </w:r>
    </w:p>
    <w:p>
      <w:pPr>
        <w:spacing w:lineRule="auto"/>
      </w:pPr>
      <w:r>
        <w:rPr/>
        <w:t xml:space="preserve">A wall thinner than the absorption depth emits far less than bulk:</w:t>
      </w:r>
    </w:p>
    <w:p>
      <w:pPr>
        <w:spacing w:lineRule="auto"/>
      </w:pPr>
      <w:r>
        <w:rPr>
          <w:rFonts w:ascii="Courier" w:hAnsi="Courier"/>
        </w:rPr>
        <w:t xml:space="preserve">ε_eff(λ) = ε_bulk × [1 − exp(−t/δ(λ))] </w:t>
      </w:r>
    </w:p>
    <w:p>
      <w:pPr>
        <w:spacing w:lineRule="auto"/>
      </w:pPr>
      <w:r>
        <w:rPr>
          <w:b/>
        </w:rPr>
        <w:t xml:space="preserve">Example</w:t>
      </w:r>
      <w:r>
        <w:rPr/>
        <w:t xml:space="preserve">: 100 nm alumina at λ = 10 µm (absorption depth δ ≈ 3.61 µm):</w:t>
      </w:r>
    </w:p>
    <w:p>
      <w:pPr>
        <w:spacing w:lineRule="auto"/>
      </w:pPr>
      <w:r>
        <w:rPr>
          <w:rFonts w:ascii="Courier" w:hAnsi="Courier"/>
        </w:rPr>
        <w:t xml:space="preserve">ε_eff = 0.80 × [1 − exp(−0.1/3.61)] ≈ 0.022 (2.2%) 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36× correction</w:t>
      </w:r>
      <w:r>
        <w:rPr/>
        <w:t xml:space="preserve"> from the naive bulk value (0.80).</w:t>
      </w:r>
    </w:p>
    <w:p>
      <w:pPr>
        <w:pStyle w:val="Heading3"/>
        <w:spacing w:lineRule="auto"/>
      </w:pPr>
      <w:r>
        <w:rPr/>
        <w:t xml:space="preserve">Waveguide Cutoff Wavelength</w:t>
      </w:r>
    </w:p>
    <w:p>
      <w:pPr>
        <w:spacing w:lineRule="auto"/>
      </w:pPr>
      <w:r>
        <w:rPr/>
        <w:t xml:space="preserve">Photons longer than cutoff cannot propagate; they become evanescent (trapped):</w:t>
      </w:r>
    </w:p>
    <w:p>
      <w:pPr>
        <w:spacing w:lineRule="auto"/>
      </w:pPr>
      <w:r>
        <w:rPr>
          <w:rFonts w:ascii="Courier" w:hAnsi="Courier"/>
        </w:rPr>
        <w:t xml:space="preserve">λ_c = 1.706 × d_cavity    (circular cavities, TE11 mode) λ_c = 2 × min(w, d)        (rectangular cavities, TE10 mode) </w:t>
      </w:r>
    </w:p>
    <w:p>
      <w:pPr>
        <w:spacing w:lineRule="auto"/>
      </w:pPr>
      <w:r>
        <w:rPr/>
        <w:t xml:space="preserve">Evanescent photons decay as:</w:t>
      </w:r>
    </w:p>
    <w:p>
      <w:pPr>
        <w:spacing w:lineRule="auto"/>
      </w:pPr>
      <w:r>
        <w:rPr>
          <w:rFonts w:ascii="Courier" w:hAnsi="Courier"/>
        </w:rPr>
        <w:t xml:space="preserve">T = exp(−2L/δ_ev),  where  δ_ev = (λ_c/2π) / √(1 − (λ_c/λ)²) </w:t>
      </w:r>
    </w:p>
    <w:p>
      <w:pPr>
        <w:pStyle w:val="Heading3"/>
        <w:spacing w:lineRule="auto"/>
      </w:pPr>
      <w:r>
        <w:rPr/>
        <w:t xml:space="preserve">Spectral Emissivity (Planck-Weighted)</w:t>
      </w:r>
    </w:p>
    <w:p>
      <w:pPr>
        <w:spacing w:lineRule="auto"/>
      </w:pPr>
      <w:r>
        <w:rPr/>
        <w:t xml:space="preserve">The effective emissivity at a given temperature integrates across all wavelengths:</w:t>
      </w:r>
    </w:p>
    <w:p>
      <w:pPr>
        <w:spacing w:lineRule="auto"/>
      </w:pPr>
      <w:r>
        <w:rPr>
          <w:rFonts w:ascii="Courier" w:hAnsi="Courier"/>
        </w:rPr>
        <w:t xml:space="preserve">ε_eff(T) = ∫ ε(λ) × M_λ(λ,T) dλ / σT⁴ </w:t>
      </w:r>
    </w:p>
    <w:p>
      <w:pPr>
        <w:spacing w:lineRule="auto"/>
      </w:pPr>
      <w:r>
        <w:rPr/>
        <w:t xml:space="preserve">where M_λ is the Planck spectral radiance.</w:t>
      </w:r>
    </w:p>
    <w:p>
      <w:pPr>
        <w:pStyle w:val="Heading3"/>
        <w:spacing w:lineRule="auto"/>
      </w:pPr>
      <w:r>
        <w:rPr/>
        <w:t xml:space="preserve">Near-Field Regime Detection</w:t>
      </w:r>
    </w:p>
    <w:p>
      <w:pPr>
        <w:spacing w:lineRule="auto"/>
      </w:pPr>
      <w:r>
        <w:rPr/>
        <w:t xml:space="preserve">For very small gaps, evanescent waves tunnel across the gap. The gap ratio tells you:</w:t>
      </w:r>
    </w:p>
    <w:p>
      <w:pPr>
        <w:spacing w:lineRule="auto"/>
      </w:pPr>
      <w:r>
        <w:rPr>
          <w:rFonts w:ascii="Courier" w:hAnsi="Courier"/>
        </w:rPr>
        <w:t xml:space="preserve">gap_ratio = g / (λ_peak / 2π),  where  λ_peak = 2898 µm·K / T 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gap_ratio &lt; 1</w:t>
      </w:r>
      <w:r>
        <w:rPr/>
        <w:t xml:space="preserve">: Strong near-field (10–100× classical flux)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gap_ratio 1–5</w:t>
      </w:r>
      <w:r>
        <w:rPr/>
        <w:t xml:space="preserve">: Moderate near-field (2–10× flux)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gap_ratio 5–20</w:t>
      </w:r>
      <w:r>
        <w:rPr/>
        <w:t xml:space="preserve">: Weak near-field (1–2× flux)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gap_ratio &gt; 20</w:t>
      </w:r>
      <w:r>
        <w:rPr/>
        <w:t xml:space="preserve">: Far-field (classical limit)</w:t>
      </w:r>
    </w:p>
    <w:p>
      <w:pPr>
        <w:spacing w:lineRule="auto"/>
      </w:pPr>
      <w:r>
        <w:rPr/>
        <w:t xml:space="preserve">Default threshold is 5.0; if </w:t>
      </w:r>
      <w:r>
        <w:rPr/>
        <w:t xml:space="preserve">gap_ratio &lt; 5</w:t>
      </w:r>
      <w:r>
        <w:rPr/>
        <w:t xml:space="preserve">, the Polder–Van Hove model is used.</w:t>
      </w:r>
    </w:p>
    <w:p>
      <w:pPr>
        <w:spacing w:lineRule="auto"/>
      </w:pPr>
      <w:r>
        <w:rPr/>
        <w:t xml:space="preserve">When the near-field regime is active, an additional </w:t>
      </w:r>
      <w:r>
        <w:rPr>
          <w:b/>
        </w:rPr>
        <w:t xml:space="preserve">structured near-field Green-tensor + LDOS correction</w:t>
      </w:r>
      <w:r>
        <w:rPr/>
        <w:t xml:space="preserve"> (Track B2) multiplies the inter-plate channel by a symmetric enhancement factor </w:t>
      </w:r>
      <w:r>
        <w:rPr/>
        <w:t xml:space="preserve">nf_correction ≥ 1.0</w:t>
      </w:r>
      <w:r>
        <w:rPr/>
        <w:t xml:space="preserve"> (cached in a </w:t>
      </w:r>
      <w:r>
        <w:rPr/>
        <w:t xml:space="preserve">NearFieldResponse</w:t>
      </w:r>
      <w:r>
        <w:rPr/>
        <w:t xml:space="preserve"> table over wavelength × gap). For bundled materials with no strong surface-polariton resonance (e.g. Al₂O₃ at 300–600 K) this factor is clamped to 1.0; for SPhP-supporting media (SiC, SiO₂) it yields 1.5–5× enhancement. Far-field defaults are unchanged.</w:t>
      </w:r>
    </w:p>
    <w:p>
      <w:pPr>
        <w:pStyle w:val="Heading3"/>
        <w:spacing w:lineRule="auto"/>
      </w:pPr>
      <w:r>
        <w:rPr/>
        <w:t xml:space="preserve">Temperature-Dependent Optical Constants (Drude–Lorentz)</w:t>
      </w:r>
    </w:p>
    <w:p>
      <w:pPr>
        <w:spacing w:lineRule="auto"/>
      </w:pPr>
      <w:r>
        <w:rPr/>
        <w:t xml:space="preserve">The 300 K tables remain authoritative; a parametric model supplies the </w:t>
      </w:r>
      <w:r>
        <w:rPr/>
        <w:t xml:space="preserve">relative</w:t>
      </w:r>
      <w:r>
        <w:rPr/>
        <w:t xml:space="preserve"> drift:</w:t>
      </w:r>
    </w:p>
    <w:p>
      <w:pPr>
        <w:spacing w:lineRule="auto"/>
      </w:pPr>
      <w:r>
        <w:rPr>
          <w:rFonts w:ascii="Courier" w:hAnsi="Courier"/>
        </w:rPr>
        <w:t xml:space="preserve">ñ(λ,T) = ñ_tab(λ) · f,   with per-component factors f_n = Re√ε_model(λ,T) / Re√ε_model(λ,300K),   f_k = Im√ε_model(λ,T) / Im√ε_model(λ,300K) </w:t>
      </w:r>
    </w:p>
    <w:p>
      <w:pPr>
        <w:spacing w:lineRule="auto"/>
      </w:pPr>
      <w:r>
        <w:rPr/>
        <w:t xml:space="preserve">The dielectric model by material class:</w:t>
      </w:r>
    </w:p>
    <w:p>
      <w:pPr>
        <w:spacing w:lineRule="auto"/>
      </w:pPr>
      <w:r>
        <w:rPr>
          <w:rFonts w:ascii="Courier" w:hAnsi="Courier"/>
        </w:rPr>
        <w:t xml:space="preserve">Drude metal / polar phonon:  ε(ω,k,T) = ε∞ − ωp² / (ω² + iωγ(T) − β²k²) Semiconductor (Varshni):     E_g(T) = E_g(0) − αT²/(T + β) γ(T) = γ₃₀₀·[1 + s·(T/300 − 1)]                  (electron–phonon damping) </w:t>
      </w:r>
    </w:p>
    <w:p>
      <w:pPr>
        <w:spacing w:lineRule="auto"/>
      </w:pPr>
      <w:r>
        <w:rPr>
          <w:b/>
        </w:rPr>
        <w:t xml:space="preserve">Non-local correction</w:t>
      </w:r>
      <w:r>
        <w:rPr/>
        <w:t xml:space="preserve"> — when a structure's characteristic size L is below the electron mean free path ℓ (e.g., 10 nm CNTs vs. ℓ ≈ 25 nm), the hydrodynamic term activates with confinement wavevector k = π/L plus Fuchs–Sondheimer surface scattering:</w:t>
      </w:r>
    </w:p>
    <w:p>
      <w:pPr>
        <w:spacing w:lineRule="auto"/>
      </w:pPr>
      <w:r>
        <w:rPr>
          <w:rFonts w:ascii="Courier" w:hAnsi="Courier"/>
        </w:rPr>
        <w:t xml:space="preserve">γ_eff = γ(T)·[1 + 3(1−p)ℓ/(8L)],   β = √(3/5)·v_F </w:t>
      </w:r>
    </w:p>
    <w:p>
      <w:pPr>
        <w:spacing w:lineRule="auto"/>
      </w:pPr>
      <w:r>
        <w:rPr/>
        <w:t xml:space="preserve">At T = 300 K with no sub-MFP feature the factors are exactly 1 → tabulated data returned.</w:t>
      </w:r>
    </w:p>
    <w:p>
      <w:pPr>
        <w:spacing w:lineRule="auto"/>
      </w:pPr>
      <w:r>
        <w:rPr>
          <w:b/>
        </w:rPr>
        <w:t xml:space="preserve">Example</w:t>
      </w:r>
      <w:r>
        <w:rPr/>
        <w:t xml:space="preserve">: silver at λ = 10 µm, T = 900 K → collision rate grows ~2.3×, n rises toward 1 (Hagen–Rubens reflectivity drop); alumina phonon damping doubles k, halving the absorption depth.</w:t>
      </w:r>
    </w:p>
    <w:p>
      <w:pPr>
        <w:pStyle w:val="Heading3"/>
        <w:spacing w:lineRule="auto"/>
      </w:pPr>
      <w:r>
        <w:rPr/>
        <w:t xml:space="preserve">Surface-Roughness BRDF (Beckmann–Spizzichino / Harvey–Shack)</w:t>
      </w:r>
    </w:p>
    <w:p>
      <w:pPr>
        <w:spacing w:lineRule="auto"/>
      </w:pPr>
      <w:r>
        <w:rPr/>
        <w:t xml:space="preserve">Each bounce splits reflected power between three lobes:</w:t>
      </w:r>
    </w:p>
    <w:p>
      <w:pPr>
        <w:spacing w:lineRule="auto"/>
      </w:pPr>
      <w:r>
        <w:rPr>
          <w:rFonts w:ascii="Courier" w:hAnsi="Courier"/>
        </w:rPr>
        <w:t xml:space="preserve">p_spec = exp[−(4πσcosθᵢ/λ)²]        → exact mirror direction TIS    = 1 − exp[−(4πσ/λ)²]         → incoherent total integrated scatter lobe   : Gaussian facets, rms slope m = √2·σ/τ, around the mirror direction rest   : Lambertian diffuse (Harvey–Shack aureole limit) </w:t>
      </w:r>
    </w:p>
    <w:p>
      <w:pPr>
        <w:numPr>
          <w:ilvl w:val="0"/>
          <w:numId w:val="16"/>
        </w:numPr>
        <w:spacing w:lineRule="auto"/>
      </w:pPr>
      <w:r>
        <w:rPr/>
        <w:t xml:space="preserve">σ → 0⁺: perfect mirror; σ ≫ λ: fully diffuse; energy conservation holds (the split is directional only — photon weights are untouched).</w:t>
      </w:r>
    </w:p>
    <w:p>
      <w:pPr>
        <w:numPr>
          <w:ilvl w:val="0"/>
          <w:numId w:val="16"/>
        </w:numPr>
        <w:spacing w:lineRule="auto"/>
      </w:pPr>
      <w:r>
        <w:rPr/>
        <w:t xml:space="preserve">Omitting </w:t>
      </w:r>
      <w:r>
        <w:rPr/>
        <w:t xml:space="preserve">surface_roughness_um</w:t>
      </w:r>
      <w:r>
        <w:rPr/>
        <w:t xml:space="preserve"> restores the legacy pure-Lambertian bounce exactly.</w:t>
      </w:r>
    </w:p>
    <w:p>
      <w:pPr>
        <w:pStyle w:val="Heading3"/>
        <w:spacing w:lineRule="auto"/>
      </w:pPr>
      <w:r>
        <w:rPr/>
        <w:t xml:space="preserve">RCWA Diffraction (offline)</w:t>
      </w:r>
    </w:p>
    <w:p>
      <w:pPr>
        <w:spacing w:lineRule="auto"/>
      </w:pPr>
      <w:r>
        <w:rPr/>
        <w:t xml:space="preserve">For periodic pitch p comparable to λ, the app ships an offline Fourier-modal-method solver:</w:t>
      </w:r>
    </w:p>
    <w:p>
      <w:pPr>
        <w:spacing w:lineRule="auto"/>
      </w:pPr>
      <w:r>
        <w:rPr>
          <w:rFonts w:ascii="Courier" w:hAnsi="Courier"/>
        </w:rPr>
        <w:t xml:space="preserve">E(x,z) = Σ_i S_i(z)·exp(−i·k̄x_i·x),   k̄x_i = n₁sinθ + i·λ/p TE: S'' = (D² − [ε])S      TM: S'' = (D·G·D·E − E)S,  G = [1/ε]^∧ </w:t>
      </w:r>
    </w:p>
    <w:p>
      <w:pPr>
        <w:spacing w:lineRule="auto"/>
      </w:pPr>
      <w:r>
        <w:rPr/>
        <w:t xml:space="preserve">It emits per-order diffraction efficiencies with propagating/evanescent labels into a </w:t>
      </w:r>
      <w:r>
        <w:rPr/>
        <w:t xml:space="preserve">WaveResponse</w:t>
      </w:r>
      <w:r>
        <w:rPr/>
        <w:t xml:space="preserve"> cache consumed by the existing </w:t>
      </w:r>
      <w:r>
        <w:rPr/>
        <w:t xml:space="preserve">cached</w:t>
      </w:r>
      <w:r>
        <w:rPr/>
        <w:t xml:space="preserve"> solver mode — no heavy electromagnetics ever run inside the Flask request thread. Regenerate the bundled demo table:</w:t>
      </w:r>
    </w:p>
    <w:p>
      <w:pPr>
        <w:spacing w:lineRule="auto"/>
      </w:pPr>
      <w:r>
        <w:rPr>
          <w:rFonts w:ascii="Courier" w:hAnsi="Courier"/>
        </w:rPr>
        <w:t xml:space="preserve">python -m wave_physics.rcwa --pitch-um 20 --height-um 100 --fill 0.85 --overwrite </w:t>
      </w:r>
    </w:p>
    <w:p>
      <w:pPr>
        <w:pStyle w:val="Heading2"/>
        <w:spacing w:lineRule="auto"/>
      </w:pPr>
      <w:r>
        <w:rPr/>
        <w:t xml:space="preserve">✅ Validation Checklist</w:t>
      </w:r>
    </w:p>
    <w:p>
      <w:pPr>
        <w:spacing w:lineRule="auto"/>
      </w:pPr>
      <w:r>
        <w:rPr/>
        <w:t xml:space="preserve">The simulator includes built-in energy conservation and physics validation. All output JSON includes a </w:t>
      </w:r>
      <w:r>
        <w:rPr/>
        <w:t xml:space="preserve">kirchhoff_error</w:t>
      </w:r>
      <w:r>
        <w:rPr/>
        <w:t xml:space="preserve"> field (should be near 0). To manually verify results:</w:t>
      </w:r>
    </w:p>
    <w:p>
      <w:pPr>
        <w:pStyle w:val="Heading3"/>
        <w:spacing w:lineRule="auto"/>
      </w:pPr>
      <w:r>
        <w:rPr/>
        <w:t xml:space="preserve">Sanity Tests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to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Flat-plate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cavity_height →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Compare to parallel-plate Stefan–Boltzmann formula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Blackbody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all ε = 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α_eff = ε_B = 1.0; decoupling =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Thermal equilibrium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T_A = T_B = T_C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net_flux → 0 (within ~0.1%)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Solve swap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wave_model='ray'</w:t>
            </w:r>
          </w:p>
          <w:p>
            <w:pPr>
              <w:spacing w:lineRule="auto"/>
            </w:pPr>
            <w:r>
              <w:rPr/>
              <w:t xml:space="preserve"> then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'cached'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Results should match (within ~1% error)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Cutoff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cutoff_wavelength_um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equal 1.706 × cavity_diameter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Energy conservation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kirchhoff_error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be ≤ 0.1%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Run the Test Suite</w:t>
      </w:r>
    </w:p>
    <w:p>
      <w:pPr>
        <w:spacing w:lineRule="auto"/>
      </w:pPr>
      <w:r>
        <w:rPr>
          <w:rFonts w:ascii="Courier" w:hAnsi="Courier"/>
        </w:rPr>
        <w:t xml:space="preserve"># Core regression tests</w:t>
      </w:r>
      <w:r>
        <w:rPr>
          <w:rFonts w:ascii="Courier" w:hAnsi="Courier"/>
        </w:rPr>
        <w:t xml:space="preserve"> python test.py  </w:t>
      </w:r>
      <w:r>
        <w:rPr>
          <w:rFonts w:ascii="Courier" w:hAnsi="Courier"/>
        </w:rPr>
        <w:t xml:space="preserve"># Thin-film physics</w:t>
      </w:r>
      <w:r>
        <w:rPr>
          <w:rFonts w:ascii="Courier" w:hAnsi="Courier"/>
        </w:rPr>
        <w:t xml:space="preserve"> python test_thin_film.py  </w:t>
      </w:r>
      <w:r>
        <w:rPr>
          <w:rFonts w:ascii="Courier" w:hAnsi="Courier"/>
        </w:rPr>
        <w:t xml:space="preserve"># Temperature-dependent &amp; non-local optics (Phase 4a)</w:t>
      </w:r>
      <w:r>
        <w:rPr>
          <w:rFonts w:ascii="Courier" w:hAnsi="Courier"/>
        </w:rPr>
        <w:t xml:space="preserve"> python test_material_temperature.py  </w:t>
      </w:r>
      <w:r>
        <w:rPr>
          <w:rFonts w:ascii="Courier" w:hAnsi="Courier"/>
        </w:rPr>
        <w:t xml:space="preserve"># Surface-roughness BRDF (Phase 4b)</w:t>
      </w:r>
      <w:r>
        <w:rPr>
          <w:rFonts w:ascii="Courier" w:hAnsi="Courier"/>
        </w:rPr>
        <w:t xml:space="preserve"> python test_brdf.py  </w:t>
      </w:r>
      <w:r>
        <w:rPr>
          <w:rFonts w:ascii="Courier" w:hAnsi="Courier"/>
        </w:rPr>
        <w:t xml:space="preserve"># RCWA diffraction solver (B1)</w:t>
      </w:r>
      <w:r>
        <w:rPr>
          <w:rFonts w:ascii="Courier" w:hAnsi="Courier"/>
        </w:rPr>
        <w:t xml:space="preserve"> python test_rcwa.py  </w:t>
      </w:r>
      <w:r>
        <w:rPr>
          <w:rFonts w:ascii="Courier" w:hAnsi="Courier"/>
        </w:rPr>
        <w:t xml:space="preserve"># Full-wave caching</w:t>
      </w:r>
      <w:r>
        <w:rPr>
          <w:rFonts w:ascii="Courier" w:hAnsi="Courier"/>
        </w:rPr>
        <w:t xml:space="preserve"> python test_wave_benchmarks.py  </w:t>
      </w:r>
      <w:r>
        <w:rPr>
          <w:rFonts w:ascii="Courier" w:hAnsi="Courier"/>
        </w:rPr>
        <w:t xml:space="preserve"># Physics checks</w:t>
      </w:r>
      <w:r>
        <w:rPr>
          <w:rFonts w:ascii="Courier" w:hAnsi="Courier"/>
        </w:rPr>
        <w:t xml:space="preserve"> python test_peer_review_physics.py  </w:t>
      </w:r>
      <w:r>
        <w:rPr>
          <w:rFonts w:ascii="Courier" w:hAnsi="Courier"/>
        </w:rPr>
        <w:t xml:space="preserve"># Integration tests</w:t>
      </w:r>
      <w:r>
        <w:rPr>
          <w:rFonts w:ascii="Courier" w:hAnsi="Courier"/>
        </w:rPr>
        <w:t xml:space="preserve"> python test_phase_integration.py python test_phase3_integration.py python test_phase3_api.py  </w:t>
      </w:r>
      <w:r>
        <w:rPr>
          <w:rFonts w:ascii="Courier" w:hAnsi="Courier"/>
        </w:rPr>
        <w:t xml:space="preserve"># Cross-geometry smoke tests</w:t>
      </w:r>
      <w:r>
        <w:rPr>
          <w:rFonts w:ascii="Courier" w:hAnsi="Courier"/>
        </w:rPr>
        <w:t xml:space="preserve"> python validate_integration.py </w:t>
      </w:r>
    </w:p>
    <w:p>
      <w:pPr>
        <w:pStyle w:val="Heading2"/>
        <w:spacing w:lineRule="auto"/>
      </w:pPr>
      <w:r>
        <w:rPr/>
        <w:t xml:space="preserve">� Accuracy &amp; Limitations</w:t>
      </w:r>
    </w:p>
    <w:p>
      <w:pPr>
        <w:pStyle w:val="Heading3"/>
        <w:spacing w:lineRule="auto"/>
      </w:pPr>
      <w:r>
        <w:rPr/>
        <w:t xml:space="preserve">Current Accuracy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Wall ε_eff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5% vs. literature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nm alumina: 2.2% validated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Cutoff wavelength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1% vs. theory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TE11 mode formula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Statistical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±5–10% relative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confidence intervals reported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Energy conservation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0.1%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Kirchhoff reciprocity verified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Near-field vs. far-field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Tested &amp;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Auto-detection threshold = 5.0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Strengths ✓</w:t>
      </w:r>
    </w:p>
    <w:p>
      <w:pPr>
        <w:numPr>
          <w:ilvl w:val="0"/>
          <w:numId w:val="17"/>
        </w:numPr>
        <w:spacing w:lineRule="auto"/>
      </w:pPr>
      <w:r>
        <w:rPr/>
        <w:t xml:space="preserve">Thin-film Beer–Lambert + TMM optics (4-material database)</w:t>
      </w:r>
    </w:p>
    <w:p>
      <w:pPr>
        <w:numPr>
          <w:ilvl w:val="0"/>
          <w:numId w:val="17"/>
        </w:numPr>
        <w:spacing w:lineRule="auto"/>
      </w:pPr>
      <w:r>
        <w:rPr/>
        <w:t xml:space="preserve">Temperature-dependent Drude–Lorentz optics with non-local hydrodynamic correction</w:t>
      </w:r>
    </w:p>
    <w:p>
      <w:pPr>
        <w:numPr>
          <w:ilvl w:val="0"/>
          <w:numId w:val="17"/>
        </w:numPr>
        <w:spacing w:lineRule="auto"/>
      </w:pPr>
      <w:r>
        <w:rPr/>
        <w:t xml:space="preserve">Surface-roughness BRDF (Beckmann–Spizzichino / Harvey–Shack) — optional, energy-conserving</w:t>
      </w:r>
    </w:p>
    <w:p>
      <w:pPr>
        <w:numPr>
          <w:ilvl w:val="0"/>
          <w:numId w:val="17"/>
        </w:numPr>
        <w:spacing w:lineRule="auto"/>
      </w:pPr>
      <w:r>
        <w:rPr/>
        <w:t xml:space="preserve">Lossy waveguide modal analysis with real complex propagation constants</w:t>
      </w:r>
    </w:p>
    <w:p>
      <w:pPr>
        <w:numPr>
          <w:ilvl w:val="0"/>
          <w:numId w:val="17"/>
        </w:numPr>
        <w:spacing w:lineRule="auto"/>
      </w:pPr>
      <w:r>
        <w:rPr/>
        <w:t xml:space="preserve">Spectral integration with wavelength-dependent absorption</w:t>
      </w:r>
    </w:p>
    <w:p>
      <w:pPr>
        <w:numPr>
          <w:ilvl w:val="0"/>
          <w:numId w:val="17"/>
        </w:numPr>
        <w:spacing w:lineRule="auto"/>
      </w:pPr>
      <w:r>
        <w:rPr/>
        <w:t xml:space="preserve">Polder–Van Hove near-field with automatic regime detection</w:t>
      </w:r>
    </w:p>
    <w:p>
      <w:pPr>
        <w:numPr>
          <w:ilvl w:val="0"/>
          <w:numId w:val="17"/>
        </w:numPr>
        <w:spacing w:lineRule="auto"/>
      </w:pPr>
      <w:r>
        <w:rPr/>
        <w:t xml:space="preserve">Structured near-field Green-tensor + LDOS correction (Track B2) — active </w:t>
      </w:r>
      <w:r>
        <w:rPr/>
        <w:t xml:space="preserve">nf_greens</w:t>
      </w:r>
      <w:r>
        <w:rPr/>
        <w:t xml:space="preserve"> solver</w:t>
      </w:r>
    </w:p>
    <w:p>
      <w:pPr>
        <w:numPr>
          <w:ilvl w:val="0"/>
          <w:numId w:val="17"/>
        </w:numPr>
        <w:spacing w:lineRule="auto"/>
      </w:pPr>
      <w:r>
        <w:rPr/>
        <w:t xml:space="preserve">Offline RCWA diffraction solver with validated per-order energy conservation</w:t>
      </w:r>
    </w:p>
    <w:p>
      <w:pPr>
        <w:numPr>
          <w:ilvl w:val="0"/>
          <w:numId w:val="17"/>
        </w:numPr>
        <w:spacing w:lineRule="auto"/>
      </w:pPr>
      <w:r>
        <w:rPr/>
        <w:t xml:space="preserve">Cached full-wave service layer with energy-conserving response tables</w:t>
      </w:r>
    </w:p>
    <w:p>
      <w:pPr>
        <w:numPr>
          <w:ilvl w:val="0"/>
          <w:numId w:val="17"/>
        </w:numPr>
        <w:spacing w:lineRule="auto"/>
      </w:pPr>
      <w:r>
        <w:rPr/>
        <w:t xml:space="preserve">Multi-scale physics: cavity behavior → enclosure heat transfer</w:t>
      </w:r>
    </w:p>
    <w:p>
      <w:pPr>
        <w:numPr>
          <w:ilvl w:val="0"/>
          <w:numId w:val="17"/>
        </w:numPr>
        <w:spacing w:lineRule="auto"/>
      </w:pPr>
      <w:r>
        <w:rPr/>
        <w:t xml:space="preserve">95% confidence intervals on all Monte Carlo outputs</w:t>
      </w:r>
    </w:p>
    <w:p>
      <w:pPr>
        <w:pStyle w:val="Heading3"/>
        <w:spacing w:lineRule="auto"/>
      </w:pPr>
      <w:r>
        <w:rPr/>
        <w:t xml:space="preserve">Known Limitations ✗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Geometric-optics base</w:t>
      </w:r>
      <w:r>
        <w:rPr/>
        <w:t xml:space="preserve">: Full electromagnetic solutions are accessed via the </w:t>
      </w:r>
      <w:r>
        <w:rPr/>
        <w:t xml:space="preserve">cached</w:t>
      </w:r>
      <w:r>
        <w:rPr/>
        <w:t xml:space="preserve"> solver mode (RCWA runs offline; not in-thread)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1-D RCWA approximation</w:t>
      </w:r>
      <w:r>
        <w:rPr/>
        <w:t xml:space="preserve">: The periodic diffraction solver models the 2-D pore lattice via an effective fill fraction (provenance-labeled in every cache); full 2-D unit-cell RCWA is future work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Roughness opt-in</w:t>
      </w:r>
      <w:r>
        <w:rPr/>
        <w:t xml:space="preserve">: Without </w:t>
      </w:r>
      <w:r>
        <w:rPr/>
        <w:t xml:space="preserve">surface_roughness_um</w:t>
      </w:r>
      <w:r>
        <w:rPr/>
        <w:t xml:space="preserve">, reflection stays purely Lambertian (legacy behavior)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Periodic idealization</w:t>
      </w:r>
      <w:r>
        <w:rPr/>
        <w:t xml:space="preserve">: Ignores edge effects and non-uniformities at sample boundaries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Material data</w:t>
      </w:r>
      <w:r>
        <w:rPr/>
        <w:t xml:space="preserve">: From literature (Palik handbook, etc.); temperature drift above 300 K is model-based (Drude–Lorentz/Varshni anchoring), not sample-specific measurements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Solver timeout</w:t>
      </w:r>
      <w:r>
        <w:rPr/>
        <w:t xml:space="preserve">: Near-field integration (PVH + Green-tensor LDOS) falls back to far-field gracefully on numerical issues; the correction factor defaults to 1.0 if the cache builder fails</w:t>
      </w:r>
    </w:p>
    <w:p>
      <w:pPr>
        <w:pStyle w:val="Heading2"/>
        <w:spacing w:lineRule="auto"/>
      </w:pPr>
      <w:r>
        <w:rPr/>
        <w:t xml:space="preserve">�📚 References</w:t>
      </w:r>
    </w:p>
    <w:p>
      <w:pPr>
        <w:pStyle w:val="Heading3"/>
        <w:spacing w:lineRule="auto"/>
      </w:pPr>
      <w:r>
        <w:rPr/>
        <w:t xml:space="preserve">Thin-film / optical</w:t>
      </w:r>
    </w:p>
    <w:p>
      <w:pPr>
        <w:numPr>
          <w:ilvl w:val="0"/>
          <w:numId w:val="19"/>
        </w:numPr>
        <w:spacing w:lineRule="auto"/>
      </w:pPr>
      <w:r>
        <w:rPr/>
        <w:t xml:space="preserve">Born &amp; Wolf, </w:t>
      </w:r>
      <w:r>
        <w:rPr/>
        <w:t xml:space="preserve">Principles of Optics</w:t>
      </w:r>
      <w:r>
        <w:rPr/>
        <w:t xml:space="preserve"> (1999); Heavens (1955); Palik, </w:t>
      </w:r>
      <w:r>
        <w:rPr/>
        <w:t xml:space="preserve">Handbook of Optical Constants of Solids</w:t>
      </w:r>
      <w:r>
        <w:rPr/>
        <w:t xml:space="preserve"> (1998).</w:t>
      </w:r>
    </w:p>
    <w:p>
      <w:pPr>
        <w:pStyle w:val="Heading3"/>
        <w:spacing w:lineRule="auto"/>
      </w:pPr>
      <w:r>
        <w:rPr/>
        <w:t xml:space="preserve">Temperature-dependent &amp; non-local optics</w:t>
      </w:r>
    </w:p>
    <w:p>
      <w:pPr>
        <w:numPr>
          <w:ilvl w:val="0"/>
          <w:numId w:val="20"/>
        </w:numPr>
        <w:spacing w:lineRule="auto"/>
      </w:pPr>
      <w:r>
        <w:rPr/>
        <w:t xml:space="preserve">Modest, </w:t>
      </w:r>
      <w:r>
        <w:rPr/>
        <w:t xml:space="preserve">Radiative Heat Transfer</w:t>
      </w:r>
      <w:r>
        <w:rPr/>
        <w:t xml:space="preserve">, 3rd ed. (2013) — high-temperature dielectrics.</w:t>
      </w:r>
    </w:p>
    <w:p>
      <w:pPr>
        <w:numPr>
          <w:ilvl w:val="0"/>
          <w:numId w:val="20"/>
        </w:numPr>
        <w:spacing w:lineRule="auto"/>
      </w:pPr>
      <w:r>
        <w:rPr/>
        <w:t xml:space="preserve">Raza et al., </w:t>
      </w:r>
      <w:r>
        <w:rPr/>
        <w:t xml:space="preserve">J. Phys.: Condens. Matter</w:t>
      </w:r>
      <w:r>
        <w:rPr/>
        <w:t xml:space="preserve"> 23, 325502 (2011) — hydrodynamic non-local response; Varshni, </w:t>
      </w:r>
      <w:r>
        <w:rPr/>
        <w:t xml:space="preserve">Physica</w:t>
      </w:r>
      <w:r>
        <w:rPr/>
        <w:t xml:space="preserve"> 34, 149 (1967) — band-gap shift.</w:t>
      </w:r>
    </w:p>
    <w:p>
      <w:pPr>
        <w:pStyle w:val="Heading3"/>
        <w:spacing w:lineRule="auto"/>
      </w:pPr>
      <w:r>
        <w:rPr/>
        <w:t xml:space="preserve">Surface roughness / BRDF</w:t>
      </w:r>
    </w:p>
    <w:p>
      <w:pPr>
        <w:numPr>
          <w:ilvl w:val="0"/>
          <w:numId w:val="21"/>
        </w:numPr>
        <w:spacing w:lineRule="auto"/>
      </w:pPr>
      <w:r>
        <w:rPr/>
        <w:t xml:space="preserve">Beckmann &amp; Spizzichino, </w:t>
      </w:r>
      <w:r>
        <w:rPr/>
        <w:t xml:space="preserve">The Scattering of Electromagnetic Waves from Rough Surfaces</w:t>
      </w:r>
      <w:r>
        <w:rPr/>
        <w:t xml:space="preserve"> (1987); Harvey (1976); Stover, </w:t>
      </w:r>
      <w:r>
        <w:rPr/>
        <w:t xml:space="preserve">Optical Scattering</w:t>
      </w:r>
      <w:r>
        <w:rPr/>
        <w:t xml:space="preserve"> (2012); Siegel &amp; Howell, </w:t>
      </w:r>
      <w:r>
        <w:rPr/>
        <w:t xml:space="preserve">Thermal Radiation Heat Transfer</w:t>
      </w:r>
      <w:r>
        <w:rPr/>
        <w:t xml:space="preserve"> — mixed specular/diffuse enclosure models.</w:t>
      </w:r>
    </w:p>
    <w:p>
      <w:pPr>
        <w:pStyle w:val="Heading3"/>
        <w:spacing w:lineRule="auto"/>
      </w:pPr>
      <w:r>
        <w:rPr/>
        <w:t xml:space="preserve">Rigorous diffraction (RCWA)</w:t>
      </w:r>
    </w:p>
    <w:p>
      <w:pPr>
        <w:numPr>
          <w:ilvl w:val="0"/>
          <w:numId w:val="22"/>
        </w:numPr>
        <w:spacing w:lineRule="auto"/>
      </w:pPr>
      <w:r>
        <w:rPr/>
        <w:t xml:space="preserve">Moharam &amp; Gaylord, </w:t>
      </w:r>
      <w:r>
        <w:rPr/>
        <w:t xml:space="preserve">JOSA</w:t>
      </w:r>
      <w:r>
        <w:rPr/>
        <w:t xml:space="preserve"> 71, 811 (1981); Moharam et al., </w:t>
      </w:r>
      <w:r>
        <w:rPr/>
        <w:t xml:space="preserve">JOSA A</w:t>
      </w:r>
      <w:r>
        <w:rPr/>
        <w:t xml:space="preserve"> 12, 1077 (1995) — stable formulation; Lalanne &amp; Morris, </w:t>
      </w:r>
      <w:r>
        <w:rPr/>
        <w:t xml:space="preserve">JOSA A</w:t>
      </w:r>
      <w:r>
        <w:rPr/>
        <w:t xml:space="preserve"> 13, 779 (1996) and Li, </w:t>
      </w:r>
      <w:r>
        <w:rPr/>
        <w:t xml:space="preserve">JOSA A</w:t>
      </w:r>
      <w:r>
        <w:rPr/>
        <w:t xml:space="preserve"> 13, 1870 (1996) — Fourier factorization rules; Whittaker &amp; Culshaw, </w:t>
      </w:r>
      <w:r>
        <w:rPr/>
        <w:t xml:space="preserve">Phys. Rev. B</w:t>
      </w:r>
      <w:r>
        <w:rPr/>
        <w:t xml:space="preserve"> 60, 2610 (1999) — scattering-matrix treatment.</w:t>
      </w:r>
    </w:p>
    <w:p>
      <w:pPr>
        <w:pStyle w:val="Heading3"/>
        <w:spacing w:lineRule="auto"/>
      </w:pPr>
      <w:r>
        <w:rPr/>
        <w:t xml:space="preserve">Anisotropic decoupling</w:t>
      </w:r>
    </w:p>
    <w:p>
      <w:pPr>
        <w:numPr>
          <w:ilvl w:val="0"/>
          <w:numId w:val="23"/>
        </w:numPr>
        <w:spacing w:lineRule="auto"/>
      </w:pPr>
      <w:r>
        <w:rPr/>
        <w:t xml:space="preserve">Lin et al., </w:t>
      </w:r>
      <w:r>
        <w:rPr/>
        <w:t xml:space="preserve">Phys. Rev. B</w:t>
      </w:r>
      <w:r>
        <w:rPr/>
        <w:t xml:space="preserve"> 62, 3081 (2000); Narayanaswamy &amp; Chen, </w:t>
      </w:r>
      <w:r>
        <w:rPr/>
        <w:t xml:space="preserve">Phys. Rev. B</w:t>
      </w:r>
      <w:r>
        <w:rPr/>
        <w:t xml:space="preserve"> 70, 125101 (2004); Sprafke et al., </w:t>
      </w:r>
      <w:r>
        <w:rPr/>
        <w:t xml:space="preserve">Adv. Opt. Mater.</w:t>
      </w:r>
      <w:r>
        <w:rPr/>
        <w:t xml:space="preserve"> 1, 527 (2013); Mizuno et al., </w:t>
      </w:r>
      <w:r>
        <w:rPr/>
        <w:t xml:space="preserve">PNAS</w:t>
      </w:r>
      <w:r>
        <w:rPr/>
        <w:t xml:space="preserve"> 106, 6044 (2009).</w:t>
      </w:r>
    </w:p>
    <w:p>
      <w:pPr>
        <w:pStyle w:val="Heading3"/>
        <w:spacing w:lineRule="auto"/>
      </w:pPr>
      <w:r>
        <w:rPr/>
        <w:t xml:space="preserve">Modal / near-field</w:t>
      </w:r>
    </w:p>
    <w:p>
      <w:pPr>
        <w:numPr>
          <w:ilvl w:val="0"/>
          <w:numId w:val="24"/>
        </w:numPr>
        <w:spacing w:lineRule="auto"/>
      </w:pPr>
      <w:r>
        <w:rPr/>
        <w:t xml:space="preserve">Jackson, </w:t>
      </w:r>
      <w:r>
        <w:rPr/>
        <w:t xml:space="preserve">Classical Electrodynamics</w:t>
      </w:r>
      <w:r>
        <w:rPr/>
        <w:t xml:space="preserve"> (1999) Ch. 8; Polder &amp; Van Hove, </w:t>
      </w:r>
      <w:r>
        <w:rPr/>
        <w:t xml:space="preserve">Phys. Rev. B</w:t>
      </w:r>
      <w:r>
        <w:rPr/>
        <w:t xml:space="preserve"> 4, 3303 (1971); Basu et al., </w:t>
      </w:r>
      <w:r>
        <w:rPr/>
        <w:t xml:space="preserve">Int. J. Energy Res.</w:t>
      </w:r>
      <w:r>
        <w:rPr/>
        <w:t xml:space="preserve"> 33, 1203 (2009).</w:t>
      </w:r>
    </w:p>
    <w:p>
      <w:pPr>
        <w:pStyle w:val="Heading3"/>
        <w:spacing w:lineRule="auto"/>
      </w:pPr>
      <w:r>
        <w:rPr/>
        <w:t xml:space="preserve">Monte Carlo methods</w:t>
      </w:r>
    </w:p>
    <w:p>
      <w:pPr>
        <w:numPr>
          <w:ilvl w:val="0"/>
          <w:numId w:val="25"/>
        </w:numPr>
        <w:spacing w:lineRule="auto"/>
      </w:pPr>
      <w:r>
        <w:rPr/>
        <w:t xml:space="preserve">Howell et al., </w:t>
      </w:r>
      <w:r>
        <w:rPr/>
        <w:t xml:space="preserve">Thermal Radiation Heat Transfer</w:t>
      </w:r>
      <w:r>
        <w:rPr/>
        <w:t xml:space="preserve"> (5th ed.).</w:t>
      </w:r>
    </w:p>
    <w:p>
      <w:pPr>
        <w:pStyle w:val="Heading2"/>
        <w:spacing w:lineRule="auto"/>
      </w:pPr>
      <w:r>
        <w:rPr/>
        <w:t xml:space="preserve">💬 Feedback &amp; Issues</w:t>
      </w:r>
    </w:p>
    <w:p>
      <w:pPr>
        <w:spacing w:lineRule="auto"/>
      </w:pPr>
      <w:r>
        <w:rPr/>
        <w:t xml:space="preserve">Found a bug or have a suggestion? Open an issue at:</w:t>
      </w:r>
    </w:p>
    <w:p>
      <w:pPr>
        <w:spacing w:lineRule="auto"/>
      </w:pPr>
      <w:r>
        <w:rPr>
          <w:rFonts w:ascii="Courier" w:hAnsi="Courier"/>
        </w:rPr>
        <w:t xml:space="preserve">https://github.com/Jobeer1/LWIR-thermal-panels/issues </w:t>
      </w:r>
    </w:p>
    <w:p>
      <w:pPr>
        <w:spacing w:lineRule="auto"/>
      </w:pPr>
      <w:r>
        <w:rPr/>
        <w:t xml:space="preserve">Include the simulation parameters, expected vs. actual output, Python/OS version, and any error logs.</w:t>
      </w:r>
    </w:p>
    <w:p>
      <w:pPr>
        <w:pStyle w:val="Heading2"/>
        <w:spacing w:lineRule="auto"/>
      </w:pPr>
      <w:r>
        <w:rPr/>
        <w:t xml:space="preserve">📄 License</w:t>
      </w:r>
    </w:p>
    <w:p>
      <w:pPr>
        <w:spacing w:lineRule="auto"/>
      </w:pPr>
      <w:r>
        <w:rPr/>
        <w:t xml:space="preserve">MIT License — see </w:t>
      </w:r>
      <w:hyperlink r:id="rId8">
        <w:r>
          <w:rPr>
            <w:rStyle w:val="Hyperlink"/>
          </w:rPr>
          <w:t xml:space="preserve">LICENSE</w:t>
        </w:r>
      </w:hyperlink>
      <w:r>
        <w:rPr/>
        <w:t xml:space="preserve">.</w:t>
      </w:r>
    </w:p>
    <w:p>
      <w:pPr>
        <w:spacing w:lineRule="auto"/>
      </w:pPr>
      <w:r>
        <w:rPr>
          <w:b/>
        </w:rPr>
        <w:t xml:space="preserve">Physics model</w:t>
      </w:r>
      <w:r>
        <w:rPr/>
        <w:t xml:space="preserve">: Anisotropic radiative exchange with thin-film, temperature-dependent optics, roughness BRDF, modal-cutoff, RCWA-diffraction (offline), and near-field corrections. </w:t>
      </w:r>
      <w:r>
        <w:rPr>
          <w:b/>
        </w:rPr>
        <w:t xml:space="preserve">Status</w:t>
      </w:r>
      <w:r>
        <w:rPr/>
        <w:t xml:space="preserve">: Active development — see </w:t>
      </w:r>
      <w:r>
        <w:rPr/>
        <w:t xml:space="preserve">DEVELOPMENT_NOTES.md</w:t>
      </w:r>
      <w:r>
        <w:rPr/>
        <w:t xml:space="preserve"> for the consolidated roadmap and change history.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y7sYODg2vSyyf5IsRmin0.png" TargetMode="Internal"/>
  <Relationship Id="rId6" Type="http://schemas.openxmlformats.org/officeDocument/2006/relationships/image" Target="media/image-VFKtrVMlGA1mVg8sfoLRx.png" TargetMode="Internal"/>
  <Relationship Id="rId7" Type="http://schemas.openxmlformats.org/officeDocument/2006/relationships/image" Target="media/image-qWi753mKd-usVDFEKbX_o.png" TargetMode="Internal"/>
  <Relationship Id="rId8" Type="http://schemas.openxmlformats.org/officeDocument/2006/relationships/hyperlink" Target="LICENSE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2026-08-26T06:20:35.684Z</dcterms:created>
  <dcterms:modified xsi:type="dcterms:W3CDTF">2026-08-26T06:20:35.684Z</dcterms:modified>
</cp:coreProperties>
</file>