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2B2B"/>
          <w:sz w:val="52"/>
        </w:rPr>
        <w:t>Dekho - Product Requirement Document</w:t>
      </w:r>
    </w:p>
    <w:p>
      <w:pPr>
        <w:jc w:val="center"/>
      </w:pPr>
      <w:r>
        <w:rPr>
          <w:color w:val="6B6057"/>
          <w:sz w:val="24"/>
        </w:rPr>
        <w:t>Prototype PRD for a habit-first personal finance chatbot</w:t>
      </w:r>
    </w:p>
    <w:p/>
    <w:tbl>
      <w:tblPr>
        <w:tblW w:type="auto" w:w="0"/>
        <w:jc w:val="center"/>
        <w:tblLayout w:type="fixed"/>
        <w:tblLook w:firstColumn="1" w:firstRow="1" w:lastColumn="0" w:lastRow="0" w:noHBand="0" w:noVBand="1" w:val="04A0"/>
      </w:tblPr>
      <w:tblGrid>
        <w:gridCol w:w="9216"/>
      </w:tblGrid>
      <w:tr>
        <w:tc>
          <w:tcPr>
            <w:tcW w:type="dxa" w:w="10080"/>
            <w:shd w:fill="F6EFE7"/>
            <w:tcMar>
              <w:top w:w="160" w:type="dxa"/>
              <w:start w:w="180" w:type="dxa"/>
              <w:bottom w:w="160" w:type="dxa"/>
              <w:end w:w="180" w:type="dxa"/>
            </w:tcMar>
            <w:vAlign w:val="center"/>
          </w:tcPr>
          <w:p>
            <w:pPr>
              <w:jc w:val="left"/>
            </w:pPr>
            <w:r>
              <w:rPr>
                <w:color w:val="2B2B2B"/>
                <w:sz w:val="21"/>
              </w:rPr>
              <w:t>Product: Dekho</w:t>
            </w:r>
            <w:r>
              <w:br/>
            </w:r>
            <w:r>
              <w:rPr>
                <w:color w:val="2B2B2B"/>
                <w:sz w:val="21"/>
              </w:rPr>
              <w:t>Scope: AI chatbot, budgeting, behavior insights, assets, opportunities</w:t>
            </w:r>
            <w:r>
              <w:br/>
            </w:r>
            <w:r>
              <w:rPr>
                <w:color w:val="2B2B2B"/>
                <w:sz w:val="21"/>
              </w:rPr>
              <w:t>Build context: Antigravity + React + FastAPI + Ollama</w:t>
            </w:r>
            <w:r>
              <w:br/>
            </w:r>
            <w:r>
              <w:rPr>
                <w:color w:val="2B2B2B"/>
                <w:sz w:val="21"/>
              </w:rPr>
              <w:t>Data strategy: synthetic CSV / DOC samples plus finance knowledge base</w:t>
            </w:r>
          </w:p>
        </w:tc>
      </w:tr>
    </w:tbl>
    <w:p/>
    <w:p>
      <w:pPr>
        <w:jc w:val="center"/>
      </w:pPr>
      <w:r>
        <w:rPr>
          <w:i/>
          <w:color w:val="6B6057"/>
          <w:sz w:val="20"/>
        </w:rPr>
        <w:t>Prepared for Antigravity-driven prototyping</w:t>
      </w:r>
    </w:p>
    <w:p>
      <w:r>
        <w:br w:type="page"/>
      </w:r>
    </w:p>
    <w:p>
      <w:pPr>
        <w:pStyle w:val="Heading1"/>
      </w:pPr>
      <w:r>
        <w:t>1. Product summary</w:t>
      </w:r>
    </w:p>
    <w:p>
      <w:r>
        <w:rPr>
          <w:b w:val="0"/>
          <w:i w:val="0"/>
        </w:rPr>
        <w:t>Dekho is a habit-first personal finance companion that helps users understand their relationship with money, build better financial habits, plan savings and budgets, and gradually create assets while keeping the experience calm and emotionally safe.</w:t>
      </w:r>
    </w:p>
    <w:tbl>
      <w:tblPr>
        <w:tblW w:type="auto" w:w="0"/>
        <w:jc w:val="center"/>
        <w:tblLayout w:type="fixed"/>
        <w:tblLook w:firstColumn="1" w:firstRow="1" w:lastColumn="0" w:lastRow="0" w:noHBand="0" w:noVBand="1" w:val="04A0"/>
        <w:tblBorders>
          <w:top w:val="single" w:sz="6" w:space="0" w:color="E7DED4"/>
          <w:left w:val="single" w:sz="6" w:space="0" w:color="E7DED4"/>
          <w:bottom w:val="single" w:sz="6" w:space="0" w:color="E7DED4"/>
          <w:right w:val="single" w:sz="6" w:space="0" w:color="E7DED4"/>
          <w:insideH w:val="single" w:sz="6" w:space="0" w:color="E7DED4"/>
          <w:insideV w:val="single" w:sz="6" w:space="0" w:color="E7DED4"/>
        </w:tblBorders>
      </w:tblPr>
      <w:tblGrid>
        <w:gridCol w:w="2880"/>
        <w:gridCol w:w="6912"/>
      </w:tblGrid>
      <w:tr>
        <w:tc>
          <w:tcPr>
            <w:tcW w:type="dxa" w:w="5040"/>
            <w:shd w:fill="F6EFE7"/>
            <w:tcMar>
              <w:top w:w="90" w:type="dxa"/>
              <w:start w:w="100" w:type="dxa"/>
              <w:bottom w:w="90" w:type="dxa"/>
              <w:end w:w="100" w:type="dxa"/>
            </w:tcMar>
            <w:vAlign w:val="center"/>
          </w:tcPr>
          <w:p>
            <w:r>
              <w:rPr>
                <w:b/>
                <w:color w:val="2B2B2B"/>
                <w:sz w:val="21"/>
              </w:rPr>
              <w:t>Field</w:t>
            </w:r>
          </w:p>
        </w:tc>
        <w:tc>
          <w:tcPr>
            <w:tcW w:type="dxa" w:w="5040"/>
            <w:shd w:fill="F6EFE7"/>
            <w:tcMar>
              <w:top w:w="90" w:type="dxa"/>
              <w:start w:w="100" w:type="dxa"/>
              <w:bottom w:w="90" w:type="dxa"/>
              <w:end w:w="100" w:type="dxa"/>
            </w:tcMar>
            <w:vAlign w:val="center"/>
          </w:tcPr>
          <w:p>
            <w:r>
              <w:rPr>
                <w:b/>
                <w:color w:val="2B2B2B"/>
                <w:sz w:val="21"/>
              </w:rPr>
              <w:t>Details</w:t>
            </w:r>
          </w:p>
        </w:tc>
      </w:tr>
      <w:tr>
        <w:tc>
          <w:tcPr>
            <w:tcW w:type="dxa" w:w="2880"/>
            <w:tcMar>
              <w:top w:w="90" w:type="dxa"/>
              <w:start w:w="100" w:type="dxa"/>
              <w:bottom w:w="90" w:type="dxa"/>
              <w:end w:w="100" w:type="dxa"/>
            </w:tcMar>
            <w:vAlign w:val="center"/>
          </w:tcPr>
          <w:p>
            <w:r>
              <w:rPr>
                <w:color w:val="2B2B2B"/>
                <w:sz w:val="20"/>
              </w:rPr>
              <w:t>Product type</w:t>
            </w:r>
          </w:p>
        </w:tc>
        <w:tc>
          <w:tcPr>
            <w:tcW w:type="dxa" w:w="6912"/>
            <w:tcMar>
              <w:top w:w="90" w:type="dxa"/>
              <w:start w:w="100" w:type="dxa"/>
              <w:bottom w:w="90" w:type="dxa"/>
              <w:end w:w="100" w:type="dxa"/>
            </w:tcMar>
            <w:vAlign w:val="center"/>
          </w:tcPr>
          <w:p>
            <w:r>
              <w:rPr>
                <w:color w:val="2B2B2B"/>
                <w:sz w:val="20"/>
              </w:rPr>
              <w:t>Consumer fintech / personal finance / behavioral finance</w:t>
            </w:r>
          </w:p>
        </w:tc>
      </w:tr>
      <w:tr>
        <w:tc>
          <w:tcPr>
            <w:tcW w:type="dxa" w:w="2880"/>
            <w:tcMar>
              <w:top w:w="90" w:type="dxa"/>
              <w:start w:w="100" w:type="dxa"/>
              <w:bottom w:w="90" w:type="dxa"/>
              <w:end w:w="100" w:type="dxa"/>
            </w:tcMar>
            <w:vAlign w:val="center"/>
          </w:tcPr>
          <w:p>
            <w:r>
              <w:rPr>
                <w:color w:val="2B2B2B"/>
                <w:sz w:val="20"/>
              </w:rPr>
              <w:t>Primary user</w:t>
            </w:r>
          </w:p>
        </w:tc>
        <w:tc>
          <w:tcPr>
            <w:tcW w:type="dxa" w:w="6912"/>
            <w:tcMar>
              <w:top w:w="90" w:type="dxa"/>
              <w:start w:w="100" w:type="dxa"/>
              <w:bottom w:w="90" w:type="dxa"/>
              <w:end w:w="100" w:type="dxa"/>
            </w:tcMar>
            <w:vAlign w:val="center"/>
          </w:tcPr>
          <w:p>
            <w:r>
              <w:rPr>
                <w:color w:val="2B2B2B"/>
                <w:sz w:val="20"/>
              </w:rPr>
              <w:t>Young earning individuals in India, especially ages 18-35 who use UPI heavily</w:t>
            </w:r>
          </w:p>
        </w:tc>
      </w:tr>
      <w:tr>
        <w:tc>
          <w:tcPr>
            <w:tcW w:type="dxa" w:w="2880"/>
            <w:tcMar>
              <w:top w:w="90" w:type="dxa"/>
              <w:start w:w="100" w:type="dxa"/>
              <w:bottom w:w="90" w:type="dxa"/>
              <w:end w:w="100" w:type="dxa"/>
            </w:tcMar>
            <w:vAlign w:val="center"/>
          </w:tcPr>
          <w:p>
            <w:r>
              <w:rPr>
                <w:color w:val="2B2B2B"/>
                <w:sz w:val="20"/>
              </w:rPr>
              <w:t>Core promise</w:t>
            </w:r>
          </w:p>
        </w:tc>
        <w:tc>
          <w:tcPr>
            <w:tcW w:type="dxa" w:w="6912"/>
            <w:tcMar>
              <w:top w:w="90" w:type="dxa"/>
              <w:start w:w="100" w:type="dxa"/>
              <w:bottom w:w="90" w:type="dxa"/>
              <w:end w:w="100" w:type="dxa"/>
            </w:tcMar>
            <w:vAlign w:val="center"/>
          </w:tcPr>
          <w:p>
            <w:r>
              <w:rPr>
                <w:color w:val="2B2B2B"/>
                <w:sz w:val="20"/>
              </w:rPr>
              <w:t>Clarity before advice, habit before optimization, personalization before rules</w:t>
            </w:r>
          </w:p>
        </w:tc>
      </w:tr>
      <w:tr>
        <w:tc>
          <w:tcPr>
            <w:tcW w:type="dxa" w:w="2880"/>
            <w:tcMar>
              <w:top w:w="90" w:type="dxa"/>
              <w:start w:w="100" w:type="dxa"/>
              <w:bottom w:w="90" w:type="dxa"/>
              <w:end w:w="100" w:type="dxa"/>
            </w:tcMar>
            <w:vAlign w:val="center"/>
          </w:tcPr>
          <w:p>
            <w:r>
              <w:rPr>
                <w:color w:val="2B2B2B"/>
                <w:sz w:val="20"/>
              </w:rPr>
              <w:t>Prototype focus</w:t>
            </w:r>
          </w:p>
        </w:tc>
        <w:tc>
          <w:tcPr>
            <w:tcW w:type="dxa" w:w="6912"/>
            <w:tcMar>
              <w:top w:w="90" w:type="dxa"/>
              <w:start w:w="100" w:type="dxa"/>
              <w:bottom w:w="90" w:type="dxa"/>
              <w:end w:w="100" w:type="dxa"/>
            </w:tcMar>
            <w:vAlign w:val="center"/>
          </w:tcPr>
          <w:p>
            <w:r>
              <w:rPr>
                <w:color w:val="2B2B2B"/>
                <w:sz w:val="20"/>
              </w:rPr>
              <w:t>Ask Dekho chatbot + supporting financial dashboard screens</w:t>
            </w:r>
          </w:p>
        </w:tc>
      </w:tr>
    </w:tbl>
    <w:p>
      <w:pPr>
        <w:pStyle w:val="Heading1"/>
      </w:pPr>
      <w:r>
        <w:t>2. Problem statement</w:t>
      </w:r>
    </w:p>
    <w:p>
      <w:pPr>
        <w:pStyle w:val="ListBullet"/>
        <w:ind w:left="0"/>
      </w:pPr>
      <w:r>
        <w:t>Users often know they spend money, but they do not clearly understand their spending patterns, triggers, or financial behavior.</w:t>
      </w:r>
    </w:p>
    <w:p>
      <w:pPr>
        <w:pStyle w:val="ListBullet"/>
        <w:ind w:left="0"/>
      </w:pPr>
      <w:r>
        <w:t>Most finance apps feel transactional and demanding instead of calm and explanatory.</w:t>
      </w:r>
    </w:p>
    <w:p>
      <w:pPr>
        <w:pStyle w:val="ListBullet"/>
        <w:ind w:left="0"/>
      </w:pPr>
      <w:r>
        <w:t>Users need practical next steps, not just charts or product pushes.</w:t>
      </w:r>
    </w:p>
    <w:p>
      <w:pPr>
        <w:pStyle w:val="Heading1"/>
      </w:pPr>
      <w:r>
        <w:t>3. Objectives</w:t>
      </w:r>
    </w:p>
    <w:p>
      <w:pPr>
        <w:pStyle w:val="ListBullet"/>
        <w:ind w:left="0"/>
      </w:pPr>
      <w:r>
        <w:t>Help users ask natural-language finance questions and get answers grounded in their own data.</w:t>
      </w:r>
    </w:p>
    <w:p>
      <w:pPr>
        <w:pStyle w:val="ListBullet"/>
        <w:ind w:left="0"/>
      </w:pPr>
      <w:r>
        <w:t>Explain spending, savings, and progress in plain language.</w:t>
      </w:r>
    </w:p>
    <w:p>
      <w:pPr>
        <w:pStyle w:val="ListBullet"/>
        <w:ind w:left="0"/>
      </w:pPr>
      <w:r>
        <w:t>Enable budgeting, savings goals, and asset awareness.</w:t>
      </w:r>
    </w:p>
    <w:p>
      <w:pPr>
        <w:pStyle w:val="ListBullet"/>
        <w:ind w:left="0"/>
      </w:pPr>
      <w:r>
        <w:t>Support future investment and recommendation logic without forcing it into MVP complexity.</w:t>
      </w:r>
    </w:p>
    <w:p>
      <w:pPr>
        <w:pStyle w:val="Heading1"/>
      </w:pPr>
      <w:r>
        <w:t>4. MVP scope</w:t>
      </w:r>
    </w:p>
    <w:tbl>
      <w:tblPr>
        <w:tblW w:type="auto" w:w="0"/>
        <w:jc w:val="center"/>
        <w:tblLayout w:type="fixed"/>
        <w:tblLook w:firstColumn="1" w:firstRow="1" w:lastColumn="0" w:lastRow="0" w:noHBand="0" w:noVBand="1" w:val="04A0"/>
        <w:tblBorders>
          <w:top w:val="single" w:sz="6" w:space="0" w:color="E7DED4"/>
          <w:left w:val="single" w:sz="6" w:space="0" w:color="E7DED4"/>
          <w:bottom w:val="single" w:sz="6" w:space="0" w:color="E7DED4"/>
          <w:right w:val="single" w:sz="6" w:space="0" w:color="E7DED4"/>
          <w:insideH w:val="single" w:sz="6" w:space="0" w:color="E7DED4"/>
          <w:insideV w:val="single" w:sz="6" w:space="0" w:color="E7DED4"/>
        </w:tblBorders>
      </w:tblPr>
      <w:tblGrid>
        <w:gridCol w:w="1728"/>
        <w:gridCol w:w="3600"/>
        <w:gridCol w:w="4464"/>
      </w:tblGrid>
      <w:tr>
        <w:tc>
          <w:tcPr>
            <w:tcW w:type="dxa" w:w="3360"/>
            <w:shd w:fill="F6EFE7"/>
            <w:tcMar>
              <w:top w:w="90" w:type="dxa"/>
              <w:start w:w="100" w:type="dxa"/>
              <w:bottom w:w="90" w:type="dxa"/>
              <w:end w:w="100" w:type="dxa"/>
            </w:tcMar>
            <w:vAlign w:val="center"/>
          </w:tcPr>
          <w:p>
            <w:r>
              <w:rPr>
                <w:b/>
                <w:color w:val="2B2B2B"/>
                <w:sz w:val="20"/>
              </w:rPr>
              <w:t>Module</w:t>
            </w:r>
          </w:p>
        </w:tc>
        <w:tc>
          <w:tcPr>
            <w:tcW w:type="dxa" w:w="3360"/>
            <w:shd w:fill="F6EFE7"/>
            <w:tcMar>
              <w:top w:w="90" w:type="dxa"/>
              <w:start w:w="100" w:type="dxa"/>
              <w:bottom w:w="90" w:type="dxa"/>
              <w:end w:w="100" w:type="dxa"/>
            </w:tcMar>
            <w:vAlign w:val="center"/>
          </w:tcPr>
          <w:p>
            <w:r>
              <w:rPr>
                <w:b/>
                <w:color w:val="2B2B2B"/>
                <w:sz w:val="20"/>
              </w:rPr>
              <w:t>MVP capability</w:t>
            </w:r>
          </w:p>
        </w:tc>
        <w:tc>
          <w:tcPr>
            <w:tcW w:type="dxa" w:w="3360"/>
            <w:shd w:fill="F6EFE7"/>
            <w:tcMar>
              <w:top w:w="90" w:type="dxa"/>
              <w:start w:w="100" w:type="dxa"/>
              <w:bottom w:w="90" w:type="dxa"/>
              <w:end w:w="100" w:type="dxa"/>
            </w:tcMar>
            <w:vAlign w:val="center"/>
          </w:tcPr>
          <w:p>
            <w:r>
              <w:rPr>
                <w:b/>
                <w:color w:val="2B2B2B"/>
                <w:sz w:val="20"/>
              </w:rPr>
              <w:t>Notes</w:t>
            </w:r>
          </w:p>
        </w:tc>
      </w:tr>
      <w:tr>
        <w:tc>
          <w:tcPr>
            <w:tcW w:type="dxa" w:w="1728"/>
            <w:tcMar>
              <w:top w:w="90" w:type="dxa"/>
              <w:start w:w="100" w:type="dxa"/>
              <w:bottom w:w="90" w:type="dxa"/>
              <w:end w:w="100" w:type="dxa"/>
            </w:tcMar>
            <w:vAlign w:val="center"/>
          </w:tcPr>
          <w:p>
            <w:r>
              <w:rPr>
                <w:color w:val="2B2B2B"/>
                <w:sz w:val="19"/>
              </w:rPr>
              <w:t>Onboarding</w:t>
            </w:r>
          </w:p>
        </w:tc>
        <w:tc>
          <w:tcPr>
            <w:tcW w:type="dxa" w:w="3600"/>
            <w:tcMar>
              <w:top w:w="90" w:type="dxa"/>
              <w:start w:w="100" w:type="dxa"/>
              <w:bottom w:w="90" w:type="dxa"/>
              <w:end w:w="100" w:type="dxa"/>
            </w:tcMar>
            <w:vAlign w:val="center"/>
          </w:tcPr>
          <w:p>
            <w:r>
              <w:rPr>
                <w:color w:val="2B2B2B"/>
                <w:sz w:val="19"/>
              </w:rPr>
              <w:t>Consent, purpose selection, profile setup</w:t>
            </w:r>
          </w:p>
        </w:tc>
        <w:tc>
          <w:tcPr>
            <w:tcW w:type="dxa" w:w="4464"/>
            <w:tcMar>
              <w:top w:w="90" w:type="dxa"/>
              <w:start w:w="100" w:type="dxa"/>
              <w:bottom w:w="90" w:type="dxa"/>
              <w:end w:w="100" w:type="dxa"/>
            </w:tcMar>
            <w:vAlign w:val="center"/>
          </w:tcPr>
          <w:p>
            <w:r>
              <w:rPr>
                <w:color w:val="2B2B2B"/>
                <w:sz w:val="19"/>
              </w:rPr>
              <w:t>Keep it short and trust-building</w:t>
            </w:r>
          </w:p>
        </w:tc>
      </w:tr>
      <w:tr>
        <w:tc>
          <w:tcPr>
            <w:tcW w:type="dxa" w:w="1728"/>
            <w:tcMar>
              <w:top w:w="90" w:type="dxa"/>
              <w:start w:w="100" w:type="dxa"/>
              <w:bottom w:w="90" w:type="dxa"/>
              <w:end w:w="100" w:type="dxa"/>
            </w:tcMar>
            <w:vAlign w:val="center"/>
          </w:tcPr>
          <w:p>
            <w:r>
              <w:rPr>
                <w:color w:val="2B2B2B"/>
                <w:sz w:val="19"/>
              </w:rPr>
              <w:t>Home</w:t>
            </w:r>
          </w:p>
        </w:tc>
        <w:tc>
          <w:tcPr>
            <w:tcW w:type="dxa" w:w="3600"/>
            <w:tcMar>
              <w:top w:w="90" w:type="dxa"/>
              <w:start w:w="100" w:type="dxa"/>
              <w:bottom w:w="90" w:type="dxa"/>
              <w:end w:w="100" w:type="dxa"/>
            </w:tcMar>
            <w:vAlign w:val="center"/>
          </w:tcPr>
          <w:p>
            <w:r>
              <w:rPr>
                <w:color w:val="2B2B2B"/>
                <w:sz w:val="19"/>
              </w:rPr>
              <w:t>Simple personalized overview</w:t>
            </w:r>
          </w:p>
        </w:tc>
        <w:tc>
          <w:tcPr>
            <w:tcW w:type="dxa" w:w="4464"/>
            <w:tcMar>
              <w:top w:w="90" w:type="dxa"/>
              <w:start w:w="100" w:type="dxa"/>
              <w:bottom w:w="90" w:type="dxa"/>
              <w:end w:w="100" w:type="dxa"/>
            </w:tcMar>
            <w:vAlign w:val="center"/>
          </w:tcPr>
          <w:p>
            <w:r>
              <w:rPr>
                <w:color w:val="2B2B2B"/>
                <w:sz w:val="19"/>
              </w:rPr>
              <w:t>Today's spend, savings snapshot, key insights</w:t>
            </w:r>
          </w:p>
        </w:tc>
      </w:tr>
      <w:tr>
        <w:tc>
          <w:tcPr>
            <w:tcW w:type="dxa" w:w="1728"/>
            <w:tcMar>
              <w:top w:w="90" w:type="dxa"/>
              <w:start w:w="100" w:type="dxa"/>
              <w:bottom w:w="90" w:type="dxa"/>
              <w:end w:w="100" w:type="dxa"/>
            </w:tcMar>
            <w:vAlign w:val="center"/>
          </w:tcPr>
          <w:p>
            <w:r>
              <w:rPr>
                <w:color w:val="2B2B2B"/>
                <w:sz w:val="19"/>
              </w:rPr>
              <w:t>Behavior</w:t>
            </w:r>
          </w:p>
        </w:tc>
        <w:tc>
          <w:tcPr>
            <w:tcW w:type="dxa" w:w="3600"/>
            <w:tcMar>
              <w:top w:w="90" w:type="dxa"/>
              <w:start w:w="100" w:type="dxa"/>
              <w:bottom w:w="90" w:type="dxa"/>
              <w:end w:w="100" w:type="dxa"/>
            </w:tcMar>
            <w:vAlign w:val="center"/>
          </w:tcPr>
          <w:p>
            <w:r>
              <w:rPr>
                <w:color w:val="2B2B2B"/>
                <w:sz w:val="19"/>
              </w:rPr>
              <w:t>Patterns, triggers, weekly insights</w:t>
            </w:r>
          </w:p>
        </w:tc>
        <w:tc>
          <w:tcPr>
            <w:tcW w:type="dxa" w:w="4464"/>
            <w:tcMar>
              <w:top w:w="90" w:type="dxa"/>
              <w:start w:w="100" w:type="dxa"/>
              <w:bottom w:w="90" w:type="dxa"/>
              <w:end w:w="100" w:type="dxa"/>
            </w:tcMar>
            <w:vAlign w:val="center"/>
          </w:tcPr>
          <w:p>
            <w:r>
              <w:rPr>
                <w:color w:val="2B2B2B"/>
                <w:sz w:val="19"/>
              </w:rPr>
              <w:t>Use language that is calm and non-judgmental</w:t>
            </w:r>
          </w:p>
        </w:tc>
      </w:tr>
      <w:tr>
        <w:tc>
          <w:tcPr>
            <w:tcW w:type="dxa" w:w="1728"/>
            <w:tcMar>
              <w:top w:w="90" w:type="dxa"/>
              <w:start w:w="100" w:type="dxa"/>
              <w:bottom w:w="90" w:type="dxa"/>
              <w:end w:w="100" w:type="dxa"/>
            </w:tcMar>
            <w:vAlign w:val="center"/>
          </w:tcPr>
          <w:p>
            <w:r>
              <w:rPr>
                <w:color w:val="2B2B2B"/>
                <w:sz w:val="19"/>
              </w:rPr>
              <w:t>Expenses</w:t>
            </w:r>
          </w:p>
        </w:tc>
        <w:tc>
          <w:tcPr>
            <w:tcW w:type="dxa" w:w="3600"/>
            <w:tcMar>
              <w:top w:w="90" w:type="dxa"/>
              <w:start w:w="100" w:type="dxa"/>
              <w:bottom w:w="90" w:type="dxa"/>
              <w:end w:w="100" w:type="dxa"/>
            </w:tcMar>
            <w:vAlign w:val="center"/>
          </w:tcPr>
          <w:p>
            <w:r>
              <w:rPr>
                <w:color w:val="2B2B2B"/>
                <w:sz w:val="19"/>
              </w:rPr>
              <w:t>Auto tracking, categorization, history</w:t>
            </w:r>
          </w:p>
        </w:tc>
        <w:tc>
          <w:tcPr>
            <w:tcW w:type="dxa" w:w="4464"/>
            <w:tcMar>
              <w:top w:w="90" w:type="dxa"/>
              <w:start w:w="100" w:type="dxa"/>
              <w:bottom w:w="90" w:type="dxa"/>
              <w:end w:w="100" w:type="dxa"/>
            </w:tcMar>
            <w:vAlign w:val="center"/>
          </w:tcPr>
          <w:p>
            <w:r>
              <w:rPr>
                <w:color w:val="2B2B2B"/>
                <w:sz w:val="19"/>
              </w:rPr>
              <w:t>Use dummy CSV/DOC inputs in prototype</w:t>
            </w:r>
          </w:p>
        </w:tc>
      </w:tr>
      <w:tr>
        <w:tc>
          <w:tcPr>
            <w:tcW w:type="dxa" w:w="1728"/>
            <w:tcMar>
              <w:top w:w="90" w:type="dxa"/>
              <w:start w:w="100" w:type="dxa"/>
              <w:bottom w:w="90" w:type="dxa"/>
              <w:end w:w="100" w:type="dxa"/>
            </w:tcMar>
            <w:vAlign w:val="center"/>
          </w:tcPr>
          <w:p>
            <w:r>
              <w:rPr>
                <w:color w:val="2B2B2B"/>
                <w:sz w:val="19"/>
              </w:rPr>
              <w:t>Assets</w:t>
            </w:r>
          </w:p>
        </w:tc>
        <w:tc>
          <w:tcPr>
            <w:tcW w:type="dxa" w:w="3600"/>
            <w:tcMar>
              <w:top w:w="90" w:type="dxa"/>
              <w:start w:w="100" w:type="dxa"/>
              <w:bottom w:w="90" w:type="dxa"/>
              <w:end w:w="100" w:type="dxa"/>
            </w:tcMar>
            <w:vAlign w:val="center"/>
          </w:tcPr>
          <w:p>
            <w:r>
              <w:rPr>
                <w:color w:val="2B2B2B"/>
                <w:sz w:val="19"/>
              </w:rPr>
              <w:t>Savings, investments, net worth view</w:t>
            </w:r>
          </w:p>
        </w:tc>
        <w:tc>
          <w:tcPr>
            <w:tcW w:type="dxa" w:w="4464"/>
            <w:tcMar>
              <w:top w:w="90" w:type="dxa"/>
              <w:start w:w="100" w:type="dxa"/>
              <w:bottom w:w="90" w:type="dxa"/>
              <w:end w:w="100" w:type="dxa"/>
            </w:tcMar>
            <w:vAlign w:val="center"/>
          </w:tcPr>
          <w:p>
            <w:r>
              <w:rPr>
                <w:color w:val="2B2B2B"/>
                <w:sz w:val="19"/>
              </w:rPr>
              <w:t>Can start with mock balances</w:t>
            </w:r>
          </w:p>
        </w:tc>
      </w:tr>
      <w:tr>
        <w:tc>
          <w:tcPr>
            <w:tcW w:type="dxa" w:w="1728"/>
            <w:tcMar>
              <w:top w:w="90" w:type="dxa"/>
              <w:start w:w="100" w:type="dxa"/>
              <w:bottom w:w="90" w:type="dxa"/>
              <w:end w:w="100" w:type="dxa"/>
            </w:tcMar>
            <w:vAlign w:val="center"/>
          </w:tcPr>
          <w:p>
            <w:r>
              <w:rPr>
                <w:color w:val="2B2B2B"/>
                <w:sz w:val="19"/>
              </w:rPr>
              <w:t>Opportunities</w:t>
            </w:r>
          </w:p>
        </w:tc>
        <w:tc>
          <w:tcPr>
            <w:tcW w:type="dxa" w:w="3600"/>
            <w:tcMar>
              <w:top w:w="90" w:type="dxa"/>
              <w:start w:w="100" w:type="dxa"/>
              <w:bottom w:w="90" w:type="dxa"/>
              <w:end w:w="100" w:type="dxa"/>
            </w:tcMar>
            <w:vAlign w:val="center"/>
          </w:tcPr>
          <w:p>
            <w:r>
              <w:rPr>
                <w:color w:val="2B2B2B"/>
                <w:sz w:val="19"/>
              </w:rPr>
              <w:t>Next-best savings / asset ideas</w:t>
            </w:r>
          </w:p>
        </w:tc>
        <w:tc>
          <w:tcPr>
            <w:tcW w:type="dxa" w:w="4464"/>
            <w:tcMar>
              <w:top w:w="90" w:type="dxa"/>
              <w:start w:w="100" w:type="dxa"/>
              <w:bottom w:w="90" w:type="dxa"/>
              <w:end w:w="100" w:type="dxa"/>
            </w:tcMar>
            <w:vAlign w:val="center"/>
          </w:tcPr>
          <w:p>
            <w:r>
              <w:rPr>
                <w:color w:val="2B2B2B"/>
                <w:sz w:val="19"/>
              </w:rPr>
              <w:t>Rules first, ML later</w:t>
            </w:r>
          </w:p>
        </w:tc>
      </w:tr>
      <w:tr>
        <w:tc>
          <w:tcPr>
            <w:tcW w:type="dxa" w:w="1728"/>
            <w:tcMar>
              <w:top w:w="90" w:type="dxa"/>
              <w:start w:w="100" w:type="dxa"/>
              <w:bottom w:w="90" w:type="dxa"/>
              <w:end w:w="100" w:type="dxa"/>
            </w:tcMar>
            <w:vAlign w:val="center"/>
          </w:tcPr>
          <w:p>
            <w:r>
              <w:rPr>
                <w:color w:val="2B2B2B"/>
                <w:sz w:val="19"/>
              </w:rPr>
              <w:t>Budgeting and goals</w:t>
            </w:r>
          </w:p>
        </w:tc>
        <w:tc>
          <w:tcPr>
            <w:tcW w:type="dxa" w:w="3600"/>
            <w:tcMar>
              <w:top w:w="90" w:type="dxa"/>
              <w:start w:w="100" w:type="dxa"/>
              <w:bottom w:w="90" w:type="dxa"/>
              <w:end w:w="100" w:type="dxa"/>
            </w:tcMar>
            <w:vAlign w:val="center"/>
          </w:tcPr>
          <w:p>
            <w:r>
              <w:rPr>
                <w:color w:val="2B2B2B"/>
                <w:sz w:val="19"/>
              </w:rPr>
              <w:t>Budget creation, savings targets, progress</w:t>
            </w:r>
          </w:p>
        </w:tc>
        <w:tc>
          <w:tcPr>
            <w:tcW w:type="dxa" w:w="4464"/>
            <w:tcMar>
              <w:top w:w="90" w:type="dxa"/>
              <w:start w:w="100" w:type="dxa"/>
              <w:bottom w:w="90" w:type="dxa"/>
              <w:end w:w="100" w:type="dxa"/>
            </w:tcMar>
            <w:vAlign w:val="center"/>
          </w:tcPr>
          <w:p>
            <w:r>
              <w:rPr>
                <w:color w:val="2B2B2B"/>
                <w:sz w:val="19"/>
              </w:rPr>
              <w:t>Simple goal cards and nudges</w:t>
            </w:r>
          </w:p>
        </w:tc>
      </w:tr>
      <w:tr>
        <w:tc>
          <w:tcPr>
            <w:tcW w:type="dxa" w:w="1728"/>
            <w:tcMar>
              <w:top w:w="90" w:type="dxa"/>
              <w:start w:w="100" w:type="dxa"/>
              <w:bottom w:w="90" w:type="dxa"/>
              <w:end w:w="100" w:type="dxa"/>
            </w:tcMar>
            <w:vAlign w:val="center"/>
          </w:tcPr>
          <w:p>
            <w:r>
              <w:rPr>
                <w:color w:val="2B2B2B"/>
                <w:sz w:val="19"/>
              </w:rPr>
              <w:t>Ask Dekho</w:t>
            </w:r>
          </w:p>
        </w:tc>
        <w:tc>
          <w:tcPr>
            <w:tcW w:type="dxa" w:w="3600"/>
            <w:tcMar>
              <w:top w:w="90" w:type="dxa"/>
              <w:start w:w="100" w:type="dxa"/>
              <w:bottom w:w="90" w:type="dxa"/>
              <w:end w:w="100" w:type="dxa"/>
            </w:tcMar>
            <w:vAlign w:val="center"/>
          </w:tcPr>
          <w:p>
            <w:r>
              <w:rPr>
                <w:color w:val="2B2B2B"/>
                <w:sz w:val="19"/>
              </w:rPr>
              <w:t>Chatbot over user data + knowledge base</w:t>
            </w:r>
          </w:p>
        </w:tc>
        <w:tc>
          <w:tcPr>
            <w:tcW w:type="dxa" w:w="4464"/>
            <w:tcMar>
              <w:top w:w="90" w:type="dxa"/>
              <w:start w:w="100" w:type="dxa"/>
              <w:bottom w:w="90" w:type="dxa"/>
              <w:end w:w="100" w:type="dxa"/>
            </w:tcMar>
            <w:vAlign w:val="center"/>
          </w:tcPr>
          <w:p>
            <w:r>
              <w:rPr>
                <w:color w:val="2B2B2B"/>
                <w:sz w:val="19"/>
              </w:rPr>
              <w:t>Primary prototype experience</w:t>
            </w:r>
          </w:p>
        </w:tc>
      </w:tr>
    </w:tbl>
    <w:p>
      <w:pPr>
        <w:pStyle w:val="Heading1"/>
      </w:pPr>
      <w:r>
        <w:t>5. Non-goals for the prototype</w:t>
      </w:r>
    </w:p>
    <w:p>
      <w:pPr>
        <w:pStyle w:val="ListBullet"/>
        <w:ind w:left="0"/>
      </w:pPr>
      <w:r>
        <w:t>No live bank integration in the first prototype.</w:t>
      </w:r>
    </w:p>
    <w:p>
      <w:pPr>
        <w:pStyle w:val="ListBullet"/>
        <w:ind w:left="0"/>
      </w:pPr>
      <w:r>
        <w:t>No production-grade financial advice or regulated recommendation engine.</w:t>
      </w:r>
    </w:p>
    <w:p>
      <w:pPr>
        <w:pStyle w:val="ListBullet"/>
        <w:ind w:left="0"/>
      </w:pPr>
      <w:r>
        <w:t>No fine-tuned model training at the start.</w:t>
      </w:r>
    </w:p>
    <w:p>
      <w:pPr>
        <w:pStyle w:val="ListBullet"/>
        <w:ind w:left="0"/>
      </w:pPr>
      <w:r>
        <w:t>No complex multi-account aggregation until the basic chat and insight loop works.</w:t>
      </w:r>
    </w:p>
    <w:p>
      <w:pPr>
        <w:pStyle w:val="Heading1"/>
      </w:pPr>
      <w:r>
        <w:t>6. User stories</w:t>
      </w:r>
    </w:p>
    <w:p>
      <w:pPr>
        <w:pStyle w:val="ListBullet"/>
        <w:ind w:left="0"/>
      </w:pPr>
      <w:r>
        <w:t>As a user, I want to ask where I spent the most this month so I can understand my habits.</w:t>
      </w:r>
    </w:p>
    <w:p>
      <w:pPr>
        <w:pStyle w:val="ListBullet"/>
        <w:ind w:left="0"/>
      </w:pPr>
      <w:r>
        <w:t>As a user, I want to see if I can save more this month so I can set a realistic goal.</w:t>
      </w:r>
    </w:p>
    <w:p>
      <w:pPr>
        <w:pStyle w:val="ListBullet"/>
        <w:ind w:left="0"/>
      </w:pPr>
      <w:r>
        <w:t>As a user, I want the app to explain my financial patterns in simple language.</w:t>
      </w:r>
    </w:p>
    <w:p>
      <w:pPr>
        <w:pStyle w:val="ListBullet"/>
        <w:ind w:left="0"/>
      </w:pPr>
      <w:r>
        <w:t>As a user, I want suggestions that fit my current money stage instead of generic advice.</w:t>
      </w:r>
    </w:p>
    <w:p>
      <w:pPr>
        <w:pStyle w:val="Heading1"/>
      </w:pPr>
      <w:r>
        <w:t>7. Functional requirements</w:t>
      </w:r>
    </w:p>
    <w:tbl>
      <w:tblPr>
        <w:tblW w:type="auto" w:w="0"/>
        <w:jc w:val="center"/>
        <w:tblLayout w:type="fixed"/>
        <w:tblLook w:firstColumn="1" w:firstRow="1" w:lastColumn="0" w:lastRow="0" w:noHBand="0" w:noVBand="1" w:val="04A0"/>
        <w:tblBorders>
          <w:top w:val="single" w:sz="6" w:space="0" w:color="E7DED4"/>
          <w:left w:val="single" w:sz="6" w:space="0" w:color="E7DED4"/>
          <w:bottom w:val="single" w:sz="6" w:space="0" w:color="E7DED4"/>
          <w:right w:val="single" w:sz="6" w:space="0" w:color="E7DED4"/>
          <w:insideH w:val="single" w:sz="6" w:space="0" w:color="E7DED4"/>
          <w:insideV w:val="single" w:sz="6" w:space="0" w:color="E7DED4"/>
        </w:tblBorders>
      </w:tblPr>
      <w:tblGrid>
        <w:gridCol w:w="2880"/>
        <w:gridCol w:w="6912"/>
      </w:tblGrid>
      <w:tr>
        <w:tc>
          <w:tcPr>
            <w:tcW w:type="dxa" w:w="5040"/>
            <w:shd w:fill="F6EFE7"/>
            <w:tcMar>
              <w:top w:w="90" w:type="dxa"/>
              <w:start w:w="100" w:type="dxa"/>
              <w:bottom w:w="90" w:type="dxa"/>
              <w:end w:w="100" w:type="dxa"/>
            </w:tcMar>
            <w:vAlign w:val="center"/>
          </w:tcPr>
          <w:p>
            <w:r>
              <w:rPr>
                <w:b/>
                <w:color w:val="2B2B2B"/>
                <w:sz w:val="21"/>
              </w:rPr>
              <w:t>Field</w:t>
            </w:r>
          </w:p>
        </w:tc>
        <w:tc>
          <w:tcPr>
            <w:tcW w:type="dxa" w:w="5040"/>
            <w:shd w:fill="F6EFE7"/>
            <w:tcMar>
              <w:top w:w="90" w:type="dxa"/>
              <w:start w:w="100" w:type="dxa"/>
              <w:bottom w:w="90" w:type="dxa"/>
              <w:end w:w="100" w:type="dxa"/>
            </w:tcMar>
            <w:vAlign w:val="center"/>
          </w:tcPr>
          <w:p>
            <w:r>
              <w:rPr>
                <w:b/>
                <w:color w:val="2B2B2B"/>
                <w:sz w:val="21"/>
              </w:rPr>
              <w:t>Details</w:t>
            </w:r>
          </w:p>
        </w:tc>
      </w:tr>
      <w:tr>
        <w:tc>
          <w:tcPr>
            <w:tcW w:type="dxa" w:w="2880"/>
            <w:tcMar>
              <w:top w:w="90" w:type="dxa"/>
              <w:start w:w="100" w:type="dxa"/>
              <w:bottom w:w="90" w:type="dxa"/>
              <w:end w:w="100" w:type="dxa"/>
            </w:tcMar>
            <w:vAlign w:val="center"/>
          </w:tcPr>
          <w:p>
            <w:r>
              <w:rPr>
                <w:color w:val="2B2B2B"/>
                <w:sz w:val="20"/>
              </w:rPr>
              <w:t>Chat interface</w:t>
            </w:r>
          </w:p>
        </w:tc>
        <w:tc>
          <w:tcPr>
            <w:tcW w:type="dxa" w:w="6912"/>
            <w:tcMar>
              <w:top w:w="90" w:type="dxa"/>
              <w:start w:w="100" w:type="dxa"/>
              <w:bottom w:w="90" w:type="dxa"/>
              <w:end w:w="100" w:type="dxa"/>
            </w:tcMar>
            <w:vAlign w:val="center"/>
          </w:tcPr>
          <w:p>
            <w:r>
              <w:rPr>
                <w:color w:val="2B2B2B"/>
                <w:sz w:val="20"/>
              </w:rPr>
              <w:t>Users can ask finance questions in natural language and receive contextual answers.</w:t>
            </w:r>
          </w:p>
        </w:tc>
      </w:tr>
      <w:tr>
        <w:tc>
          <w:tcPr>
            <w:tcW w:type="dxa" w:w="2880"/>
            <w:tcMar>
              <w:top w:w="90" w:type="dxa"/>
              <w:start w:w="100" w:type="dxa"/>
              <w:bottom w:w="90" w:type="dxa"/>
              <w:end w:w="100" w:type="dxa"/>
            </w:tcMar>
            <w:vAlign w:val="center"/>
          </w:tcPr>
          <w:p>
            <w:r>
              <w:rPr>
                <w:color w:val="2B2B2B"/>
                <w:sz w:val="20"/>
              </w:rPr>
              <w:t>Data ingestion</w:t>
            </w:r>
          </w:p>
        </w:tc>
        <w:tc>
          <w:tcPr>
            <w:tcW w:type="dxa" w:w="6912"/>
            <w:tcMar>
              <w:top w:w="90" w:type="dxa"/>
              <w:start w:w="100" w:type="dxa"/>
              <w:bottom w:w="90" w:type="dxa"/>
              <w:end w:w="100" w:type="dxa"/>
            </w:tcMar>
            <w:vAlign w:val="center"/>
          </w:tcPr>
          <w:p>
            <w:r>
              <w:rPr>
                <w:color w:val="2B2B2B"/>
                <w:sz w:val="20"/>
              </w:rPr>
              <w:t>System can load CSV, DOC, and similar dummy datasets for transactions and profiles.</w:t>
            </w:r>
          </w:p>
        </w:tc>
      </w:tr>
      <w:tr>
        <w:tc>
          <w:tcPr>
            <w:tcW w:type="dxa" w:w="2880"/>
            <w:tcMar>
              <w:top w:w="90" w:type="dxa"/>
              <w:start w:w="100" w:type="dxa"/>
              <w:bottom w:w="90" w:type="dxa"/>
              <w:end w:w="100" w:type="dxa"/>
            </w:tcMar>
            <w:vAlign w:val="center"/>
          </w:tcPr>
          <w:p>
            <w:r>
              <w:rPr>
                <w:color w:val="2B2B2B"/>
                <w:sz w:val="20"/>
              </w:rPr>
              <w:t>Retrieval</w:t>
            </w:r>
          </w:p>
        </w:tc>
        <w:tc>
          <w:tcPr>
            <w:tcW w:type="dxa" w:w="6912"/>
            <w:tcMar>
              <w:top w:w="90" w:type="dxa"/>
              <w:start w:w="100" w:type="dxa"/>
              <w:bottom w:w="90" w:type="dxa"/>
              <w:end w:w="100" w:type="dxa"/>
            </w:tcMar>
            <w:vAlign w:val="center"/>
          </w:tcPr>
          <w:p>
            <w:r>
              <w:rPr>
                <w:color w:val="2B2B2B"/>
                <w:sz w:val="20"/>
              </w:rPr>
              <w:t>Relevant data snippets must be fetched before the model responds.</w:t>
            </w:r>
          </w:p>
        </w:tc>
      </w:tr>
      <w:tr>
        <w:tc>
          <w:tcPr>
            <w:tcW w:type="dxa" w:w="2880"/>
            <w:tcMar>
              <w:top w:w="90" w:type="dxa"/>
              <w:start w:w="100" w:type="dxa"/>
              <w:bottom w:w="90" w:type="dxa"/>
              <w:end w:w="100" w:type="dxa"/>
            </w:tcMar>
            <w:vAlign w:val="center"/>
          </w:tcPr>
          <w:p>
            <w:r>
              <w:rPr>
                <w:color w:val="2B2B2B"/>
                <w:sz w:val="20"/>
              </w:rPr>
              <w:t>Insight generation</w:t>
            </w:r>
          </w:p>
        </w:tc>
        <w:tc>
          <w:tcPr>
            <w:tcW w:type="dxa" w:w="6912"/>
            <w:tcMar>
              <w:top w:w="90" w:type="dxa"/>
              <w:start w:w="100" w:type="dxa"/>
              <w:bottom w:w="90" w:type="dxa"/>
              <w:end w:w="100" w:type="dxa"/>
            </w:tcMar>
            <w:vAlign w:val="center"/>
          </w:tcPr>
          <w:p>
            <w:r>
              <w:rPr>
                <w:color w:val="2B2B2B"/>
                <w:sz w:val="20"/>
              </w:rPr>
              <w:t>Chatbot summarizes spending, savings, and behavior patterns.</w:t>
            </w:r>
          </w:p>
        </w:tc>
      </w:tr>
      <w:tr>
        <w:tc>
          <w:tcPr>
            <w:tcW w:type="dxa" w:w="2880"/>
            <w:tcMar>
              <w:top w:w="90" w:type="dxa"/>
              <w:start w:w="100" w:type="dxa"/>
              <w:bottom w:w="90" w:type="dxa"/>
              <w:end w:w="100" w:type="dxa"/>
            </w:tcMar>
            <w:vAlign w:val="center"/>
          </w:tcPr>
          <w:p>
            <w:r>
              <w:rPr>
                <w:color w:val="2B2B2B"/>
                <w:sz w:val="20"/>
              </w:rPr>
              <w:t>Goal tracking</w:t>
            </w:r>
          </w:p>
        </w:tc>
        <w:tc>
          <w:tcPr>
            <w:tcW w:type="dxa" w:w="6912"/>
            <w:tcMar>
              <w:top w:w="90" w:type="dxa"/>
              <w:start w:w="100" w:type="dxa"/>
              <w:bottom w:w="90" w:type="dxa"/>
              <w:end w:w="100" w:type="dxa"/>
            </w:tcMar>
            <w:vAlign w:val="center"/>
          </w:tcPr>
          <w:p>
            <w:r>
              <w:rPr>
                <w:color w:val="2B2B2B"/>
                <w:sz w:val="20"/>
              </w:rPr>
              <w:t>Users can create and track savings and budgeting goals.</w:t>
            </w:r>
          </w:p>
        </w:tc>
      </w:tr>
      <w:tr>
        <w:tc>
          <w:tcPr>
            <w:tcW w:type="dxa" w:w="2880"/>
            <w:tcMar>
              <w:top w:w="90" w:type="dxa"/>
              <w:start w:w="100" w:type="dxa"/>
              <w:bottom w:w="90" w:type="dxa"/>
              <w:end w:w="100" w:type="dxa"/>
            </w:tcMar>
            <w:vAlign w:val="center"/>
          </w:tcPr>
          <w:p>
            <w:r>
              <w:rPr>
                <w:color w:val="2B2B2B"/>
                <w:sz w:val="20"/>
              </w:rPr>
              <w:t>Knowledge base answers</w:t>
            </w:r>
          </w:p>
        </w:tc>
        <w:tc>
          <w:tcPr>
            <w:tcW w:type="dxa" w:w="6912"/>
            <w:tcMar>
              <w:top w:w="90" w:type="dxa"/>
              <w:start w:w="100" w:type="dxa"/>
              <w:bottom w:w="90" w:type="dxa"/>
              <w:end w:w="100" w:type="dxa"/>
            </w:tcMar>
            <w:vAlign w:val="center"/>
          </w:tcPr>
          <w:p>
            <w:r>
              <w:rPr>
                <w:color w:val="2B2B2B"/>
                <w:sz w:val="20"/>
              </w:rPr>
              <w:t>Assistant answers general finance questions from curated content.</w:t>
            </w:r>
          </w:p>
        </w:tc>
      </w:tr>
    </w:tbl>
    <w:p>
      <w:pPr>
        <w:pStyle w:val="Heading1"/>
      </w:pPr>
      <w:r>
        <w:t>8. Data and knowledge base strategy</w:t>
      </w:r>
    </w:p>
    <w:p>
      <w:r>
        <w:rPr>
          <w:b w:val="0"/>
          <w:i w:val="0"/>
        </w:rPr>
        <w:t>For the prototype, use dummy user data plus a curated finance knowledge base. The knowledge base should be split into small, searchable chunks so the assistant can retrieve only the most relevant content.</w:t>
      </w:r>
    </w:p>
    <w:tbl>
      <w:tblPr>
        <w:tblW w:type="auto" w:w="0"/>
        <w:jc w:val="center"/>
        <w:tblLayout w:type="fixed"/>
        <w:tblLook w:firstColumn="1" w:firstRow="1" w:lastColumn="0" w:lastRow="0" w:noHBand="0" w:noVBand="1" w:val="04A0"/>
        <w:tblBorders>
          <w:top w:val="single" w:sz="6" w:space="0" w:color="E7DED4"/>
          <w:left w:val="single" w:sz="6" w:space="0" w:color="E7DED4"/>
          <w:bottom w:val="single" w:sz="6" w:space="0" w:color="E7DED4"/>
          <w:right w:val="single" w:sz="6" w:space="0" w:color="E7DED4"/>
          <w:insideH w:val="single" w:sz="6" w:space="0" w:color="E7DED4"/>
          <w:insideV w:val="single" w:sz="6" w:space="0" w:color="E7DED4"/>
        </w:tblBorders>
      </w:tblPr>
      <w:tblGrid>
        <w:gridCol w:w="2160"/>
        <w:gridCol w:w="3888"/>
        <w:gridCol w:w="3744"/>
      </w:tblGrid>
      <w:tr>
        <w:tc>
          <w:tcPr>
            <w:tcW w:type="dxa" w:w="3360"/>
            <w:shd w:fill="F6EFE7"/>
            <w:tcMar>
              <w:top w:w="90" w:type="dxa"/>
              <w:start w:w="100" w:type="dxa"/>
              <w:bottom w:w="90" w:type="dxa"/>
              <w:end w:w="100" w:type="dxa"/>
            </w:tcMar>
            <w:vAlign w:val="center"/>
          </w:tcPr>
          <w:p>
            <w:r>
              <w:rPr>
                <w:b/>
                <w:color w:val="2B2B2B"/>
                <w:sz w:val="20"/>
              </w:rPr>
              <w:t>Source type</w:t>
            </w:r>
          </w:p>
        </w:tc>
        <w:tc>
          <w:tcPr>
            <w:tcW w:type="dxa" w:w="3360"/>
            <w:shd w:fill="F6EFE7"/>
            <w:tcMar>
              <w:top w:w="90" w:type="dxa"/>
              <w:start w:w="100" w:type="dxa"/>
              <w:bottom w:w="90" w:type="dxa"/>
              <w:end w:w="100" w:type="dxa"/>
            </w:tcMar>
            <w:vAlign w:val="center"/>
          </w:tcPr>
          <w:p>
            <w:r>
              <w:rPr>
                <w:b/>
                <w:color w:val="2B2B2B"/>
                <w:sz w:val="20"/>
              </w:rPr>
              <w:t>Examples</w:t>
            </w:r>
          </w:p>
        </w:tc>
        <w:tc>
          <w:tcPr>
            <w:tcW w:type="dxa" w:w="3360"/>
            <w:shd w:fill="F6EFE7"/>
            <w:tcMar>
              <w:top w:w="90" w:type="dxa"/>
              <w:start w:w="100" w:type="dxa"/>
              <w:bottom w:w="90" w:type="dxa"/>
              <w:end w:w="100" w:type="dxa"/>
            </w:tcMar>
            <w:vAlign w:val="center"/>
          </w:tcPr>
          <w:p>
            <w:r>
              <w:rPr>
                <w:b/>
                <w:color w:val="2B2B2B"/>
                <w:sz w:val="20"/>
              </w:rPr>
              <w:t>How to use it</w:t>
            </w:r>
          </w:p>
        </w:tc>
      </w:tr>
      <w:tr>
        <w:tc>
          <w:tcPr>
            <w:tcW w:type="dxa" w:w="2160"/>
            <w:tcMar>
              <w:top w:w="90" w:type="dxa"/>
              <w:start w:w="100" w:type="dxa"/>
              <w:bottom w:w="90" w:type="dxa"/>
              <w:end w:w="100" w:type="dxa"/>
            </w:tcMar>
            <w:vAlign w:val="center"/>
          </w:tcPr>
          <w:p>
            <w:r>
              <w:rPr>
                <w:color w:val="2B2B2B"/>
                <w:sz w:val="19"/>
              </w:rPr>
              <w:t>Dummy user data</w:t>
            </w:r>
          </w:p>
        </w:tc>
        <w:tc>
          <w:tcPr>
            <w:tcW w:type="dxa" w:w="3888"/>
            <w:tcMar>
              <w:top w:w="90" w:type="dxa"/>
              <w:start w:w="100" w:type="dxa"/>
              <w:bottom w:w="90" w:type="dxa"/>
              <w:end w:w="100" w:type="dxa"/>
            </w:tcMar>
            <w:vAlign w:val="center"/>
          </w:tcPr>
          <w:p>
            <w:r>
              <w:rPr>
                <w:color w:val="2B2B2B"/>
                <w:sz w:val="19"/>
              </w:rPr>
              <w:t>CSV transaction files, sample bank statements, mock goals</w:t>
            </w:r>
          </w:p>
        </w:tc>
        <w:tc>
          <w:tcPr>
            <w:tcW w:type="dxa" w:w="3744"/>
            <w:tcMar>
              <w:top w:w="90" w:type="dxa"/>
              <w:start w:w="100" w:type="dxa"/>
              <w:bottom w:w="90" w:type="dxa"/>
              <w:end w:w="100" w:type="dxa"/>
            </w:tcMar>
            <w:vAlign w:val="center"/>
          </w:tcPr>
          <w:p>
            <w:r>
              <w:rPr>
                <w:color w:val="2B2B2B"/>
                <w:sz w:val="19"/>
              </w:rPr>
              <w:t>Used for chat answers, summaries, and behavior insights</w:t>
            </w:r>
          </w:p>
        </w:tc>
      </w:tr>
      <w:tr>
        <w:tc>
          <w:tcPr>
            <w:tcW w:type="dxa" w:w="2160"/>
            <w:tcMar>
              <w:top w:w="90" w:type="dxa"/>
              <w:start w:w="100" w:type="dxa"/>
              <w:bottom w:w="90" w:type="dxa"/>
              <w:end w:w="100" w:type="dxa"/>
            </w:tcMar>
            <w:vAlign w:val="center"/>
          </w:tcPr>
          <w:p>
            <w:r>
              <w:rPr>
                <w:color w:val="2B2B2B"/>
                <w:sz w:val="19"/>
              </w:rPr>
              <w:t>Personal finance knowledge</w:t>
            </w:r>
          </w:p>
        </w:tc>
        <w:tc>
          <w:tcPr>
            <w:tcW w:type="dxa" w:w="3888"/>
            <w:tcMar>
              <w:top w:w="90" w:type="dxa"/>
              <w:start w:w="100" w:type="dxa"/>
              <w:bottom w:w="90" w:type="dxa"/>
              <w:end w:w="100" w:type="dxa"/>
            </w:tcMar>
            <w:vAlign w:val="center"/>
          </w:tcPr>
          <w:p>
            <w:r>
              <w:rPr>
                <w:color w:val="2B2B2B"/>
                <w:sz w:val="19"/>
              </w:rPr>
              <w:t>Budgeting basics, debt guidance, saving rules, tax basics</w:t>
            </w:r>
          </w:p>
        </w:tc>
        <w:tc>
          <w:tcPr>
            <w:tcW w:type="dxa" w:w="3744"/>
            <w:tcMar>
              <w:top w:w="90" w:type="dxa"/>
              <w:start w:w="100" w:type="dxa"/>
              <w:bottom w:w="90" w:type="dxa"/>
              <w:end w:w="100" w:type="dxa"/>
            </w:tcMar>
            <w:vAlign w:val="center"/>
          </w:tcPr>
          <w:p>
            <w:r>
              <w:rPr>
                <w:color w:val="2B2B2B"/>
                <w:sz w:val="19"/>
              </w:rPr>
              <w:t>Used for general assistant explanations</w:t>
            </w:r>
          </w:p>
        </w:tc>
      </w:tr>
      <w:tr>
        <w:tc>
          <w:tcPr>
            <w:tcW w:type="dxa" w:w="2160"/>
            <w:tcMar>
              <w:top w:w="90" w:type="dxa"/>
              <w:start w:w="100" w:type="dxa"/>
              <w:bottom w:w="90" w:type="dxa"/>
              <w:end w:w="100" w:type="dxa"/>
            </w:tcMar>
            <w:vAlign w:val="center"/>
          </w:tcPr>
          <w:p>
            <w:r>
              <w:rPr>
                <w:color w:val="2B2B2B"/>
                <w:sz w:val="19"/>
              </w:rPr>
              <w:t>India finance references</w:t>
            </w:r>
          </w:p>
        </w:tc>
        <w:tc>
          <w:tcPr>
            <w:tcW w:type="dxa" w:w="3888"/>
            <w:tcMar>
              <w:top w:w="90" w:type="dxa"/>
              <w:start w:w="100" w:type="dxa"/>
              <w:bottom w:w="90" w:type="dxa"/>
              <w:end w:w="100" w:type="dxa"/>
            </w:tcMar>
            <w:vAlign w:val="center"/>
          </w:tcPr>
          <w:p>
            <w:r>
              <w:rPr>
                <w:color w:val="2B2B2B"/>
                <w:sz w:val="19"/>
              </w:rPr>
              <w:t>RBI DBIE, DFS / Account Aggregator pages, government finance pages</w:t>
            </w:r>
          </w:p>
        </w:tc>
        <w:tc>
          <w:tcPr>
            <w:tcW w:type="dxa" w:w="3744"/>
            <w:tcMar>
              <w:top w:w="90" w:type="dxa"/>
              <w:start w:w="100" w:type="dxa"/>
              <w:bottom w:w="90" w:type="dxa"/>
              <w:end w:w="100" w:type="dxa"/>
            </w:tcMar>
            <w:vAlign w:val="center"/>
          </w:tcPr>
          <w:p>
            <w:r>
              <w:rPr>
                <w:color w:val="2B2B2B"/>
                <w:sz w:val="19"/>
              </w:rPr>
              <w:t>Used for country-specific context and terminology</w:t>
            </w:r>
          </w:p>
        </w:tc>
      </w:tr>
    </w:tbl>
    <w:p>
      <w:r>
        <w:rPr>
          <w:b w:val="0"/>
          <w:i w:val="0"/>
        </w:rPr>
        <w:t>Recommended approach: create a small content library first, then add more topics only after retrieval quality is acceptable.</w:t>
      </w:r>
    </w:p>
    <w:p>
      <w:pPr>
        <w:pStyle w:val="Heading1"/>
      </w:pPr>
      <w:r>
        <w:t>9. Success metrics</w:t>
      </w:r>
    </w:p>
    <w:p>
      <w:pPr>
        <w:pStyle w:val="ListBullet"/>
        <w:ind w:left="0"/>
      </w:pPr>
      <w:r>
        <w:t>Users can complete common questions without leaving the chatbot.</w:t>
      </w:r>
    </w:p>
    <w:p>
      <w:pPr>
        <w:pStyle w:val="ListBullet"/>
        <w:ind w:left="0"/>
      </w:pPr>
      <w:r>
        <w:t>The chatbot answers from the provided data and knowledge base instead of hallucinating often.</w:t>
      </w:r>
    </w:p>
    <w:p>
      <w:pPr>
        <w:pStyle w:val="ListBullet"/>
        <w:ind w:left="0"/>
      </w:pPr>
      <w:r>
        <w:t>Users understand their spending pattern after seeing the behavior summary.</w:t>
      </w:r>
    </w:p>
    <w:p>
      <w:pPr>
        <w:pStyle w:val="ListBullet"/>
        <w:ind w:left="0"/>
      </w:pPr>
      <w:r>
        <w:t>Goal creation and progress tracking are easy to complete in under a minute.</w:t>
      </w:r>
    </w:p>
    <w:p>
      <w:pPr>
        <w:pStyle w:val="Heading1"/>
      </w:pPr>
      <w:r>
        <w:t>10. Risks and guardrails</w:t>
      </w:r>
    </w:p>
    <w:p>
      <w:pPr>
        <w:pStyle w:val="ListBullet"/>
        <w:ind w:left="0"/>
      </w:pPr>
      <w:r>
        <w:t>Risk of incorrect finance advice - use disclaimers and source grounding.</w:t>
      </w:r>
    </w:p>
    <w:p>
      <w:pPr>
        <w:pStyle w:val="ListBullet"/>
        <w:ind w:left="0"/>
      </w:pPr>
      <w:r>
        <w:t>Risk of privacy issues - keep all sample data synthetic for prototype testing.</w:t>
      </w:r>
    </w:p>
    <w:p>
      <w:pPr>
        <w:pStyle w:val="ListBullet"/>
        <w:ind w:left="0"/>
      </w:pPr>
      <w:r>
        <w:t>Risk of vague responses - enforce retrieval before generation.</w:t>
      </w:r>
    </w:p>
    <w:p>
      <w:pPr>
        <w:pStyle w:val="ListBullet"/>
        <w:ind w:left="0"/>
      </w:pPr>
      <w:r>
        <w:t>Risk of overbuilding - keep MVP limited to the core user journey.</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057"/>
        <w:sz w:val="17"/>
      </w:rPr>
      <w:t>Dekho prototype package</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6057"/>
        <w:sz w:val="17"/>
      </w:rPr>
      <w:t>Dekho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B2B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2B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B2B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B2B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B6057"/>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