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Lato" w:cs="Lato" w:eastAsia="Lato" w:hAnsi="Lato"/>
          <w:b/>
          <w:bCs/>
          <w:color w:val="1D4ED8"/>
          <w:sz w:val="26"/>
          <w:szCs w:val="26"/>
        </w:rPr>
        <w:t xml:space="preserve">ZYLKER BUDGET APPROVAL</w:t>
      </w:r>
    </w:p>
    <w:p>
      <w:pPr>
        <w:spacing w:after="300"/>
        <w:jc w:val="center"/>
      </w:pPr>
      <w:r>
        <w:rPr>
          <w:rFonts w:ascii="Lato" w:cs="Lato" w:eastAsia="Lato" w:hAnsi="Lato"/>
          <w:b/>
          <w:bCs/>
          <w:color w:val="1A1F36"/>
          <w:sz w:val="40"/>
          <w:szCs w:val="40"/>
        </w:rPr>
        <w:t xml:space="preserve">Spend Request &amp; Approval Governance</w:t>
      </w:r>
    </w:p>
    <w:p>
      <w:pPr>
        <w:spacing w:after="40"/>
        <w:jc w:val="center"/>
      </w:pPr>
      <w:r>
        <w:rPr>
          <w:rFonts w:ascii="Lato" w:cs="Lato" w:eastAsia="Lato" w:hAnsi="Lato"/>
          <w:color w:val="475467"/>
          <w:sz w:val="24"/>
          <w:szCs w:val="24"/>
        </w:rPr>
        <w:t xml:space="preserve">Business Requirements Document &amp; Sample Data Reference</w:t>
      </w:r>
    </w:p>
    <w:p>
      <w:pPr>
        <w:spacing w:after="40" w:before="700"/>
        <w:jc w:val="center"/>
      </w:pPr>
      <w:r>
        <w:rPr>
          <w:rFonts w:ascii="Lato" w:cs="Lato" w:eastAsia="Lato" w:hAnsi="Lato"/>
          <w:color w:val="475467"/>
          <w:sz w:val="18"/>
          <w:szCs w:val="18"/>
        </w:rPr>
        <w:t xml:space="preserve">Version 4.0  ·  Confidential — Internal Circulation Only</w:t>
      </w:r>
    </w:p>
    <w:p>
      <w:pPr>
        <w:spacing w:after="40"/>
        <w:jc w:val="center"/>
      </w:pPr>
      <w:r>
        <w:rPr>
          <w:rFonts w:ascii="Lato" w:cs="Lato" w:eastAsia="Lato" w:hAnsi="Lato"/>
          <w:color w:val="475467"/>
          <w:sz w:val="18"/>
          <w:szCs w:val="18"/>
        </w:rPr>
        <w:t xml:space="preserve">Document Owner: Rockstar  ·  Platform: Web  ·  Built on Zoho Creator</w:t>
      </w:r>
    </w:p>
    <w:p>
      <w:pPr>
        <w:spacing w:after="40"/>
        <w:jc w:val="center"/>
      </w:pPr>
      <w:r>
        <w:rPr>
          <w:rFonts w:ascii="Lato" w:cs="Lato" w:eastAsia="Lato" w:hAnsi="Lato"/>
          <w:color w:val="475467"/>
          <w:sz w:val="18"/>
          <w:szCs w:val="18"/>
        </w:rPr>
        <w:t xml:space="preserve">Sample Data Viewed as of: 15 Sep 2026  ·  Currency: USD</w:t>
      </w:r>
    </w:p>
    <w:p>
      <w:pPr>
        <w:spacing w:after="300"/>
      </w:pPr>
    </w:p>
    <w:p>
      <w:pPr>
        <w:spacing w:after="40"/>
        <w:jc w:val="center"/>
      </w:pPr>
      <w:r>
        <w:rPr>
          <w:rFonts w:ascii="Lato" w:cs="Lato" w:eastAsia="Lato" w:hAnsi="Lato"/>
          <w:b/>
          <w:bCs/>
          <w:color w:val="1D4ED8"/>
          <w:sz w:val="20"/>
          <w:szCs w:val="20"/>
        </w:rPr>
        <w:t xml:space="preserve">Part I — Business Requirements Document</w:t>
      </w:r>
    </w:p>
    <w:p>
      <w:pPr>
        <w:spacing w:after="40"/>
        <w:jc w:val="center"/>
      </w:pPr>
      <w:r>
        <w:rPr>
          <w:rFonts w:ascii="Lato" w:cs="Lato" w:eastAsia="Lato" w:hAnsi="Lato"/>
          <w:b/>
          <w:bCs/>
          <w:color w:val="1D4ED8"/>
          <w:sz w:val="20"/>
          <w:szCs w:val="20"/>
        </w:rPr>
        <w:t xml:space="preserve">Part II — Sample Data Reference</w:t>
      </w:r>
    </w:p>
    <w:p>
      <w:r>
        <w:br w:type="page"/>
      </w:r>
    </w:p>
    <w:p>
      <w:pPr>
        <w:pStyle w:val="Heading1"/>
        <w:pBdr>
          <w:top w:val="single" w:color="1D4ED8" w:sz="16" w:space="8"/>
          <w:bottom w:val="single" w:color="1D4ED8" w:sz="16" w:space="8"/>
        </w:pBdr>
        <w:spacing w:after="220" w:before="200"/>
        <w:jc w:val="center"/>
      </w:pPr>
      <w:r>
        <w:rPr>
          <w:rFonts w:ascii="Lato" w:cs="Lato" w:eastAsia="Lato" w:hAnsi="Lato"/>
          <w:b/>
          <w:bCs/>
          <w:color w:val="1D4ED8"/>
          <w:sz w:val="34"/>
          <w:szCs w:val="34"/>
        </w:rPr>
        <w:t xml:space="preserve">PART I — BUSINESS REQUIREMENTS DOCUMENT</w:t>
      </w:r>
    </w:p>
    <w:p>
      <w:pPr>
        <w:pStyle w:val="Heading1"/>
        <w:pBdr>
          <w:bottom w:val="single" w:color="1D4ED8" w:sz="8" w:space="4"/>
        </w:pBdr>
        <w:spacing w:after="160" w:before="360"/>
      </w:pPr>
      <w:r>
        <w:rPr>
          <w:rFonts w:ascii="Lato" w:cs="Lato" w:eastAsia="Lato" w:hAnsi="Lato"/>
          <w:b/>
          <w:bCs/>
          <w:color w:val="1A1F36"/>
          <w:sz w:val="30"/>
          <w:szCs w:val="30"/>
        </w:rPr>
        <w:t xml:space="preserve">1. Document Overview</w:t>
      </w:r>
    </w:p>
    <w:p>
      <w:pPr>
        <w:spacing w:after="140" w:line="300"/>
      </w:pPr>
      <w:r>
        <w:rPr>
          <w:rFonts w:ascii="Lato" w:cs="Lato" w:eastAsia="Lato" w:hAnsi="Lato"/>
          <w:color w:val="475467"/>
          <w:sz w:val="21"/>
          <w:szCs w:val="21"/>
        </w:rPr>
        <w:t xml:space="preserve">This document defines the business and functional requirements for Zylker Budget Approval — a Zoho Creator-built application for manufacturing spend governance. It handles spend request intake, automated multi-level approval routing, and consolidated dashboard reporting.</w:t>
      </w:r>
    </w:p>
    <w:p>
      <w:pPr>
        <w:spacing w:after="140" w:line="300"/>
      </w:pPr>
      <w:r>
        <w:rPr>
          <w:rFonts w:ascii="Lato" w:cs="Lato" w:eastAsia="Lato" w:hAnsi="Lato"/>
          <w:color w:val="475467"/>
          <w:sz w:val="21"/>
          <w:szCs w:val="21"/>
        </w:rPr>
        <w:t xml:space="preserve">The app is designed to connect seamlessly with popular enterprise core systems such as SAP and Oracle, using built-in connectors, OData, or APIs, for actual budget validation and postings — but it does not require or assume any specific core system to function on its own.</w:t>
      </w:r>
    </w:p>
    <w:tbl>
      <w:tblPr>
        <w:tblW w:type="dxa" w:w="10240"/>
        <w:tblBorders>
          <w:top w:val="single" w:color="1D4ED8" w:sz="12"/>
          <w:left w:val="single" w:color="1D4ED8" w:sz="12"/>
          <w:bottom w:val="single" w:color="1D4ED8" w:sz="12"/>
          <w:right w:val="single" w:color="1D4ED8" w:sz="12"/>
          <w:insideH w:val="none"/>
          <w:insideV w:val="none"/>
        </w:tblBorders>
      </w:tblPr>
      <w:tblGrid>
        <w:gridCol w:w="10240"/>
      </w:tblGrid>
      <w:tr>
        <w:tc>
          <w:tcPr>
            <w:shd w:fill="EAF1FE" w:val="clear"/>
            <w:tcMar>
              <w:top w:type="dxa" w:w="160"/>
              <w:left w:type="dxa" w:w="200"/>
              <w:bottom w:type="dxa" w:w="160"/>
              <w:right w:type="dxa" w:w="200"/>
            </w:tcMar>
          </w:tcPr>
          <w:p>
            <w:pPr>
              <w:spacing w:after="60"/>
            </w:pPr>
            <w:r>
              <w:rPr>
                <w:rFonts w:ascii="Lato" w:cs="Lato" w:eastAsia="Lato" w:hAnsi="Lato"/>
                <w:b/>
                <w:bCs/>
                <w:color w:val="1D4ED8"/>
                <w:sz w:val="19"/>
                <w:szCs w:val="19"/>
              </w:rPr>
              <w:t xml:space="preserve">MANDATORY — SAMPLE DATA GOVERNANCE</w:t>
            </w:r>
          </w:p>
          <w:p>
            <w:r>
              <w:rPr>
                <w:rFonts w:ascii="Lato" w:cs="Lato" w:eastAsia="Lato" w:hAnsi="Lato"/>
                <w:color w:val="1A1F36"/>
                <w:sz w:val="19"/>
                <w:szCs w:val="19"/>
              </w:rPr>
              <w:t xml:space="preserve">All screens built for Zylker Budget Approval must strictly source their sample/mock data from Part II — Sample Data Reference of this document. No ad-hoc, invented, or placeholder data may be substituted during screen design — every stat card, table row, and queue entry shown on a screen must trace back to an entry in Part II.</w:t>
            </w:r>
          </w:p>
        </w:tc>
      </w:tr>
    </w:tbl>
    <w:p>
      <w:pPr>
        <w:spacing w:after="160"/>
      </w:pP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3413"/>
        <w:gridCol w:w="6827"/>
      </w:tblGrid>
      <w:tr>
        <w:tc>
          <w:tcPr>
            <w:tcW w:type="dxa" w:w="3413"/>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6827"/>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Detail</w:t>
            </w:r>
          </w:p>
        </w:tc>
      </w:tr>
      <w:tr>
        <w:tc>
          <w:tcPr>
            <w:tcW w:type="dxa" w:w="341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Application Name</w:t>
            </w:r>
          </w:p>
        </w:tc>
        <w:tc>
          <w:tcPr>
            <w:tcW w:type="dxa" w:w="682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Zylker Budget Approval</w:t>
            </w:r>
          </w:p>
        </w:tc>
      </w:tr>
      <w:tr>
        <w:tc>
          <w:tcPr>
            <w:tcW w:type="dxa" w:w="341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Category</w:t>
            </w:r>
          </w:p>
        </w:tc>
        <w:tc>
          <w:tcPr>
            <w:tcW w:type="dxa" w:w="682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Spend Request Intake &amp; Multi-Level Approval Governance</w:t>
            </w:r>
          </w:p>
        </w:tc>
      </w:tr>
      <w:tr>
        <w:tc>
          <w:tcPr>
            <w:tcW w:type="dxa" w:w="341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Platform Scope</w:t>
            </w:r>
          </w:p>
        </w:tc>
        <w:tc>
          <w:tcPr>
            <w:tcW w:type="dxa" w:w="682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Web only</w:t>
            </w:r>
          </w:p>
        </w:tc>
      </w:tr>
      <w:tr>
        <w:tc>
          <w:tcPr>
            <w:tcW w:type="dxa" w:w="341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Built On</w:t>
            </w:r>
          </w:p>
        </w:tc>
        <w:tc>
          <w:tcPr>
            <w:tcW w:type="dxa" w:w="682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Zoho Creator</w:t>
            </w:r>
          </w:p>
        </w:tc>
      </w:tr>
      <w:tr>
        <w:tc>
          <w:tcPr>
            <w:tcW w:type="dxa" w:w="341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Industry Context</w:t>
            </w:r>
          </w:p>
        </w:tc>
        <w:tc>
          <w:tcPr>
            <w:tcW w:type="dxa" w:w="682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Manufacturing (Global)</w:t>
            </w:r>
          </w:p>
        </w:tc>
      </w:tr>
      <w:tr>
        <w:tc>
          <w:tcPr>
            <w:tcW w:type="dxa" w:w="341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Organizational Scale</w:t>
            </w:r>
          </w:p>
        </w:tc>
        <w:tc>
          <w:tcPr>
            <w:tcW w:type="dxa" w:w="682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Single company, multiple plant departments, globally distributed workforce</w:t>
            </w:r>
          </w:p>
        </w:tc>
      </w:tr>
      <w:tr>
        <w:tc>
          <w:tcPr>
            <w:tcW w:type="dxa" w:w="341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Currency</w:t>
            </w:r>
          </w:p>
        </w:tc>
        <w:tc>
          <w:tcPr>
            <w:tcW w:type="dxa" w:w="682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USD ($)</w:t>
            </w:r>
          </w:p>
        </w:tc>
      </w:tr>
      <w:tr>
        <w:tc>
          <w:tcPr>
            <w:tcW w:type="dxa" w:w="341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Core System Interoperability</w:t>
            </w:r>
          </w:p>
        </w:tc>
        <w:tc>
          <w:tcPr>
            <w:tcW w:type="dxa" w:w="682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Connects with ERP systems such as SAP or Oracle via connectors, OData, or APIs for downstream validation and postings</w:t>
            </w:r>
          </w:p>
        </w:tc>
      </w:tr>
      <w:tr>
        <w:tc>
          <w:tcPr>
            <w:tcW w:type="dxa" w:w="341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Depth</w:t>
            </w:r>
          </w:p>
        </w:tc>
        <w:tc>
          <w:tcPr>
            <w:tcW w:type="dxa" w:w="682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Tier-based — Auto-Approved, 2-Person (RM + Finance), or 3-Person (RM + Dept Head + Finance)</w:t>
            </w:r>
          </w:p>
        </w:tc>
      </w:tr>
    </w:tbl>
    <w:p>
      <w:pPr>
        <w:pStyle w:val="Heading1"/>
        <w:pBdr>
          <w:bottom w:val="single" w:color="1D4ED8" w:sz="8" w:space="4"/>
        </w:pBdr>
        <w:spacing w:after="160" w:before="360"/>
      </w:pPr>
      <w:r>
        <w:rPr>
          <w:rFonts w:ascii="Lato" w:cs="Lato" w:eastAsia="Lato" w:hAnsi="Lato"/>
          <w:b/>
          <w:bCs/>
          <w:color w:val="1A1F36"/>
          <w:sz w:val="30"/>
          <w:szCs w:val="30"/>
        </w:rPr>
        <w:t xml:space="preserve">2. Purpose &amp; Business Objectives</w:t>
      </w:r>
    </w:p>
    <w:p>
      <w:pPr>
        <w:spacing w:after="140" w:line="300"/>
      </w:pPr>
      <w:r>
        <w:rPr>
          <w:rFonts w:ascii="Lato" w:cs="Lato" w:eastAsia="Lato" w:hAnsi="Lato"/>
          <w:color w:val="475467"/>
          <w:sz w:val="21"/>
          <w:szCs w:val="21"/>
        </w:rPr>
        <w:t xml:space="preserve">Manufacturing plants raise capital and operational spend requests constantly — from routine spares to major equipment. Without a structured intake and approval layer, low-value requests bottleneck at the same approval depth as high-value ones, and there is no shared visibility into where a request stands.</w:t>
      </w:r>
    </w:p>
    <w:p>
      <w:pPr>
        <w:pStyle w:val="Heading2"/>
        <w:spacing w:after="120" w:before="280"/>
      </w:pPr>
      <w:r>
        <w:rPr>
          <w:rFonts w:ascii="Lato" w:cs="Lato" w:eastAsia="Lato" w:hAnsi="Lato"/>
          <w:b/>
          <w:bCs/>
          <w:color w:val="1D4ED8"/>
          <w:sz w:val="24"/>
          <w:szCs w:val="24"/>
        </w:rPr>
        <w:t xml:space="preserve">2.1 Objectives</w:t>
      </w:r>
    </w:p>
    <w:p>
      <w:pPr>
        <w:pStyle w:val="ListParagraph"/>
        <w:numPr>
          <w:ilvl w:val="0"/>
          <w:numId w:val="2"/>
        </w:numPr>
        <w:spacing w:after="60" w:line="280"/>
      </w:pPr>
      <w:r>
        <w:rPr>
          <w:rFonts w:ascii="Lato" w:cs="Lato" w:eastAsia="Lato" w:hAnsi="Lato"/>
          <w:color w:val="475467"/>
          <w:sz w:val="21"/>
          <w:szCs w:val="21"/>
        </w:rPr>
        <w:t xml:space="preserve">Frictionless Intake — give employees a fast way to raise a spend request without any manual budget bookkeeping.</w:t>
      </w:r>
    </w:p>
    <w:p>
      <w:pPr>
        <w:pStyle w:val="ListParagraph"/>
        <w:numPr>
          <w:ilvl w:val="0"/>
          <w:numId w:val="2"/>
        </w:numPr>
        <w:spacing w:after="60" w:line="280"/>
      </w:pPr>
      <w:r>
        <w:rPr>
          <w:rFonts w:ascii="Lato" w:cs="Lato" w:eastAsia="Lato" w:hAnsi="Lato"/>
          <w:color w:val="475467"/>
          <w:sz w:val="21"/>
          <w:szCs w:val="21"/>
        </w:rPr>
        <w:t xml:space="preserve">Proportionate Governance — route each request through only as much approval as its value warrants, using fixed thresholds.</w:t>
      </w:r>
    </w:p>
    <w:p>
      <w:pPr>
        <w:pStyle w:val="ListParagraph"/>
        <w:numPr>
          <w:ilvl w:val="0"/>
          <w:numId w:val="2"/>
        </w:numPr>
        <w:spacing w:after="60" w:line="280"/>
      </w:pPr>
      <w:r>
        <w:rPr>
          <w:rFonts w:ascii="Lato" w:cs="Lato" w:eastAsia="Lato" w:hAnsi="Lato"/>
          <w:color w:val="475467"/>
          <w:sz w:val="21"/>
          <w:szCs w:val="21"/>
        </w:rPr>
        <w:t xml:space="preserve">Interoperability — connect cleanly with core ERP systems like SAP or Oracle via standard connectors, OData, or APIs, without owning their data.</w:t>
      </w:r>
    </w:p>
    <w:p>
      <w:pPr>
        <w:pStyle w:val="ListParagraph"/>
        <w:numPr>
          <w:ilvl w:val="0"/>
          <w:numId w:val="2"/>
        </w:numPr>
        <w:spacing w:after="60" w:line="280"/>
      </w:pPr>
      <w:r>
        <w:rPr>
          <w:rFonts w:ascii="Lato" w:cs="Lato" w:eastAsia="Lato" w:hAnsi="Lato"/>
          <w:color w:val="475467"/>
          <w:sz w:val="21"/>
          <w:szCs w:val="21"/>
        </w:rPr>
        <w:t xml:space="preserve">Shared Visibility — give requesters, approvers, and leadership a single dashboard view of spend activity.</w:t>
      </w:r>
    </w:p>
    <w:p>
      <w:pPr>
        <w:pStyle w:val="Heading1"/>
        <w:pBdr>
          <w:bottom w:val="single" w:color="1D4ED8" w:sz="8" w:space="4"/>
        </w:pBdr>
        <w:spacing w:after="160" w:before="360"/>
      </w:pPr>
      <w:r>
        <w:rPr>
          <w:rFonts w:ascii="Lato" w:cs="Lato" w:eastAsia="Lato" w:hAnsi="Lato"/>
          <w:b/>
          <w:bCs/>
          <w:color w:val="1A1F36"/>
          <w:sz w:val="30"/>
          <w:szCs w:val="30"/>
        </w:rPr>
        <w:t xml:space="preserve">3. Scope</w:t>
      </w:r>
    </w:p>
    <w:p>
      <w:pPr>
        <w:pStyle w:val="Heading2"/>
        <w:spacing w:after="120" w:before="280"/>
      </w:pPr>
      <w:r>
        <w:rPr>
          <w:rFonts w:ascii="Lato" w:cs="Lato" w:eastAsia="Lato" w:hAnsi="Lato"/>
          <w:b/>
          <w:bCs/>
          <w:color w:val="1D4ED8"/>
          <w:sz w:val="24"/>
          <w:szCs w:val="24"/>
        </w:rPr>
        <w:t xml:space="preserve">3.1 In Scope</w:t>
      </w:r>
    </w:p>
    <w:p>
      <w:pPr>
        <w:pStyle w:val="ListParagraph"/>
        <w:numPr>
          <w:ilvl w:val="0"/>
          <w:numId w:val="2"/>
        </w:numPr>
        <w:spacing w:after="60" w:line="280"/>
      </w:pPr>
      <w:r>
        <w:rPr>
          <w:rFonts w:ascii="Lato" w:cs="Lato" w:eastAsia="Lato" w:hAnsi="Lato"/>
          <w:color w:val="475467"/>
          <w:sz w:val="21"/>
          <w:szCs w:val="21"/>
        </w:rPr>
        <w:t xml:space="preserve">Spend request intake with item, cost, and justification capture.</w:t>
      </w:r>
    </w:p>
    <w:p>
      <w:pPr>
        <w:pStyle w:val="ListParagraph"/>
        <w:numPr>
          <w:ilvl w:val="0"/>
          <w:numId w:val="2"/>
        </w:numPr>
        <w:spacing w:after="60" w:line="280"/>
      </w:pPr>
      <w:r>
        <w:rPr>
          <w:rFonts w:ascii="Lato" w:cs="Lato" w:eastAsia="Lato" w:hAnsi="Lato"/>
          <w:color w:val="475467"/>
          <w:sz w:val="21"/>
          <w:szCs w:val="21"/>
        </w:rPr>
        <w:t xml:space="preserve">Approval Tier-based routing across three approval levels.</w:t>
      </w:r>
    </w:p>
    <w:p>
      <w:pPr>
        <w:pStyle w:val="ListParagraph"/>
        <w:numPr>
          <w:ilvl w:val="0"/>
          <w:numId w:val="2"/>
        </w:numPr>
        <w:spacing w:after="60" w:line="280"/>
      </w:pPr>
      <w:r>
        <w:rPr>
          <w:rFonts w:ascii="Lato" w:cs="Lato" w:eastAsia="Lato" w:hAnsi="Lato"/>
          <w:color w:val="475467"/>
          <w:sz w:val="21"/>
          <w:szCs w:val="21"/>
        </w:rPr>
        <w:t xml:space="preserve">A consolidated dashboard of request volume, approval status, and spend visibility.</w:t>
      </w:r>
    </w:p>
    <w:p>
      <w:pPr>
        <w:pStyle w:val="Heading2"/>
        <w:spacing w:after="120" w:before="280"/>
      </w:pPr>
      <w:r>
        <w:rPr>
          <w:rFonts w:ascii="Lato" w:cs="Lato" w:eastAsia="Lato" w:hAnsi="Lato"/>
          <w:b/>
          <w:bCs/>
          <w:color w:val="1D4ED8"/>
          <w:sz w:val="24"/>
          <w:szCs w:val="24"/>
        </w:rPr>
        <w:t xml:space="preserve">3.2 Out of Scope</w:t>
      </w:r>
    </w:p>
    <w:p>
      <w:pPr>
        <w:pStyle w:val="ListParagraph"/>
        <w:numPr>
          <w:ilvl w:val="0"/>
          <w:numId w:val="2"/>
        </w:numPr>
        <w:spacing w:after="60" w:line="280"/>
      </w:pPr>
      <w:r>
        <w:rPr>
          <w:rFonts w:ascii="Lato" w:cs="Lato" w:eastAsia="Lato" w:hAnsi="Lato"/>
          <w:color w:val="475467"/>
          <w:sz w:val="21"/>
          <w:szCs w:val="21"/>
        </w:rPr>
        <w:t xml:space="preserve">Budget planning, allocation, or cost-center setup — owned by the organization's core ERP system.</w:t>
      </w:r>
    </w:p>
    <w:p>
      <w:pPr>
        <w:pStyle w:val="ListParagraph"/>
        <w:numPr>
          <w:ilvl w:val="0"/>
          <w:numId w:val="2"/>
        </w:numPr>
        <w:spacing w:after="60" w:line="280"/>
      </w:pPr>
      <w:r>
        <w:rPr>
          <w:rFonts w:ascii="Lato" w:cs="Lato" w:eastAsia="Lato" w:hAnsi="Lato"/>
          <w:color w:val="475467"/>
          <w:sz w:val="21"/>
          <w:szCs w:val="21"/>
        </w:rPr>
        <w:t xml:space="preserve">Any financial postings, GL entries, or asset capitalization — performed within the core ERP system, not this app.</w:t>
      </w:r>
    </w:p>
    <w:p>
      <w:pPr>
        <w:pStyle w:val="ListParagraph"/>
        <w:numPr>
          <w:ilvl w:val="0"/>
          <w:numId w:val="2"/>
        </w:numPr>
        <w:spacing w:after="60" w:line="280"/>
      </w:pPr>
      <w:r>
        <w:rPr>
          <w:rFonts w:ascii="Lato" w:cs="Lato" w:eastAsia="Lato" w:hAnsi="Lato"/>
          <w:color w:val="475467"/>
          <w:sz w:val="21"/>
          <w:szCs w:val="21"/>
        </w:rPr>
        <w:t xml:space="preserve">Mobile application screens — this release is web-only.</w:t>
      </w:r>
    </w:p>
    <w:p>
      <w:pPr>
        <w:pStyle w:val="ListParagraph"/>
        <w:numPr>
          <w:ilvl w:val="0"/>
          <w:numId w:val="2"/>
        </w:numPr>
        <w:spacing w:after="60" w:line="280"/>
      </w:pPr>
      <w:r>
        <w:rPr>
          <w:rFonts w:ascii="Lato" w:cs="Lato" w:eastAsia="Lato" w:hAnsi="Lato"/>
          <w:color w:val="475467"/>
          <w:sz w:val="21"/>
          <w:szCs w:val="21"/>
        </w:rPr>
        <w:t xml:space="preserve">Vendor-facing functionality of any kind.</w:t>
      </w:r>
    </w:p>
    <w:p>
      <w:pPr>
        <w:pStyle w:val="Heading1"/>
        <w:pBdr>
          <w:bottom w:val="single" w:color="1D4ED8" w:sz="8" w:space="4"/>
        </w:pBdr>
        <w:spacing w:after="160" w:before="360"/>
      </w:pPr>
      <w:r>
        <w:rPr>
          <w:rFonts w:ascii="Lato" w:cs="Lato" w:eastAsia="Lato" w:hAnsi="Lato"/>
          <w:b/>
          <w:bCs/>
          <w:color w:val="1A1F36"/>
          <w:sz w:val="30"/>
          <w:szCs w:val="30"/>
        </w:rPr>
        <w:t xml:space="preserve">4. User Personas &amp; Roles</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2479"/>
        <w:gridCol w:w="4311"/>
        <w:gridCol w:w="3450"/>
      </w:tblGrid>
      <w:tr>
        <w:tc>
          <w:tcPr>
            <w:tcW w:type="dxa" w:w="2479"/>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Persona</w:t>
            </w:r>
          </w:p>
        </w:tc>
        <w:tc>
          <w:tcPr>
            <w:tcW w:type="dxa" w:w="4311"/>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Role in App</w:t>
            </w:r>
          </w:p>
        </w:tc>
        <w:tc>
          <w:tcPr>
            <w:tcW w:type="dxa" w:w="345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Primary Modules</w:t>
            </w:r>
          </w:p>
        </w:tc>
      </w:tr>
      <w:tr>
        <w:tc>
          <w:tcPr>
            <w:tcW w:type="dxa" w:w="247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Requester</w:t>
            </w:r>
          </w:p>
        </w:tc>
        <w:tc>
          <w:tcPr>
            <w:tcW w:type="dxa" w:w="43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Raises a spend request for their department</w:t>
            </w:r>
          </w:p>
        </w:tc>
        <w:tc>
          <w:tcPr>
            <w:tcW w:type="dxa" w:w="345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Intake Form</w:t>
            </w:r>
          </w:p>
        </w:tc>
      </w:tr>
      <w:tr>
        <w:tc>
          <w:tcPr>
            <w:tcW w:type="dxa" w:w="247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 (RM)</w:t>
            </w:r>
          </w:p>
        </w:tc>
        <w:tc>
          <w:tcPr>
            <w:tcW w:type="dxa" w:w="43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First-level approver on 2-person and 3-person Approval Tier requests</w:t>
            </w:r>
          </w:p>
        </w:tc>
        <w:tc>
          <w:tcPr>
            <w:tcW w:type="dxa" w:w="345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Approvals</w:t>
            </w:r>
          </w:p>
        </w:tc>
      </w:tr>
      <w:tr>
        <w:tc>
          <w:tcPr>
            <w:tcW w:type="dxa" w:w="247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w:t>
            </w:r>
          </w:p>
        </w:tc>
        <w:tc>
          <w:tcPr>
            <w:tcW w:type="dxa" w:w="43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Second-level approver, only on 3-person Approval Tier requests</w:t>
            </w:r>
          </w:p>
        </w:tc>
        <w:tc>
          <w:tcPr>
            <w:tcW w:type="dxa" w:w="345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Approvals</w:t>
            </w:r>
          </w:p>
        </w:tc>
      </w:tr>
      <w:tr>
        <w:tc>
          <w:tcPr>
            <w:tcW w:type="dxa" w:w="247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 Controller</w:t>
            </w:r>
          </w:p>
        </w:tc>
        <w:tc>
          <w:tcPr>
            <w:tcW w:type="dxa" w:w="43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Final approver on every non-auto request</w:t>
            </w:r>
          </w:p>
        </w:tc>
        <w:tc>
          <w:tcPr>
            <w:tcW w:type="dxa" w:w="345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Approvals</w:t>
            </w:r>
          </w:p>
        </w:tc>
      </w:tr>
      <w:tr>
        <w:tc>
          <w:tcPr>
            <w:tcW w:type="dxa" w:w="247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Operations Leadership</w:t>
            </w:r>
          </w:p>
        </w:tc>
        <w:tc>
          <w:tcPr>
            <w:tcW w:type="dxa" w:w="43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Reviews consolidated spend and approval activity</w:t>
            </w:r>
          </w:p>
        </w:tc>
        <w:tc>
          <w:tcPr>
            <w:tcW w:type="dxa" w:w="345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Dashboard</w:t>
            </w:r>
          </w:p>
        </w:tc>
      </w:tr>
    </w:tbl>
    <w:p>
      <w:pPr>
        <w:pStyle w:val="Heading1"/>
        <w:pBdr>
          <w:bottom w:val="single" w:color="1D4ED8" w:sz="8" w:space="4"/>
        </w:pBdr>
        <w:spacing w:after="160" w:before="360"/>
      </w:pPr>
      <w:r>
        <w:rPr>
          <w:rFonts w:ascii="Lato" w:cs="Lato" w:eastAsia="Lato" w:hAnsi="Lato"/>
          <w:b/>
          <w:bCs/>
          <w:color w:val="1A1F36"/>
          <w:sz w:val="30"/>
          <w:szCs w:val="30"/>
        </w:rPr>
        <w:t xml:space="preserve">5. Application Module Map</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1137"/>
        <w:gridCol w:w="3982"/>
        <w:gridCol w:w="5121"/>
      </w:tblGrid>
      <w:tr>
        <w:tc>
          <w:tcPr>
            <w:tcW w:type="dxa" w:w="1137"/>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w:t>
            </w:r>
          </w:p>
        </w:tc>
        <w:tc>
          <w:tcPr>
            <w:tcW w:type="dxa" w:w="398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Module</w:t>
            </w:r>
          </w:p>
        </w:tc>
        <w:tc>
          <w:tcPr>
            <w:tcW w:type="dxa" w:w="5121"/>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Purpose</w:t>
            </w:r>
          </w:p>
        </w:tc>
      </w:tr>
      <w:tr>
        <w:tc>
          <w:tcPr>
            <w:tcW w:type="dxa" w:w="113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w:t>
            </w:r>
          </w:p>
        </w:tc>
        <w:tc>
          <w:tcPr>
            <w:tcW w:type="dxa" w:w="398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Intake Form</w:t>
            </w:r>
          </w:p>
        </w:tc>
        <w:tc>
          <w:tcPr>
            <w:tcW w:type="dxa" w:w="51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Capture a new spend request</w:t>
            </w:r>
          </w:p>
        </w:tc>
      </w:tr>
      <w:tr>
        <w:tc>
          <w:tcPr>
            <w:tcW w:type="dxa" w:w="113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c>
          <w:tcPr>
            <w:tcW w:type="dxa" w:w="398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Approvals</w:t>
            </w:r>
          </w:p>
        </w:tc>
        <w:tc>
          <w:tcPr>
            <w:tcW w:type="dxa" w:w="51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Route and decide requests by Approval Tier</w:t>
            </w:r>
          </w:p>
        </w:tc>
      </w:tr>
      <w:tr>
        <w:tc>
          <w:tcPr>
            <w:tcW w:type="dxa" w:w="113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98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Dashboard</w:t>
            </w:r>
          </w:p>
        </w:tc>
        <w:tc>
          <w:tcPr>
            <w:tcW w:type="dxa" w:w="51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Consolidated visibility across the above</w:t>
            </w:r>
          </w:p>
        </w:tc>
      </w:tr>
    </w:tbl>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6. Module-Wise Requirements</w:t>
      </w:r>
    </w:p>
    <w:p>
      <w:pPr>
        <w:pStyle w:val="Heading2"/>
        <w:spacing w:after="120" w:before="280"/>
      </w:pPr>
      <w:r>
        <w:rPr>
          <w:rFonts w:ascii="Lato" w:cs="Lato" w:eastAsia="Lato" w:hAnsi="Lato"/>
          <w:b/>
          <w:bCs/>
          <w:color w:val="1D4ED8"/>
          <w:sz w:val="24"/>
          <w:szCs w:val="24"/>
        </w:rPr>
        <w:t xml:space="preserve">6.1 Module 1 — Request Intake Form</w:t>
      </w:r>
    </w:p>
    <w:p>
      <w:pPr>
        <w:spacing w:after="140" w:line="300"/>
      </w:pPr>
      <w:r>
        <w:rPr>
          <w:rFonts w:ascii="Lato" w:cs="Lato" w:eastAsia="Lato" w:hAnsi="Lato"/>
          <w:color w:val="475467"/>
          <w:sz w:val="21"/>
          <w:szCs w:val="21"/>
        </w:rPr>
        <w:t xml:space="preserve">A single, minimal-effort form for any employee to raise a spend request. There is no silent auto-fill from a logged-in profile — the requester actively provides their identity and request details, with Department and Item/Description constrained to controlled lists so every submission stays consistent with the reference catalog. This module is scoped strictly to submission; status tracking lives in the Dashboard, not here.</w:t>
      </w:r>
    </w:p>
    <w:p>
      <w:pPr>
        <w:spacing w:after="80" w:before="200"/>
      </w:pPr>
      <w:r>
        <w:rPr>
          <w:rFonts w:ascii="Lato" w:cs="Lato" w:eastAsia="Lato" w:hAnsi="Lato"/>
          <w:b/>
          <w:bCs/>
          <w:color w:val="1A1F36"/>
          <w:sz w:val="21"/>
          <w:szCs w:val="21"/>
        </w:rPr>
        <w:t xml:space="preserve">Key Features</w:t>
      </w:r>
    </w:p>
    <w:p>
      <w:pPr>
        <w:pStyle w:val="ListParagraph"/>
        <w:numPr>
          <w:ilvl w:val="0"/>
          <w:numId w:val="2"/>
        </w:numPr>
        <w:spacing w:after="60" w:line="280"/>
      </w:pPr>
      <w:r>
        <w:rPr>
          <w:rFonts w:ascii="Lato" w:cs="Lato" w:eastAsia="Lato" w:hAnsi="Lato"/>
          <w:color w:val="475467"/>
          <w:sz w:val="21"/>
          <w:szCs w:val="21"/>
        </w:rPr>
        <w:t xml:space="preserve">Requester Name is typed by the employee; Requester ID resolves automatically once the name and department together match a known employee record — this is a lookup, not a session-based auto-fill.</w:t>
      </w:r>
    </w:p>
    <w:p>
      <w:pPr>
        <w:pStyle w:val="ListParagraph"/>
        <w:numPr>
          <w:ilvl w:val="0"/>
          <w:numId w:val="2"/>
        </w:numPr>
        <w:spacing w:after="60" w:line="280"/>
      </w:pPr>
      <w:r>
        <w:rPr>
          <w:rFonts w:ascii="Lato" w:cs="Lato" w:eastAsia="Lato" w:hAnsi="Lato"/>
          <w:color w:val="475467"/>
          <w:sz w:val="21"/>
          <w:szCs w:val="21"/>
        </w:rPr>
        <w:t xml:space="preserve">Department is selected from a fixed dropdown of the organization's departments.</w:t>
      </w:r>
    </w:p>
    <w:p>
      <w:pPr>
        <w:pStyle w:val="ListParagraph"/>
        <w:numPr>
          <w:ilvl w:val="0"/>
          <w:numId w:val="2"/>
        </w:numPr>
        <w:spacing w:after="60" w:line="280"/>
      </w:pPr>
      <w:r>
        <w:rPr>
          <w:rFonts w:ascii="Lato" w:cs="Lato" w:eastAsia="Lato" w:hAnsi="Lato"/>
          <w:color w:val="475467"/>
          <w:sz w:val="21"/>
          <w:szCs w:val="21"/>
        </w:rPr>
        <w:t xml:space="preserve">Item/Description is selected from a dropdown scoped to the chosen department, pulling directly from the reference catalog rather than free text.</w:t>
      </w:r>
    </w:p>
    <w:p>
      <w:pPr>
        <w:pStyle w:val="ListParagraph"/>
        <w:numPr>
          <w:ilvl w:val="0"/>
          <w:numId w:val="2"/>
        </w:numPr>
        <w:spacing w:after="60" w:line="280"/>
      </w:pPr>
      <w:r>
        <w:rPr>
          <w:rFonts w:ascii="Lato" w:cs="Lato" w:eastAsia="Lato" w:hAnsi="Lato"/>
          <w:color w:val="475467"/>
          <w:sz w:val="21"/>
          <w:szCs w:val="21"/>
        </w:rPr>
        <w:t xml:space="preserve">Selecting an item automatically populates its catalog cost; the requester can adjust it if the actual quote differs.</w:t>
      </w:r>
    </w:p>
    <w:p>
      <w:pPr>
        <w:pStyle w:val="ListParagraph"/>
        <w:numPr>
          <w:ilvl w:val="0"/>
          <w:numId w:val="2"/>
        </w:numPr>
        <w:spacing w:after="60" w:line="280"/>
      </w:pPr>
      <w:r>
        <w:rPr>
          <w:rFonts w:ascii="Lato" w:cs="Lato" w:eastAsia="Lato" w:hAnsi="Lato"/>
          <w:color w:val="475467"/>
          <w:sz w:val="21"/>
          <w:szCs w:val="21"/>
        </w:rPr>
        <w:t xml:space="preserve">Priority is selected from a simple Low / Medium / High dropdown.</w:t>
      </w:r>
    </w:p>
    <w:p>
      <w:pPr>
        <w:pStyle w:val="ListParagraph"/>
        <w:numPr>
          <w:ilvl w:val="0"/>
          <w:numId w:val="2"/>
        </w:numPr>
        <w:spacing w:after="60" w:line="280"/>
      </w:pPr>
      <w:r>
        <w:rPr>
          <w:rFonts w:ascii="Lato" w:cs="Lato" w:eastAsia="Lato" w:hAnsi="Lato"/>
          <w:color w:val="475467"/>
          <w:sz w:val="21"/>
          <w:szCs w:val="21"/>
        </w:rPr>
        <w:t xml:space="preserve">Justification is entered as free text by the requester.</w:t>
      </w:r>
    </w:p>
    <w:p>
      <w:pPr>
        <w:pStyle w:val="ListParagraph"/>
        <w:numPr>
          <w:ilvl w:val="0"/>
          <w:numId w:val="2"/>
        </w:numPr>
        <w:spacing w:after="60" w:line="280"/>
      </w:pPr>
      <w:r>
        <w:rPr>
          <w:rFonts w:ascii="Lato" w:cs="Lato" w:eastAsia="Lato" w:hAnsi="Lato"/>
          <w:color w:val="475467"/>
          <w:sz w:val="21"/>
          <w:szCs w:val="21"/>
        </w:rPr>
        <w:t xml:space="preserve">A live Approval Tier indicator updates instantly as the cost changes, showing whether the request will be Auto-Approved, 2-Person, or 3-Person.</w:t>
      </w:r>
    </w:p>
    <w:p>
      <w:pPr>
        <w:pStyle w:val="ListParagraph"/>
        <w:numPr>
          <w:ilvl w:val="0"/>
          <w:numId w:val="2"/>
        </w:numPr>
        <w:spacing w:after="60" w:line="280"/>
      </w:pPr>
      <w:r>
        <w:rPr>
          <w:rFonts w:ascii="Lato" w:cs="Lato" w:eastAsia="Lato" w:hAnsi="Lato"/>
          <w:color w:val="475467"/>
          <w:sz w:val="21"/>
          <w:szCs w:val="21"/>
        </w:rPr>
        <w:t xml:space="preserve">One optional attachment slot for a vendor quotation.</w:t>
      </w:r>
    </w:p>
    <w:p>
      <w:pPr>
        <w:pStyle w:val="ListParagraph"/>
        <w:numPr>
          <w:ilvl w:val="0"/>
          <w:numId w:val="2"/>
        </w:numPr>
        <w:spacing w:after="60" w:line="280"/>
      </w:pPr>
      <w:r>
        <w:rPr>
          <w:rFonts w:ascii="Lato" w:cs="Lato" w:eastAsia="Lato" w:hAnsi="Lato"/>
          <w:color w:val="475467"/>
          <w:sz w:val="21"/>
          <w:szCs w:val="21"/>
        </w:rPr>
        <w:t xml:space="preserve">Draft and Submit are the only two actions; no manual budget entry.</w:t>
      </w:r>
    </w:p>
    <w:p>
      <w:pPr>
        <w:spacing w:after="80" w:before="200"/>
      </w:pPr>
      <w:r>
        <w:rPr>
          <w:rFonts w:ascii="Lato" w:cs="Lato" w:eastAsia="Lato" w:hAnsi="Lato"/>
          <w:b/>
          <w:bCs/>
          <w:color w:val="1A1F36"/>
          <w:sz w:val="21"/>
          <w:szCs w:val="21"/>
        </w:rPr>
        <w:t xml:space="preserve">Visual Components</w:t>
      </w:r>
    </w:p>
    <w:p>
      <w:pPr>
        <w:pStyle w:val="ListParagraph"/>
        <w:numPr>
          <w:ilvl w:val="0"/>
          <w:numId w:val="2"/>
        </w:numPr>
        <w:spacing w:after="60" w:line="280"/>
      </w:pPr>
      <w:r>
        <w:rPr>
          <w:rFonts w:ascii="Lato" w:cs="Lato" w:eastAsia="Lato" w:hAnsi="Lato"/>
          <w:color w:val="475467"/>
          <w:sz w:val="21"/>
          <w:szCs w:val="21"/>
        </w:rPr>
        <w:t xml:space="preserve">Requester Detail Row — a typed Requester Name field paired with an adjacent Requester ID chip that fills in automatically once a match is found.</w:t>
      </w:r>
    </w:p>
    <w:p>
      <w:pPr>
        <w:pStyle w:val="ListParagraph"/>
        <w:numPr>
          <w:ilvl w:val="0"/>
          <w:numId w:val="2"/>
        </w:numPr>
        <w:spacing w:after="60" w:line="280"/>
      </w:pPr>
      <w:r>
        <w:rPr>
          <w:rFonts w:ascii="Lato" w:cs="Lato" w:eastAsia="Lato" w:hAnsi="Lato"/>
          <w:color w:val="475467"/>
          <w:sz w:val="21"/>
          <w:szCs w:val="21"/>
        </w:rPr>
        <w:t xml:space="preserve">Single-Card Form — every field stacked vertically in one card; no tabs, accordions, or step indicators.</w:t>
      </w:r>
    </w:p>
    <w:p>
      <w:pPr>
        <w:pStyle w:val="ListParagraph"/>
        <w:numPr>
          <w:ilvl w:val="0"/>
          <w:numId w:val="2"/>
        </w:numPr>
        <w:spacing w:after="60" w:line="280"/>
      </w:pPr>
      <w:r>
        <w:rPr>
          <w:rFonts w:ascii="Lato" w:cs="Lato" w:eastAsia="Lato" w:hAnsi="Lato"/>
          <w:color w:val="475467"/>
          <w:sz w:val="21"/>
          <w:szCs w:val="21"/>
        </w:rPr>
        <w:t xml:space="preserve">Department &amp; Item Dropdowns — standard dropdown selectors, with the Item list filtering to the selected Department.</w:t>
      </w:r>
    </w:p>
    <w:p>
      <w:pPr>
        <w:pStyle w:val="ListParagraph"/>
        <w:numPr>
          <w:ilvl w:val="0"/>
          <w:numId w:val="2"/>
        </w:numPr>
        <w:spacing w:after="60" w:line="280"/>
      </w:pPr>
      <w:r>
        <w:rPr>
          <w:rFonts w:ascii="Lato" w:cs="Lato" w:eastAsia="Lato" w:hAnsi="Lato"/>
          <w:color w:val="475467"/>
          <w:sz w:val="21"/>
          <w:szCs w:val="21"/>
        </w:rPr>
        <w:t xml:space="preserve">Inline Approval Tier Indicator — a small colored pill beside the Estimated Cost field reflecting the live Approval Tier calculation.</w:t>
      </w:r>
    </w:p>
    <w:p>
      <w:pPr>
        <w:pStyle w:val="ListParagraph"/>
        <w:numPr>
          <w:ilvl w:val="0"/>
          <w:numId w:val="2"/>
        </w:numPr>
        <w:spacing w:after="60" w:line="280"/>
      </w:pPr>
      <w:r>
        <w:rPr>
          <w:rFonts w:ascii="Lato" w:cs="Lato" w:eastAsia="Lato" w:hAnsi="Lato"/>
          <w:color w:val="475467"/>
          <w:sz w:val="21"/>
          <w:szCs w:val="21"/>
        </w:rPr>
        <w:t xml:space="preserve">Simple Attachment Row — a single drag-and-drop uploader, collapsed to one line when empty.</w:t>
      </w:r>
    </w:p>
    <w:p>
      <w:pPr>
        <w:spacing w:after="80" w:before="200"/>
      </w:pPr>
      <w:r>
        <w:rPr>
          <w:rFonts w:ascii="Lato" w:cs="Lato" w:eastAsia="Lato" w:hAnsi="Lato"/>
          <w:b/>
          <w:bCs/>
          <w:color w:val="1A1F36"/>
          <w:sz w:val="21"/>
          <w:szCs w:val="21"/>
        </w:rPr>
        <w:t xml:space="preserve">Key Data Elements</w:t>
      </w:r>
    </w:p>
    <w:p>
      <w:pPr>
        <w:pStyle w:val="ListParagraph"/>
        <w:numPr>
          <w:ilvl w:val="0"/>
          <w:numId w:val="2"/>
        </w:numPr>
        <w:spacing w:after="60" w:line="280"/>
      </w:pPr>
      <w:r>
        <w:rPr>
          <w:rFonts w:ascii="Lato" w:cs="Lato" w:eastAsia="Lato" w:hAnsi="Lato"/>
          <w:color w:val="475467"/>
          <w:sz w:val="21"/>
          <w:szCs w:val="21"/>
        </w:rPr>
        <w:t xml:space="preserve">Request ID, Requester Name, Requester ID (auto-resolved), Department (dropdown), Item/Description (dropdown), Estimated Cost, Priority, Justification, Attachment, Assigned Approval Tier.</w:t>
      </w:r>
    </w:p>
    <w:p>
      <w:pPr>
        <w:pStyle w:val="Heading2"/>
        <w:spacing w:after="120" w:before="280"/>
      </w:pPr>
      <w:r>
        <w:rPr>
          <w:rFonts w:ascii="Lato" w:cs="Lato" w:eastAsia="Lato" w:hAnsi="Lato"/>
          <w:b/>
          <w:bCs/>
          <w:color w:val="1D4ED8"/>
          <w:sz w:val="24"/>
          <w:szCs w:val="24"/>
        </w:rPr>
        <w:t xml:space="preserve">6.2 Module 2 — Approvals</w:t>
      </w:r>
    </w:p>
    <w:p>
      <w:pPr>
        <w:spacing w:after="140" w:line="300"/>
      </w:pPr>
      <w:r>
        <w:rPr>
          <w:rFonts w:ascii="Lato" w:cs="Lato" w:eastAsia="Lato" w:hAnsi="Lato"/>
          <w:color w:val="475467"/>
          <w:sz w:val="21"/>
          <w:szCs w:val="21"/>
        </w:rPr>
        <w:t xml:space="preserve">Every submitted request is routed automatically to the approval chain matching its Approval Tier. No request is manually assigned a chain — Creator determines it from the amount at submission.</w:t>
      </w:r>
    </w:p>
    <w:p>
      <w:pPr>
        <w:spacing w:after="80" w:before="200"/>
      </w:pPr>
      <w:r>
        <w:rPr>
          <w:rFonts w:ascii="Lato" w:cs="Lato" w:eastAsia="Lato" w:hAnsi="Lato"/>
          <w:b/>
          <w:bCs/>
          <w:color w:val="1A1F36"/>
          <w:sz w:val="21"/>
          <w:szCs w:val="21"/>
        </w:rPr>
        <w:t xml:space="preserve">Approval Tiers &amp; Nuances</w:t>
      </w:r>
    </w:p>
    <w:p>
      <w:pPr>
        <w:pStyle w:val="ListParagraph"/>
        <w:numPr>
          <w:ilvl w:val="0"/>
          <w:numId w:val="2"/>
        </w:numPr>
        <w:spacing w:after="60" w:line="280"/>
      </w:pPr>
      <w:r>
        <w:rPr>
          <w:rFonts w:ascii="Lato" w:cs="Lato" w:eastAsia="Lato" w:hAnsi="Lato"/>
          <w:color w:val="475467"/>
          <w:sz w:val="21"/>
          <w:szCs w:val="21"/>
        </w:rPr>
        <w:t xml:space="preserve">Auto-Approved (up to $1,000) — logged instantly with no human reviewer; still visible in the Approvals history for audit continuity.</w:t>
      </w:r>
    </w:p>
    <w:p>
      <w:pPr>
        <w:pStyle w:val="ListParagraph"/>
        <w:numPr>
          <w:ilvl w:val="0"/>
          <w:numId w:val="2"/>
        </w:numPr>
        <w:spacing w:after="60" w:line="280"/>
      </w:pPr>
      <w:r>
        <w:rPr>
          <w:rFonts w:ascii="Lato" w:cs="Lato" w:eastAsia="Lato" w:hAnsi="Lato"/>
          <w:color w:val="475467"/>
          <w:sz w:val="21"/>
          <w:szCs w:val="21"/>
        </w:rPr>
        <w:t xml:space="preserve">2-Person ($1,001 – $50,000) — Reporting Manager reviews first; on approval it passes directly to the Finance Controller for final sign-off. Department Head is not involved at this tier.</w:t>
      </w:r>
    </w:p>
    <w:p>
      <w:pPr>
        <w:pStyle w:val="ListParagraph"/>
        <w:numPr>
          <w:ilvl w:val="0"/>
          <w:numId w:val="2"/>
        </w:numPr>
        <w:spacing w:after="60" w:line="280"/>
      </w:pPr>
      <w:r>
        <w:rPr>
          <w:rFonts w:ascii="Lato" w:cs="Lato" w:eastAsia="Lato" w:hAnsi="Lato"/>
          <w:color w:val="475467"/>
          <w:sz w:val="21"/>
          <w:szCs w:val="21"/>
        </w:rPr>
        <w:t xml:space="preserve">3-Person ($50,001 and above) — Reporting Manager → Department Head → Finance Controller, in strict sequence; each stage must clear before the next is notified.</w:t>
      </w:r>
    </w:p>
    <w:p>
      <w:pPr>
        <w:pStyle w:val="ListParagraph"/>
        <w:numPr>
          <w:ilvl w:val="0"/>
          <w:numId w:val="2"/>
        </w:numPr>
        <w:spacing w:after="60" w:line="280"/>
      </w:pPr>
      <w:r>
        <w:rPr>
          <w:rFonts w:ascii="Lato" w:cs="Lato" w:eastAsia="Lato" w:hAnsi="Lato"/>
          <w:color w:val="475467"/>
          <w:sz w:val="21"/>
          <w:szCs w:val="21"/>
        </w:rPr>
        <w:t xml:space="preserve">A Hold at any stage returns the request to the requester with a mandatory comment; a Reject closes it permanently with a reason; an Approve advances it automatically to the next stage, or marks it Approved if it was the final stage.</w:t>
      </w:r>
    </w:p>
    <w:p>
      <w:pPr>
        <w:pStyle w:val="ListParagraph"/>
        <w:numPr>
          <w:ilvl w:val="0"/>
          <w:numId w:val="2"/>
        </w:numPr>
        <w:spacing w:after="60" w:line="280"/>
      </w:pPr>
      <w:r>
        <w:rPr>
          <w:rFonts w:ascii="Lato" w:cs="Lato" w:eastAsia="Lato" w:hAnsi="Lato"/>
          <w:color w:val="475467"/>
          <w:sz w:val="21"/>
          <w:szCs w:val="21"/>
        </w:rPr>
        <w:t xml:space="preserve">A request can be rejected at any stage — Reporting Manager, Department Head, or Finance — not only at the final gate; catching a bad request early is preferable to letting it travel further up the chain.</w:t>
      </w:r>
    </w:p>
    <w:p>
      <w:pPr>
        <w:pStyle w:val="ListParagraph"/>
        <w:numPr>
          <w:ilvl w:val="0"/>
          <w:numId w:val="2"/>
        </w:numPr>
        <w:spacing w:after="60" w:line="280"/>
      </w:pPr>
      <w:r>
        <w:rPr>
          <w:rFonts w:ascii="Lato" w:cs="Lato" w:eastAsia="Lato" w:hAnsi="Lato"/>
          <w:color w:val="475467"/>
          <w:sz w:val="21"/>
          <w:szCs w:val="21"/>
        </w:rPr>
        <w:t xml:space="preserve">Each stage carries an SLA; requests ageing past their SLA are flagged for escalation on the approver's queue.</w:t>
      </w:r>
    </w:p>
    <w:p>
      <w:pPr>
        <w:pStyle w:val="ListParagraph"/>
        <w:numPr>
          <w:ilvl w:val="0"/>
          <w:numId w:val="2"/>
        </w:numPr>
        <w:spacing w:after="60" w:line="280"/>
      </w:pPr>
      <w:r>
        <w:rPr>
          <w:rFonts w:ascii="Lato" w:cs="Lato" w:eastAsia="Lato" w:hAnsi="Lato"/>
          <w:color w:val="475467"/>
          <w:sz w:val="21"/>
          <w:szCs w:val="21"/>
        </w:rPr>
        <w:t xml:space="preserve">Where a Reporting Manager and Department Head are the same individual for a smaller department, the system escalates directly to Finance without a duplicate review step.</w:t>
      </w:r>
    </w:p>
    <w:p>
      <w:pPr>
        <w:spacing w:after="80" w:before="200"/>
      </w:pPr>
      <w:r>
        <w:rPr>
          <w:rFonts w:ascii="Lato" w:cs="Lato" w:eastAsia="Lato" w:hAnsi="Lato"/>
          <w:b/>
          <w:bCs/>
          <w:color w:val="1A1F36"/>
          <w:sz w:val="21"/>
          <w:szCs w:val="21"/>
        </w:rPr>
        <w:t xml:space="preserve">Visual Components</w:t>
      </w:r>
    </w:p>
    <w:p>
      <w:pPr>
        <w:pStyle w:val="ListParagraph"/>
        <w:numPr>
          <w:ilvl w:val="0"/>
          <w:numId w:val="2"/>
        </w:numPr>
        <w:spacing w:after="60" w:line="280"/>
      </w:pPr>
      <w:r>
        <w:rPr>
          <w:rFonts w:ascii="Lato" w:cs="Lato" w:eastAsia="Lato" w:hAnsi="Lato"/>
          <w:color w:val="475467"/>
          <w:sz w:val="21"/>
          <w:szCs w:val="21"/>
        </w:rPr>
        <w:t xml:space="preserve">Stage Tabs — a simple All / Reporting Manager / Department Head / Finance tab row above the queue; each tab filters the same underlying table to that stage, rather than requiring a simulated login or role switch.</w:t>
      </w:r>
    </w:p>
    <w:p>
      <w:pPr>
        <w:pStyle w:val="ListParagraph"/>
        <w:numPr>
          <w:ilvl w:val="0"/>
          <w:numId w:val="2"/>
        </w:numPr>
        <w:spacing w:after="60" w:line="280"/>
      </w:pPr>
      <w:r>
        <w:rPr>
          <w:rFonts w:ascii="Lato" w:cs="Lato" w:eastAsia="Lato" w:hAnsi="Lato"/>
          <w:color w:val="475467"/>
          <w:sz w:val="21"/>
          <w:szCs w:val="21"/>
        </w:rPr>
        <w:t xml:space="preserve">Approval Queue Table — rows showing a requester initials badge, department, amount, and an Approval Tier tag, scoped to whichever stage tab is active.</w:t>
      </w:r>
    </w:p>
    <w:p>
      <w:pPr>
        <w:pStyle w:val="ListParagraph"/>
        <w:numPr>
          <w:ilvl w:val="0"/>
          <w:numId w:val="2"/>
        </w:numPr>
        <w:spacing w:after="60" w:line="280"/>
      </w:pPr>
      <w:r>
        <w:rPr>
          <w:rFonts w:ascii="Lato" w:cs="Lato" w:eastAsia="Lato" w:hAnsi="Lato"/>
          <w:color w:val="475467"/>
          <w:sz w:val="21"/>
          <w:szCs w:val="21"/>
        </w:rPr>
        <w:t xml:space="preserve">Stage Stepper — a horizontal stepper at the top of the detail panel showing only the stages relevant to that request's Approval Tier (two steps for 2-Person, three for 3-Person).</w:t>
      </w:r>
    </w:p>
    <w:p>
      <w:pPr>
        <w:pStyle w:val="ListParagraph"/>
        <w:numPr>
          <w:ilvl w:val="0"/>
          <w:numId w:val="2"/>
        </w:numPr>
        <w:spacing w:after="60" w:line="280"/>
      </w:pPr>
      <w:r>
        <w:rPr>
          <w:rFonts w:ascii="Lato" w:cs="Lato" w:eastAsia="Lato" w:hAnsi="Lato"/>
          <w:color w:val="475467"/>
          <w:sz w:val="21"/>
          <w:szCs w:val="21"/>
        </w:rPr>
        <w:t xml:space="preserve">Financial Stat Cards — compact cards for Request Value, Approval Tier, and SLA Due Date shown above the request details.</w:t>
      </w:r>
    </w:p>
    <w:p>
      <w:pPr>
        <w:pStyle w:val="ListParagraph"/>
        <w:numPr>
          <w:ilvl w:val="0"/>
          <w:numId w:val="2"/>
        </w:numPr>
        <w:spacing w:after="60" w:line="280"/>
      </w:pPr>
      <w:r>
        <w:rPr>
          <w:rFonts w:ascii="Lato" w:cs="Lato" w:eastAsia="Lato" w:hAnsi="Lato"/>
          <w:color w:val="475467"/>
          <w:sz w:val="21"/>
          <w:szCs w:val="21"/>
        </w:rPr>
        <w:t xml:space="preserve">Cost Breakdown Table — line items drawn from the attached quotation, with a totals row.</w:t>
      </w:r>
    </w:p>
    <w:p>
      <w:pPr>
        <w:pStyle w:val="ListParagraph"/>
        <w:numPr>
          <w:ilvl w:val="0"/>
          <w:numId w:val="2"/>
        </w:numPr>
        <w:spacing w:after="60" w:line="280"/>
      </w:pPr>
      <w:r>
        <w:rPr>
          <w:rFonts w:ascii="Lato" w:cs="Lato" w:eastAsia="Lato" w:hAnsi="Lato"/>
          <w:color w:val="475467"/>
          <w:sz w:val="21"/>
          <w:szCs w:val="21"/>
        </w:rPr>
        <w:t xml:space="preserve">Activity Log — a timestamped list of every decision made on the request so far, visible to all subsequent approvers.</w:t>
      </w:r>
    </w:p>
    <w:p>
      <w:pPr>
        <w:pStyle w:val="ListParagraph"/>
        <w:numPr>
          <w:ilvl w:val="0"/>
          <w:numId w:val="2"/>
        </w:numPr>
        <w:spacing w:after="60" w:line="280"/>
      </w:pPr>
      <w:r>
        <w:rPr>
          <w:rFonts w:ascii="Lato" w:cs="Lato" w:eastAsia="Lato" w:hAnsi="Lato"/>
          <w:color w:val="475467"/>
          <w:sz w:val="21"/>
          <w:szCs w:val="21"/>
        </w:rPr>
        <w:t xml:space="preserve">Action Bar — three solid-filled, equally sized buttons (Approve in green, Hold in amber, Reject in red), icon-free and consistent across every stage.</w:t>
      </w:r>
    </w:p>
    <w:p>
      <w:pPr>
        <w:spacing w:after="80" w:before="200"/>
      </w:pPr>
      <w:r>
        <w:rPr>
          <w:rFonts w:ascii="Lato" w:cs="Lato" w:eastAsia="Lato" w:hAnsi="Lato"/>
          <w:b/>
          <w:bCs/>
          <w:color w:val="1A1F36"/>
          <w:sz w:val="21"/>
          <w:szCs w:val="21"/>
        </w:rPr>
        <w:t xml:space="preserve">Key Data Elements</w:t>
      </w:r>
    </w:p>
    <w:p>
      <w:pPr>
        <w:pStyle w:val="ListParagraph"/>
        <w:numPr>
          <w:ilvl w:val="0"/>
          <w:numId w:val="2"/>
        </w:numPr>
        <w:spacing w:after="60" w:line="280"/>
      </w:pPr>
      <w:r>
        <w:rPr>
          <w:rFonts w:ascii="Lato" w:cs="Lato" w:eastAsia="Lato" w:hAnsi="Lato"/>
          <w:color w:val="475467"/>
          <w:sz w:val="21"/>
          <w:szCs w:val="21"/>
        </w:rPr>
        <w:t xml:space="preserve">Approval Tier, Current Stage, Approver Name &amp; Role, Decision, Decision Timestamp, Comments, SLA Due Date, Escalation Flag.</w:t>
      </w:r>
    </w:p>
    <w:p>
      <w:pPr>
        <w:pStyle w:val="Heading2"/>
        <w:spacing w:after="120" w:before="280"/>
      </w:pPr>
      <w:r>
        <w:rPr>
          <w:rFonts w:ascii="Lato" w:cs="Lato" w:eastAsia="Lato" w:hAnsi="Lato"/>
          <w:b/>
          <w:bCs/>
          <w:color w:val="1D4ED8"/>
          <w:sz w:val="24"/>
          <w:szCs w:val="24"/>
        </w:rPr>
        <w:t xml:space="preserve">6.3 Module 3 — Dashboard</w:t>
      </w:r>
    </w:p>
    <w:p>
      <w:pPr>
        <w:spacing w:after="140" w:line="300"/>
      </w:pPr>
      <w:r>
        <w:rPr>
          <w:rFonts w:ascii="Lato" w:cs="Lato" w:eastAsia="Lato" w:hAnsi="Lato"/>
          <w:color w:val="475467"/>
          <w:sz w:val="21"/>
          <w:szCs w:val="21"/>
        </w:rPr>
        <w:t xml:space="preserve">A leadership-facing view of spend activity across the organization — built to answer “where is our money going, and is anything stuck,” not to track any one individual's submissions. This module is scoped to holistic, organization-wide visibility.</w:t>
      </w:r>
    </w:p>
    <w:p>
      <w:pPr>
        <w:spacing w:after="80" w:before="200"/>
      </w:pPr>
      <w:r>
        <w:rPr>
          <w:rFonts w:ascii="Lato" w:cs="Lato" w:eastAsia="Lato" w:hAnsi="Lato"/>
          <w:b/>
          <w:bCs/>
          <w:color w:val="1A1F36"/>
          <w:sz w:val="21"/>
          <w:szCs w:val="21"/>
        </w:rPr>
        <w:t xml:space="preserve">Key Features</w:t>
      </w:r>
    </w:p>
    <w:p>
      <w:pPr>
        <w:pStyle w:val="ListParagraph"/>
        <w:numPr>
          <w:ilvl w:val="0"/>
          <w:numId w:val="2"/>
        </w:numPr>
        <w:spacing w:after="60" w:line="280"/>
      </w:pPr>
      <w:r>
        <w:rPr>
          <w:rFonts w:ascii="Lato" w:cs="Lato" w:eastAsia="Lato" w:hAnsi="Lato"/>
          <w:color w:val="475467"/>
          <w:sz w:val="21"/>
          <w:szCs w:val="21"/>
        </w:rPr>
        <w:t xml:space="preserve">Consolidated spend value and volume across every department and Approval Tier.</w:t>
      </w:r>
    </w:p>
    <w:p>
      <w:pPr>
        <w:pStyle w:val="ListParagraph"/>
        <w:numPr>
          <w:ilvl w:val="0"/>
          <w:numId w:val="2"/>
        </w:numPr>
        <w:spacing w:after="60" w:line="280"/>
      </w:pPr>
      <w:r>
        <w:rPr>
          <w:rFonts w:ascii="Lato" w:cs="Lato" w:eastAsia="Lato" w:hAnsi="Lato"/>
          <w:color w:val="475467"/>
          <w:sz w:val="21"/>
          <w:szCs w:val="21"/>
        </w:rPr>
        <w:t xml:space="preserve">A real-time approval funnel showing exactly how many requests sit at each stage, surfacing bottlenecks as they form.</w:t>
      </w:r>
    </w:p>
    <w:p>
      <w:pPr>
        <w:pStyle w:val="ListParagraph"/>
        <w:numPr>
          <w:ilvl w:val="0"/>
          <w:numId w:val="2"/>
        </w:numPr>
        <w:spacing w:after="60" w:line="280"/>
      </w:pPr>
      <w:r>
        <w:rPr>
          <w:rFonts w:ascii="Lato" w:cs="Lato" w:eastAsia="Lato" w:hAnsi="Lato"/>
          <w:color w:val="475467"/>
          <w:sz w:val="21"/>
          <w:szCs w:val="21"/>
        </w:rPr>
        <w:t xml:space="preserve">Approval Tier-wise and department-wise spend distribution, to see where capital is concentrated.</w:t>
      </w:r>
    </w:p>
    <w:p>
      <w:pPr>
        <w:pStyle w:val="ListParagraph"/>
        <w:numPr>
          <w:ilvl w:val="0"/>
          <w:numId w:val="2"/>
        </w:numPr>
        <w:spacing w:after="60" w:line="280"/>
      </w:pPr>
      <w:r>
        <w:rPr>
          <w:rFonts w:ascii="Lato" w:cs="Lato" w:eastAsia="Lato" w:hAnsi="Lato"/>
          <w:color w:val="475467"/>
          <w:sz w:val="21"/>
          <w:szCs w:val="21"/>
        </w:rPr>
        <w:t xml:space="preserve">An escalation view surfacing requests that have breached their SLA, so leadership can intervene directly.</w:t>
      </w:r>
    </w:p>
    <w:p>
      <w:pPr>
        <w:pStyle w:val="ListParagraph"/>
        <w:numPr>
          <w:ilvl w:val="0"/>
          <w:numId w:val="2"/>
        </w:numPr>
        <w:spacing w:after="60" w:line="280"/>
      </w:pPr>
      <w:r>
        <w:rPr>
          <w:rFonts w:ascii="Lato" w:cs="Lato" w:eastAsia="Lato" w:hAnsi="Lato"/>
          <w:color w:val="475467"/>
          <w:sz w:val="21"/>
          <w:szCs w:val="21"/>
        </w:rPr>
        <w:t xml:space="preserve">Average approval turnaround by Approval Tier, to gauge whether governance is adding friction.</w:t>
      </w:r>
    </w:p>
    <w:p>
      <w:pPr>
        <w:spacing w:after="80" w:before="200"/>
      </w:pPr>
      <w:r>
        <w:rPr>
          <w:rFonts w:ascii="Lato" w:cs="Lato" w:eastAsia="Lato" w:hAnsi="Lato"/>
          <w:b/>
          <w:bCs/>
          <w:color w:val="1A1F36"/>
          <w:sz w:val="21"/>
          <w:szCs w:val="21"/>
        </w:rPr>
        <w:t xml:space="preserve">Visual Components</w:t>
      </w:r>
    </w:p>
    <w:p>
      <w:pPr>
        <w:pStyle w:val="ListParagraph"/>
        <w:numPr>
          <w:ilvl w:val="0"/>
          <w:numId w:val="2"/>
        </w:numPr>
        <w:spacing w:after="60" w:line="280"/>
      </w:pPr>
      <w:r>
        <w:rPr>
          <w:rFonts w:ascii="Lato" w:cs="Lato" w:eastAsia="Lato" w:hAnsi="Lato"/>
          <w:color w:val="475467"/>
          <w:sz w:val="21"/>
          <w:szCs w:val="21"/>
        </w:rPr>
        <w:t xml:space="preserve">Summary Stat Row — value-first stat cards for Total Requested, Total Approved Value, Pending Value, and Rejected Value, each with a supporting count.</w:t>
      </w:r>
    </w:p>
    <w:p>
      <w:pPr>
        <w:pStyle w:val="ListParagraph"/>
        <w:numPr>
          <w:ilvl w:val="0"/>
          <w:numId w:val="2"/>
        </w:numPr>
        <w:spacing w:after="60" w:line="280"/>
      </w:pPr>
      <w:r>
        <w:rPr>
          <w:rFonts w:ascii="Lato" w:cs="Lato" w:eastAsia="Lato" w:hAnsi="Lato"/>
          <w:color w:val="475467"/>
          <w:sz w:val="21"/>
          <w:szCs w:val="21"/>
        </w:rPr>
        <w:t xml:space="preserve">Approval Tier-Wise Breakdown — a donut chart splitting spend value across Auto / 2-Person / 3-Person.</w:t>
      </w:r>
    </w:p>
    <w:p>
      <w:pPr>
        <w:pStyle w:val="ListParagraph"/>
        <w:numPr>
          <w:ilvl w:val="0"/>
          <w:numId w:val="2"/>
        </w:numPr>
        <w:spacing w:after="60" w:line="280"/>
      </w:pPr>
      <w:r>
        <w:rPr>
          <w:rFonts w:ascii="Lato" w:cs="Lato" w:eastAsia="Lato" w:hAnsi="Lato"/>
          <w:color w:val="475467"/>
          <w:sz w:val="21"/>
          <w:szCs w:val="21"/>
        </w:rPr>
        <w:t xml:space="preserve">Department-Wise Bar Chart — a horizontal bar chart ranking departments by spend value.</w:t>
      </w:r>
    </w:p>
    <w:p>
      <w:pPr>
        <w:pStyle w:val="ListParagraph"/>
        <w:numPr>
          <w:ilvl w:val="0"/>
          <w:numId w:val="2"/>
        </w:numPr>
        <w:spacing w:after="60" w:line="280"/>
      </w:pPr>
      <w:r>
        <w:rPr>
          <w:rFonts w:ascii="Lato" w:cs="Lato" w:eastAsia="Lato" w:hAnsi="Lato"/>
          <w:color w:val="475467"/>
          <w:sz w:val="21"/>
          <w:szCs w:val="21"/>
        </w:rPr>
        <w:t xml:space="preserve">Approval Funnel Bar — a stage-count bar from Submitted through to Approved / Rejected, making bottleneck stages visually obvious.</w:t>
      </w:r>
    </w:p>
    <w:p>
      <w:pPr>
        <w:pStyle w:val="ListParagraph"/>
        <w:numPr>
          <w:ilvl w:val="0"/>
          <w:numId w:val="2"/>
        </w:numPr>
        <w:spacing w:after="60" w:line="280"/>
      </w:pPr>
      <w:r>
        <w:rPr>
          <w:rFonts w:ascii="Lato" w:cs="Lato" w:eastAsia="Lato" w:hAnsi="Lato"/>
          <w:color w:val="475467"/>
          <w:sz w:val="21"/>
          <w:szCs w:val="21"/>
        </w:rPr>
        <w:t xml:space="preserve">Escalation List — a short list of the requests currently overdue against their SLA, each with days-overdue and current stage; this list is expected to stay short, not mirror the full pending queue.</w:t>
      </w:r>
    </w:p>
    <w:p>
      <w:pPr>
        <w:spacing w:after="80" w:before="200"/>
      </w:pPr>
      <w:r>
        <w:rPr>
          <w:rFonts w:ascii="Lato" w:cs="Lato" w:eastAsia="Lato" w:hAnsi="Lato"/>
          <w:b/>
          <w:bCs/>
          <w:color w:val="1A1F36"/>
          <w:sz w:val="21"/>
          <w:szCs w:val="21"/>
        </w:rPr>
        <w:t xml:space="preserve">Key Data Elements</w:t>
      </w:r>
    </w:p>
    <w:p>
      <w:pPr>
        <w:pStyle w:val="ListParagraph"/>
        <w:numPr>
          <w:ilvl w:val="0"/>
          <w:numId w:val="2"/>
        </w:numPr>
        <w:spacing w:after="60" w:line="280"/>
      </w:pPr>
      <w:r>
        <w:rPr>
          <w:rFonts w:ascii="Lato" w:cs="Lato" w:eastAsia="Lato" w:hAnsi="Lato"/>
          <w:color w:val="475467"/>
          <w:sz w:val="21"/>
          <w:szCs w:val="21"/>
        </w:rPr>
        <w:t xml:space="preserve">Reporting Period, Approval Tier-wise Volume &amp; Value, Department-wise Volume &amp; Value, Approval Funnel Counts, Escalation List, Average Turnaround by Approval Tier.</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7. End-to-End Workflow</w:t>
      </w:r>
    </w:p>
    <w:p>
      <w:pPr>
        <w:spacing w:after="140" w:line="300"/>
      </w:pPr>
      <w:r>
        <w:rPr>
          <w:rFonts w:ascii="Lato" w:cs="Lato" w:eastAsia="Lato" w:hAnsi="Lato"/>
          <w:color w:val="475467"/>
          <w:sz w:val="21"/>
          <w:szCs w:val="21"/>
        </w:rPr>
        <w:t xml:space="preserve">A spend request moves through the following sequence from submission to resolution:</w:t>
      </w:r>
    </w:p>
    <w:p>
      <w:pPr>
        <w:pStyle w:val="ListParagraph"/>
        <w:numPr>
          <w:ilvl w:val="0"/>
          <w:numId w:val="2"/>
        </w:numPr>
        <w:spacing w:after="60" w:line="280"/>
      </w:pPr>
      <w:r>
        <w:rPr>
          <w:rFonts w:ascii="Lato" w:cs="Lato" w:eastAsia="Lato" w:hAnsi="Lato"/>
          <w:color w:val="475467"/>
          <w:sz w:val="21"/>
          <w:szCs w:val="21"/>
        </w:rPr>
        <w:t xml:space="preserve">1. Requester submits a request through the Request Intake Form.</w:t>
      </w:r>
    </w:p>
    <w:p>
      <w:pPr>
        <w:pStyle w:val="ListParagraph"/>
        <w:numPr>
          <w:ilvl w:val="0"/>
          <w:numId w:val="2"/>
        </w:numPr>
        <w:spacing w:after="60" w:line="280"/>
      </w:pPr>
      <w:r>
        <w:rPr>
          <w:rFonts w:ascii="Lato" w:cs="Lato" w:eastAsia="Lato" w:hAnsi="Lato"/>
          <w:color w:val="475467"/>
          <w:sz w:val="21"/>
          <w:szCs w:val="21"/>
        </w:rPr>
        <w:t xml:space="preserve">2. Creator evaluates the amount and assigns the correct Approval Tier automatically.</w:t>
      </w:r>
    </w:p>
    <w:p>
      <w:pPr>
        <w:pStyle w:val="ListParagraph"/>
        <w:numPr>
          <w:ilvl w:val="0"/>
          <w:numId w:val="2"/>
        </w:numPr>
        <w:spacing w:after="60" w:line="280"/>
      </w:pPr>
      <w:r>
        <w:rPr>
          <w:rFonts w:ascii="Lato" w:cs="Lato" w:eastAsia="Lato" w:hAnsi="Lato"/>
          <w:color w:val="475467"/>
          <w:sz w:val="21"/>
          <w:szCs w:val="21"/>
        </w:rPr>
        <w:t xml:space="preserve">3. The request routes through the required chain for that tier — Auto, RM + Finance, or RM + Department Head + Finance.</w:t>
      </w:r>
    </w:p>
    <w:p>
      <w:pPr>
        <w:pStyle w:val="ListParagraph"/>
        <w:numPr>
          <w:ilvl w:val="0"/>
          <w:numId w:val="2"/>
        </w:numPr>
        <w:spacing w:after="60" w:line="280"/>
      </w:pPr>
      <w:r>
        <w:rPr>
          <w:rFonts w:ascii="Lato" w:cs="Lato" w:eastAsia="Lato" w:hAnsi="Lato"/>
          <w:color w:val="475467"/>
          <w:sz w:val="21"/>
          <w:szCs w:val="21"/>
        </w:rPr>
        <w:t xml:space="preserve">4. Each approver in the chain reviews and Approves, Holds, or Rejects; an Approve advances the request automatically.</w:t>
      </w:r>
    </w:p>
    <w:p>
      <w:pPr>
        <w:pStyle w:val="ListParagraph"/>
        <w:numPr>
          <w:ilvl w:val="0"/>
          <w:numId w:val="2"/>
        </w:numPr>
        <w:spacing w:after="60" w:line="280"/>
      </w:pPr>
      <w:r>
        <w:rPr>
          <w:rFonts w:ascii="Lato" w:cs="Lato" w:eastAsia="Lato" w:hAnsi="Lato"/>
          <w:color w:val="475467"/>
          <w:sz w:val="21"/>
          <w:szCs w:val="21"/>
        </w:rPr>
        <w:t xml:space="preserve">5. Once fully cleared, the request status updates to Approved and becomes available for downstream posting through the organization's connected core system (e.g., SAP or Oracle).</w:t>
      </w:r>
    </w:p>
    <w:p>
      <w:pPr>
        <w:pStyle w:val="ListParagraph"/>
        <w:numPr>
          <w:ilvl w:val="0"/>
          <w:numId w:val="2"/>
        </w:numPr>
        <w:spacing w:after="60" w:line="280"/>
      </w:pPr>
      <w:r>
        <w:rPr>
          <w:rFonts w:ascii="Lato" w:cs="Lato" w:eastAsia="Lato" w:hAnsi="Lato"/>
          <w:color w:val="475467"/>
          <w:sz w:val="21"/>
          <w:szCs w:val="21"/>
        </w:rPr>
        <w:t xml:space="preserve">6. The Dashboard reflects the request's current state at every step, for every relevant persona.</w:t>
      </w:r>
    </w:p>
    <w:p>
      <w:pPr>
        <w:pStyle w:val="Heading1"/>
        <w:pBdr>
          <w:bottom w:val="single" w:color="1D4ED8" w:sz="8" w:space="4"/>
        </w:pBdr>
        <w:spacing w:after="160" w:before="360"/>
      </w:pPr>
      <w:r>
        <w:rPr>
          <w:rFonts w:ascii="Lato" w:cs="Lato" w:eastAsia="Lato" w:hAnsi="Lato"/>
          <w:b/>
          <w:bCs/>
          <w:color w:val="1A1F36"/>
          <w:sz w:val="30"/>
          <w:szCs w:val="30"/>
        </w:rPr>
        <w:t xml:space="preserve">8. Design &amp; Data Governance</w:t>
      </w:r>
    </w:p>
    <w:p>
      <w:pPr>
        <w:pStyle w:val="Heading2"/>
        <w:spacing w:after="120" w:before="280"/>
      </w:pPr>
      <w:r>
        <w:rPr>
          <w:rFonts w:ascii="Lato" w:cs="Lato" w:eastAsia="Lato" w:hAnsi="Lato"/>
          <w:b/>
          <w:bCs/>
          <w:color w:val="1D4ED8"/>
          <w:sz w:val="24"/>
          <w:szCs w:val="24"/>
        </w:rPr>
        <w:t xml:space="preserve">8.1 Visual System</w:t>
      </w:r>
    </w:p>
    <w:p>
      <w:pPr>
        <w:pStyle w:val="ListParagraph"/>
        <w:numPr>
          <w:ilvl w:val="0"/>
          <w:numId w:val="2"/>
        </w:numPr>
        <w:spacing w:after="60" w:line="280"/>
      </w:pPr>
      <w:r>
        <w:rPr>
          <w:rFonts w:ascii="Lato" w:cs="Lato" w:eastAsia="Lato" w:hAnsi="Lato"/>
          <w:color w:val="475467"/>
          <w:sz w:val="21"/>
          <w:szCs w:val="21"/>
        </w:rPr>
        <w:t xml:space="preserve">Framework — React, with inline pixel-value styles throughout (no Tailwind utility classes).</w:t>
      </w:r>
    </w:p>
    <w:p>
      <w:pPr>
        <w:pStyle w:val="ListParagraph"/>
        <w:numPr>
          <w:ilvl w:val="0"/>
          <w:numId w:val="2"/>
        </w:numPr>
        <w:spacing w:after="60" w:line="280"/>
      </w:pPr>
      <w:r>
        <w:rPr>
          <w:rFonts w:ascii="Lato" w:cs="Lato" w:eastAsia="Lato" w:hAnsi="Lato"/>
          <w:color w:val="475467"/>
          <w:sz w:val="21"/>
          <w:szCs w:val="21"/>
        </w:rPr>
        <w:t xml:space="preserve">Typography — Lato across all screens.</w:t>
      </w:r>
    </w:p>
    <w:p>
      <w:pPr>
        <w:pStyle w:val="ListParagraph"/>
        <w:numPr>
          <w:ilvl w:val="0"/>
          <w:numId w:val="2"/>
        </w:numPr>
        <w:spacing w:after="60" w:line="280"/>
      </w:pPr>
      <w:r>
        <w:rPr>
          <w:rFonts w:ascii="Lato" w:cs="Lato" w:eastAsia="Lato" w:hAnsi="Lato"/>
          <w:color w:val="475467"/>
          <w:sz w:val="21"/>
          <w:szCs w:val="21"/>
        </w:rPr>
        <w:t xml:space="preserve">Accent Color — Cobalt Blue, used consistently for primary actions, active navigation states, and key data highlights.</w:t>
      </w:r>
    </w:p>
    <w:p>
      <w:pPr>
        <w:pStyle w:val="ListParagraph"/>
        <w:numPr>
          <w:ilvl w:val="0"/>
          <w:numId w:val="2"/>
        </w:numPr>
        <w:spacing w:after="60" w:line="280"/>
      </w:pPr>
      <w:r>
        <w:rPr>
          <w:rFonts w:ascii="Lato" w:cs="Lato" w:eastAsia="Lato" w:hAnsi="Lato"/>
          <w:color w:val="475467"/>
          <w:sz w:val="21"/>
          <w:szCs w:val="21"/>
        </w:rPr>
        <w:t xml:space="preserve">Navigation — dark, fixed left-hand navigation sidebar with outline-style module icons; whatever navigation color is used, text, icons, and active-state highlights must maintain strong contrast — navigation styling must never come at the cost of readability.</w:t>
      </w:r>
    </w:p>
    <w:p>
      <w:pPr>
        <w:pStyle w:val="ListParagraph"/>
        <w:numPr>
          <w:ilvl w:val="0"/>
          <w:numId w:val="2"/>
        </w:numPr>
        <w:spacing w:after="60" w:line="280"/>
      </w:pPr>
      <w:r>
        <w:rPr>
          <w:rFonts w:ascii="Lato" w:cs="Lato" w:eastAsia="Lato" w:hAnsi="Lato"/>
          <w:color w:val="475467"/>
          <w:sz w:val="21"/>
          <w:szCs w:val="21"/>
        </w:rPr>
        <w:t xml:space="preserve">Header Utility Icons — Accessibility, Notification, and Profile icons anchored in the top-right of every screen, consistent in placement and style across all three modules.</w:t>
      </w:r>
    </w:p>
    <w:p>
      <w:pPr>
        <w:pStyle w:val="ListParagraph"/>
        <w:numPr>
          <w:ilvl w:val="0"/>
          <w:numId w:val="2"/>
        </w:numPr>
        <w:spacing w:after="60" w:line="280"/>
      </w:pPr>
      <w:r>
        <w:rPr>
          <w:rFonts w:ascii="Lato" w:cs="Lato" w:eastAsia="Lato" w:hAnsi="Lato"/>
          <w:color w:val="475467"/>
          <w:sz w:val="21"/>
          <w:szCs w:val="21"/>
        </w:rPr>
        <w:t xml:space="preserve">Approval Action Buttons — Approve, Hold, and Reject are always identical in size, solid-filled, color-coded (green / amber / red), and icon-free.</w:t>
      </w:r>
    </w:p>
    <w:p>
      <w:pPr>
        <w:pStyle w:val="ListParagraph"/>
        <w:numPr>
          <w:ilvl w:val="0"/>
          <w:numId w:val="2"/>
        </w:numPr>
        <w:spacing w:after="60" w:line="280"/>
      </w:pPr>
      <w:r>
        <w:rPr>
          <w:rFonts w:ascii="Lato" w:cs="Lato" w:eastAsia="Lato" w:hAnsi="Lato"/>
          <w:color w:val="475467"/>
          <w:sz w:val="21"/>
          <w:szCs w:val="21"/>
        </w:rPr>
        <w:t xml:space="preserve">Light Accent Usage — the light tint used for stat-card backgrounds, callouts, and highlights must stay pale enough that body text and numbers remain fully legible at a glance; never let a highlight tint drift toward mid-tone saturation.</w:t>
      </w:r>
    </w:p>
    <w:p>
      <w:pPr>
        <w:pStyle w:val="Heading2"/>
        <w:spacing w:after="120" w:before="280"/>
      </w:pPr>
      <w:r>
        <w:rPr>
          <w:rFonts w:ascii="Lato" w:cs="Lato" w:eastAsia="Lato" w:hAnsi="Lato"/>
          <w:b/>
          <w:bCs/>
          <w:color w:val="1D4ED8"/>
          <w:sz w:val="24"/>
          <w:szCs w:val="24"/>
        </w:rPr>
        <w:t xml:space="preserve">8.2 Data Standards</w:t>
      </w:r>
    </w:p>
    <w:p>
      <w:pPr>
        <w:pStyle w:val="ListParagraph"/>
        <w:numPr>
          <w:ilvl w:val="0"/>
          <w:numId w:val="2"/>
        </w:numPr>
        <w:spacing w:after="60" w:line="280"/>
      </w:pPr>
      <w:r>
        <w:rPr>
          <w:rFonts w:ascii="Lato" w:cs="Lato" w:eastAsia="Lato" w:hAnsi="Lato"/>
          <w:color w:val="475467"/>
          <w:sz w:val="21"/>
          <w:szCs w:val="21"/>
        </w:rPr>
        <w:t xml:space="preserve">All figures shown in USD ($).</w:t>
      </w:r>
    </w:p>
    <w:p>
      <w:pPr>
        <w:pStyle w:val="ListParagraph"/>
        <w:numPr>
          <w:ilvl w:val="0"/>
          <w:numId w:val="2"/>
        </w:numPr>
        <w:spacing w:after="60" w:line="280"/>
      </w:pPr>
      <w:r>
        <w:rPr>
          <w:rFonts w:ascii="Lato" w:cs="Lato" w:eastAsia="Lato" w:hAnsi="Lato"/>
          <w:color w:val="475467"/>
          <w:sz w:val="21"/>
          <w:szCs w:val="21"/>
        </w:rPr>
        <w:t xml:space="preserve">Company, plant, and employee names are fully fictional but realistic, reflecting a globally diverse manufacturing workforce.</w:t>
      </w:r>
    </w:p>
    <w:p>
      <w:pPr>
        <w:pStyle w:val="ListParagraph"/>
        <w:numPr>
          <w:ilvl w:val="0"/>
          <w:numId w:val="2"/>
        </w:numPr>
        <w:spacing w:after="60" w:line="280"/>
      </w:pPr>
      <w:r>
        <w:rPr>
          <w:rFonts w:ascii="Lato" w:cs="Lato" w:eastAsia="Lato" w:hAnsi="Lato"/>
          <w:color w:val="475467"/>
          <w:sz w:val="21"/>
          <w:szCs w:val="21"/>
        </w:rPr>
        <w:t xml:space="preserve">Every value populated on screen is drawn strictly from Part II — Sample Data Reference; screens must not introduce data not present there.</w:t>
      </w:r>
    </w:p>
    <w:p>
      <w:pPr>
        <w:pStyle w:val="Heading2"/>
        <w:spacing w:after="120" w:before="280"/>
      </w:pPr>
      <w:r>
        <w:rPr>
          <w:rFonts w:ascii="Lato" w:cs="Lato" w:eastAsia="Lato" w:hAnsi="Lato"/>
          <w:b/>
          <w:bCs/>
          <w:color w:val="1D4ED8"/>
          <w:sz w:val="24"/>
          <w:szCs w:val="24"/>
        </w:rPr>
        <w:t xml:space="preserve">8.3 Sensitive Data Masking</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120"/>
        <w:gridCol w:w="5120"/>
      </w:tblGrid>
      <w:tr>
        <w:tc>
          <w:tcPr>
            <w:tcW w:type="dxa" w:w="51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Data Type</w:t>
            </w:r>
          </w:p>
        </w:tc>
        <w:tc>
          <w:tcPr>
            <w:tcW w:type="dxa" w:w="51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Masking Format</w:t>
            </w:r>
          </w:p>
        </w:tc>
      </w:tr>
      <w:tr>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Employee ID</w:t>
            </w:r>
          </w:p>
        </w:tc>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EMP-•••-3042</w:t>
            </w:r>
          </w:p>
        </w:tc>
      </w:tr>
      <w:tr>
        <w:tc>
          <w:tcPr>
            <w:tcW w:type="dxa" w:w="51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Email Address</w:t>
            </w:r>
          </w:p>
        </w:tc>
        <w:tc>
          <w:tcPr>
            <w:tcW w:type="dxa" w:w="51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ra••••@example.com</w:t>
            </w:r>
          </w:p>
        </w:tc>
      </w:tr>
      <w:tr>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Phone Number</w:t>
            </w:r>
          </w:p>
        </w:tc>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 •••• 7710</w:t>
            </w:r>
          </w:p>
        </w:tc>
      </w:tr>
    </w:tbl>
    <w:p>
      <w:pPr>
        <w:pStyle w:val="Heading1"/>
        <w:pBdr>
          <w:bottom w:val="single" w:color="1D4ED8" w:sz="8" w:space="4"/>
        </w:pBdr>
        <w:spacing w:after="160" w:before="360"/>
      </w:pPr>
      <w:r>
        <w:rPr>
          <w:rFonts w:ascii="Lato" w:cs="Lato" w:eastAsia="Lato" w:hAnsi="Lato"/>
          <w:b/>
          <w:bCs/>
          <w:color w:val="1A1F36"/>
          <w:sz w:val="30"/>
          <w:szCs w:val="30"/>
        </w:rPr>
        <w:t xml:space="preserve">9. Assumptions &amp; Constraints</w:t>
      </w:r>
    </w:p>
    <w:p>
      <w:pPr>
        <w:pStyle w:val="ListParagraph"/>
        <w:numPr>
          <w:ilvl w:val="0"/>
          <w:numId w:val="2"/>
        </w:numPr>
        <w:spacing w:after="60" w:line="280"/>
      </w:pPr>
      <w:r>
        <w:rPr>
          <w:rFonts w:ascii="Lato" w:cs="Lato" w:eastAsia="Lato" w:hAnsi="Lato"/>
          <w:color w:val="475467"/>
          <w:sz w:val="21"/>
          <w:szCs w:val="21"/>
        </w:rPr>
        <w:t xml:space="preserve">Thresholds ($1,000 and $50,000) are fixed for this phase and not configurable per department.</w:t>
      </w:r>
    </w:p>
    <w:p>
      <w:pPr>
        <w:pStyle w:val="ListParagraph"/>
        <w:numPr>
          <w:ilvl w:val="0"/>
          <w:numId w:val="2"/>
        </w:numPr>
        <w:spacing w:after="60" w:line="280"/>
      </w:pPr>
      <w:r>
        <w:rPr>
          <w:rFonts w:ascii="Lato" w:cs="Lato" w:eastAsia="Lato" w:hAnsi="Lato"/>
          <w:color w:val="475467"/>
          <w:sz w:val="21"/>
          <w:szCs w:val="21"/>
        </w:rPr>
        <w:t xml:space="preserve">This release covers web screens only; mobile companion screens are out of scope.</w:t>
      </w:r>
    </w:p>
    <w:p>
      <w:pPr>
        <w:pStyle w:val="ListParagraph"/>
        <w:numPr>
          <w:ilvl w:val="0"/>
          <w:numId w:val="2"/>
        </w:numPr>
        <w:spacing w:after="60" w:line="280"/>
      </w:pPr>
      <w:r>
        <w:rPr>
          <w:rFonts w:ascii="Lato" w:cs="Lato" w:eastAsia="Lato" w:hAnsi="Lato"/>
          <w:color w:val="475467"/>
          <w:sz w:val="21"/>
          <w:szCs w:val="21"/>
        </w:rPr>
        <w:t xml:space="preserve">The organization is modeled as a single global manufacturing company with multiple plant-side departments.</w:t>
      </w:r>
    </w:p>
    <w:p>
      <w:pPr>
        <w:pStyle w:val="ListParagraph"/>
        <w:numPr>
          <w:ilvl w:val="0"/>
          <w:numId w:val="2"/>
        </w:numPr>
        <w:spacing w:after="60" w:line="280"/>
      </w:pPr>
      <w:r>
        <w:rPr>
          <w:rFonts w:ascii="Lato" w:cs="Lato" w:eastAsia="Lato" w:hAnsi="Lato"/>
          <w:color w:val="475467"/>
          <w:sz w:val="21"/>
          <w:szCs w:val="21"/>
        </w:rPr>
        <w:t xml:space="preserve">Integration with any specific core system (SAP, Oracle, or otherwise) is a downstream, out-of-band concern for this phase — this app is designed to be interoperable, not dependent on one.</w:t>
      </w:r>
    </w:p>
    <w:p>
      <w:pPr>
        <w:pStyle w:val="ListParagraph"/>
        <w:numPr>
          <w:ilvl w:val="0"/>
          <w:numId w:val="2"/>
        </w:numPr>
        <w:spacing w:after="60" w:line="280"/>
      </w:pPr>
      <w:r>
        <w:rPr>
          <w:rFonts w:ascii="Lato" w:cs="Lato" w:eastAsia="Lato" w:hAnsi="Lato"/>
          <w:color w:val="475467"/>
          <w:sz w:val="21"/>
          <w:szCs w:val="21"/>
        </w:rPr>
        <w:t xml:space="preserve">All data used across screens is fictional and created solely for presentation purposes.</w:t>
      </w:r>
    </w:p>
    <w:p>
      <w:pPr>
        <w:pStyle w:val="Heading1"/>
        <w:pBdr>
          <w:bottom w:val="single" w:color="1D4ED8" w:sz="8" w:space="4"/>
        </w:pBdr>
        <w:spacing w:after="160" w:before="360"/>
      </w:pPr>
      <w:r>
        <w:rPr>
          <w:rFonts w:ascii="Lato" w:cs="Lato" w:eastAsia="Lato" w:hAnsi="Lato"/>
          <w:b/>
          <w:bCs/>
          <w:color w:val="1A1F36"/>
          <w:sz w:val="30"/>
          <w:szCs w:val="30"/>
        </w:rPr>
        <w:t xml:space="preserve">10. Success Metrics</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3982"/>
        <w:gridCol w:w="6258"/>
      </w:tblGrid>
      <w:tr>
        <w:tc>
          <w:tcPr>
            <w:tcW w:type="dxa" w:w="398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Metric</w:t>
            </w:r>
          </w:p>
        </w:tc>
        <w:tc>
          <w:tcPr>
            <w:tcW w:type="dxa" w:w="625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Target Signal</w:t>
            </w:r>
          </w:p>
        </w:tc>
      </w:tr>
      <w:tr>
        <w:tc>
          <w:tcPr>
            <w:tcW w:type="dxa" w:w="398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cycle time</w:t>
            </w:r>
          </w:p>
        </w:tc>
        <w:tc>
          <w:tcPr>
            <w:tcW w:type="dxa" w:w="625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Reduction in average time-to-decision, especially for 2-person tier requests</w:t>
            </w:r>
          </w:p>
        </w:tc>
      </w:tr>
      <w:tr>
        <w:tc>
          <w:tcPr>
            <w:tcW w:type="dxa" w:w="398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Auto-approval accuracy</w:t>
            </w:r>
          </w:p>
        </w:tc>
        <w:tc>
          <w:tcPr>
            <w:tcW w:type="dxa" w:w="625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Low-value requests clear without unnecessary manual review</w:t>
            </w:r>
          </w:p>
        </w:tc>
      </w:tr>
      <w:tr>
        <w:tc>
          <w:tcPr>
            <w:tcW w:type="dxa" w:w="398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Visibility</w:t>
            </w:r>
          </w:p>
        </w:tc>
        <w:tc>
          <w:tcPr>
            <w:tcW w:type="dxa" w:w="625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Reduced need for ad-hoc status check-ins across departments</w:t>
            </w:r>
          </w:p>
        </w:tc>
      </w:tr>
    </w:tbl>
    <w:p>
      <w:r>
        <w:br w:type="page"/>
      </w:r>
    </w:p>
    <w:p>
      <w:pPr>
        <w:pStyle w:val="Heading1"/>
        <w:pBdr>
          <w:top w:val="single" w:color="1D4ED8" w:sz="16" w:space="8"/>
          <w:bottom w:val="single" w:color="1D4ED8" w:sz="16" w:space="8"/>
        </w:pBdr>
        <w:spacing w:after="220" w:before="200"/>
        <w:jc w:val="center"/>
      </w:pPr>
      <w:r>
        <w:rPr>
          <w:rFonts w:ascii="Lato" w:cs="Lato" w:eastAsia="Lato" w:hAnsi="Lato"/>
          <w:b/>
          <w:bCs/>
          <w:color w:val="1D4ED8"/>
          <w:sz w:val="34"/>
          <w:szCs w:val="34"/>
        </w:rPr>
        <w:t xml:space="preserve">PART II — SAMPLE DATA REFERENCE</w:t>
      </w:r>
    </w:p>
    <w:p>
      <w:pPr>
        <w:pStyle w:val="Heading1"/>
        <w:pBdr>
          <w:bottom w:val="single" w:color="1D4ED8" w:sz="8" w:space="4"/>
        </w:pBdr>
        <w:spacing w:after="160" w:before="360"/>
      </w:pPr>
      <w:r>
        <w:rPr>
          <w:rFonts w:ascii="Lato" w:cs="Lato" w:eastAsia="Lato" w:hAnsi="Lato"/>
          <w:b/>
          <w:bCs/>
          <w:color w:val="1A1F36"/>
          <w:sz w:val="30"/>
          <w:szCs w:val="30"/>
        </w:rPr>
        <w:t xml:space="preserve">11. How to Use This Section</w:t>
      </w:r>
    </w:p>
    <w:tbl>
      <w:tblPr>
        <w:tblW w:type="dxa" w:w="10240"/>
        <w:tblBorders>
          <w:top w:val="single" w:color="1D4ED8" w:sz="12"/>
          <w:left w:val="single" w:color="1D4ED8" w:sz="12"/>
          <w:bottom w:val="single" w:color="1D4ED8" w:sz="12"/>
          <w:right w:val="single" w:color="1D4ED8" w:sz="12"/>
          <w:insideH w:val="none"/>
          <w:insideV w:val="none"/>
        </w:tblBorders>
      </w:tblPr>
      <w:tblGrid>
        <w:gridCol w:w="10240"/>
      </w:tblGrid>
      <w:tr>
        <w:tc>
          <w:tcPr>
            <w:shd w:fill="EAF1FE" w:val="clear"/>
            <w:tcMar>
              <w:top w:type="dxa" w:w="160"/>
              <w:left w:type="dxa" w:w="200"/>
              <w:bottom w:type="dxa" w:w="160"/>
              <w:right w:type="dxa" w:w="200"/>
            </w:tcMar>
          </w:tcPr>
          <w:p>
            <w:pPr>
              <w:spacing w:after="60"/>
            </w:pPr>
            <w:r>
              <w:rPr>
                <w:rFonts w:ascii="Lato" w:cs="Lato" w:eastAsia="Lato" w:hAnsi="Lato"/>
                <w:b/>
                <w:bCs/>
                <w:color w:val="1D4ED8"/>
                <w:sz w:val="19"/>
                <w:szCs w:val="19"/>
              </w:rPr>
              <w:t xml:space="preserve">SINGLE SOURCE OF TRUTH</w:t>
            </w:r>
          </w:p>
          <w:p>
            <w:r>
              <w:rPr>
                <w:rFonts w:ascii="Lato" w:cs="Lato" w:eastAsia="Lato" w:hAnsi="Lato"/>
                <w:color w:val="1A1F36"/>
                <w:sz w:val="19"/>
                <w:szCs w:val="19"/>
              </w:rPr>
              <w:t xml:space="preserve">This is the single source of truth for every number, name, and status shown across Zylker Budget Approval screens. All three modules in Part I must be built using only the records below. Where a screen needs more rows than shown here, extend the established pattern rather than introducing unrelated data.</w:t>
            </w:r>
          </w:p>
        </w:tc>
      </w:tr>
    </w:tbl>
    <w:p>
      <w:pPr>
        <w:spacing w:after="140"/>
      </w:pPr>
    </w:p>
    <w:p>
      <w:pPr>
        <w:spacing w:after="160" w:line="280"/>
      </w:pPr>
      <w:r>
        <w:rPr>
          <w:rFonts w:ascii="Lato" w:cs="Lato" w:eastAsia="Lato" w:hAnsi="Lato"/>
          <w:i/>
          <w:iCs/>
          <w:color w:val="475467"/>
          <w:sz w:val="18"/>
          <w:szCs w:val="18"/>
        </w:rPr>
        <w:t xml:space="preserve">Structure note: this dataset is built as a clean 6×3 grid — six departments, each with exactly one request at each of the three Approval Tiers (Auto ≤ $1,000, 2-Person $1,001–$50,000, 3-Person $50,001+) — eighteen requests total.</w:t>
      </w:r>
    </w:p>
    <w:p>
      <w:pPr>
        <w:spacing w:after="160" w:line="280"/>
      </w:pPr>
      <w:r>
        <w:rPr>
          <w:rFonts w:ascii="Lato" w:cs="Lato" w:eastAsia="Lato" w:hAnsi="Lato"/>
          <w:i/>
          <w:iCs/>
          <w:color w:val="475467"/>
          <w:sz w:val="18"/>
          <w:szCs w:val="18"/>
        </w:rPr>
        <w:t xml:space="preserve">Timeline note: sample data is viewed as of 15 Sep 2026. Requests were submitted across August and September 2026; most pending SLA due dates fall in November and December 2026, with only two requests currently overdue — reflecting a realistic queue rather than one where everything is simultaneously past due.</w:t>
      </w:r>
    </w:p>
    <w:p>
      <w:pPr>
        <w:spacing w:after="160"/>
      </w:pPr>
    </w:p>
    <w:p>
      <w:pPr>
        <w:pStyle w:val="Heading1"/>
        <w:pBdr>
          <w:bottom w:val="single" w:color="1D4ED8" w:sz="8" w:space="4"/>
        </w:pBdr>
        <w:spacing w:after="160" w:before="360"/>
      </w:pPr>
      <w:r>
        <w:rPr>
          <w:rFonts w:ascii="Lato" w:cs="Lato" w:eastAsia="Lato" w:hAnsi="Lato"/>
          <w:b/>
          <w:bCs/>
          <w:color w:val="1A1F36"/>
          <w:sz w:val="30"/>
          <w:szCs w:val="30"/>
        </w:rPr>
        <w:t xml:space="preserve">12. Company &amp; Personas</w:t>
      </w:r>
    </w:p>
    <w:p>
      <w:pPr>
        <w:spacing w:after="140" w:line="300"/>
      </w:pPr>
      <w:r>
        <w:rPr>
          <w:rFonts w:ascii="Lato" w:cs="Lato" w:eastAsia="Lato" w:hAnsi="Lato"/>
          <w:color w:val="475467"/>
          <w:sz w:val="21"/>
          <w:szCs w:val="21"/>
        </w:rPr>
        <w:t xml:space="preserve">Company: Atlas Precision Manufacturing Inc. — a global manufacturer with plants across North America, Europe, and Asia; sample data below reflects its North American plant (Plant 3, Ohio, USA) and its globally diverse workforce. Each department's requester raises all three of that department's sample requests, so selecting their name and department together resolves a single, unambiguous Requester ID in the intake form.</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2773"/>
        <w:gridCol w:w="1920"/>
        <w:gridCol w:w="1706"/>
        <w:gridCol w:w="1920"/>
        <w:gridCol w:w="1921"/>
      </w:tblGrid>
      <w:tr>
        <w:tc>
          <w:tcPr>
            <w:tcW w:type="dxa" w:w="2773"/>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19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Requester</w:t>
            </w:r>
          </w:p>
        </w:tc>
        <w:tc>
          <w:tcPr>
            <w:tcW w:type="dxa" w:w="170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Requester ID</w:t>
            </w:r>
          </w:p>
        </w:tc>
        <w:tc>
          <w:tcPr>
            <w:tcW w:type="dxa" w:w="19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Reporting Manager</w:t>
            </w:r>
          </w:p>
        </w:tc>
        <w:tc>
          <w:tcPr>
            <w:tcW w:type="dxa" w:w="1921"/>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 Head</w:t>
            </w:r>
          </w:p>
        </w:tc>
      </w:tr>
      <w:tr>
        <w:tc>
          <w:tcPr>
            <w:tcW w:type="dxa" w:w="277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Carlos Medina</w:t>
            </w:r>
          </w:p>
        </w:tc>
        <w:tc>
          <w:tcPr>
            <w:tcW w:type="dxa" w:w="170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EMP-•••-3011</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Jason Miller</w:t>
            </w:r>
          </w:p>
        </w:tc>
        <w:tc>
          <w:tcPr>
            <w:tcW w:type="dxa" w:w="19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Henrik Larsson</w:t>
            </w:r>
          </w:p>
        </w:tc>
      </w:tr>
      <w:tr>
        <w:tc>
          <w:tcPr>
            <w:tcW w:type="dxa" w:w="277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Wei Zhang</w:t>
            </w:r>
          </w:p>
        </w:tc>
        <w:tc>
          <w:tcPr>
            <w:tcW w:type="dxa" w:w="170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EMP-•••-3024</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Fatima Al-Sayed</w:t>
            </w:r>
          </w:p>
        </w:tc>
        <w:tc>
          <w:tcPr>
            <w:tcW w:type="dxa" w:w="19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Aisha Bello</w:t>
            </w:r>
          </w:p>
        </w:tc>
      </w:tr>
      <w:tr>
        <w:tc>
          <w:tcPr>
            <w:tcW w:type="dxa" w:w="277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Amara Okafor</w:t>
            </w:r>
          </w:p>
        </w:tc>
        <w:tc>
          <w:tcPr>
            <w:tcW w:type="dxa" w:w="170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EMP-•••-3037</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Marco Rossi</w:t>
            </w:r>
          </w:p>
        </w:tc>
        <w:tc>
          <w:tcPr>
            <w:tcW w:type="dxa" w:w="19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Takeshi Yamamoto</w:t>
            </w:r>
          </w:p>
        </w:tc>
      </w:tr>
      <w:tr>
        <w:tc>
          <w:tcPr>
            <w:tcW w:type="dxa" w:w="277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Elena Petrova</w:t>
            </w:r>
          </w:p>
        </w:tc>
        <w:tc>
          <w:tcPr>
            <w:tcW w:type="dxa" w:w="170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EMP-•••-3042</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Grace Kim</w:t>
            </w:r>
          </w:p>
        </w:tc>
        <w:tc>
          <w:tcPr>
            <w:tcW w:type="dxa" w:w="19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Isabella Fischer</w:t>
            </w:r>
          </w:p>
        </w:tc>
      </w:tr>
      <w:tr>
        <w:tc>
          <w:tcPr>
            <w:tcW w:type="dxa" w:w="277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Daniel Cohen</w:t>
            </w:r>
          </w:p>
        </w:tc>
        <w:tc>
          <w:tcPr>
            <w:tcW w:type="dxa" w:w="170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EMP-•••-3055</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Liam O'Connor</w:t>
            </w:r>
          </w:p>
        </w:tc>
        <w:tc>
          <w:tcPr>
            <w:tcW w:type="dxa" w:w="19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Noah Bergström</w:t>
            </w:r>
          </w:p>
        </w:tc>
      </w:tr>
      <w:tr>
        <w:tc>
          <w:tcPr>
            <w:tcW w:type="dxa" w:w="277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Priya Nair</w:t>
            </w:r>
          </w:p>
        </w:tc>
        <w:tc>
          <w:tcPr>
            <w:tcW w:type="dxa" w:w="170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EMP-•••-3068</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Sofia Martins</w:t>
            </w:r>
          </w:p>
        </w:tc>
        <w:tc>
          <w:tcPr>
            <w:tcW w:type="dxa" w:w="19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Chidi Eze</w:t>
            </w:r>
          </w:p>
        </w:tc>
      </w:tr>
    </w:tbl>
    <w:p>
      <w:pPr>
        <w:spacing w:after="120"/>
      </w:pPr>
    </w:p>
    <w:p>
      <w:pPr>
        <w:spacing w:after="80" w:before="200"/>
      </w:pPr>
      <w:r>
        <w:rPr>
          <w:rFonts w:ascii="Lato" w:cs="Lato" w:eastAsia="Lato" w:hAnsi="Lato"/>
          <w:b/>
          <w:bCs/>
          <w:color w:val="1A1F36"/>
          <w:sz w:val="21"/>
          <w:szCs w:val="21"/>
        </w:rPr>
        <w:t xml:space="preserve">Fixed Roles (All Departments)</w:t>
      </w:r>
    </w:p>
    <w:p>
      <w:pPr>
        <w:pStyle w:val="ListParagraph"/>
        <w:numPr>
          <w:ilvl w:val="0"/>
          <w:numId w:val="2"/>
        </w:numPr>
        <w:spacing w:after="60" w:line="280"/>
      </w:pPr>
      <w:r>
        <w:rPr>
          <w:rFonts w:ascii="Lato" w:cs="Lato" w:eastAsia="Lato" w:hAnsi="Lato"/>
          <w:color w:val="475467"/>
          <w:sz w:val="21"/>
          <w:szCs w:val="21"/>
        </w:rPr>
        <w:t xml:space="preserve">Finance Controller (Final Approver, all tiers): Olivia Bennett</w:t>
      </w:r>
    </w:p>
    <w:p>
      <w:pPr>
        <w:pStyle w:val="ListParagraph"/>
        <w:numPr>
          <w:ilvl w:val="0"/>
          <w:numId w:val="2"/>
        </w:numPr>
        <w:spacing w:after="60" w:line="280"/>
      </w:pPr>
      <w:r>
        <w:rPr>
          <w:rFonts w:ascii="Lato" w:cs="Lato" w:eastAsia="Lato" w:hAnsi="Lato"/>
          <w:color w:val="475467"/>
          <w:sz w:val="21"/>
          <w:szCs w:val="21"/>
        </w:rPr>
        <w:t xml:space="preserve">Operations Director (Dashboard / Leadership viewer): Daniel Osei</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13. Module 1 — Request Intake: Catalog &amp; Submitted Requests</w:t>
      </w:r>
    </w:p>
    <w:p>
      <w:pPr>
        <w:spacing w:after="140" w:line="300"/>
      </w:pPr>
      <w:r>
        <w:rPr>
          <w:rFonts w:ascii="Lato" w:cs="Lato" w:eastAsia="Lato" w:hAnsi="Lato"/>
          <w:color w:val="475467"/>
          <w:sz w:val="21"/>
          <w:szCs w:val="21"/>
        </w:rPr>
        <w:t xml:space="preserve">Eighteen requests — one per department, per Approval Tier — doubling as both the submitted-request records and the exact catalog of options the Item/Description dropdown should offer (filtered to the selected department). No status is tracked here; status and stage live in the Approvals data below.</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1645"/>
        <w:gridCol w:w="2102"/>
        <w:gridCol w:w="2742"/>
        <w:gridCol w:w="1280"/>
        <w:gridCol w:w="1097"/>
        <w:gridCol w:w="1374"/>
      </w:tblGrid>
      <w:tr>
        <w:tc>
          <w:tcPr>
            <w:tcW w:type="dxa" w:w="164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210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274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Item / Description</w:t>
            </w:r>
          </w:p>
        </w:tc>
        <w:tc>
          <w:tcPr>
            <w:tcW w:type="dxa" w:w="128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Cost</w:t>
            </w:r>
          </w:p>
        </w:tc>
        <w:tc>
          <w:tcPr>
            <w:tcW w:type="dxa" w:w="1097"/>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Priority</w:t>
            </w:r>
          </w:p>
        </w:tc>
        <w:tc>
          <w:tcPr>
            <w:tcW w:type="dxa" w:w="137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BRQ-2026-0301</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PPE restock — gloves &amp; face shields</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$850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BRQ-2026-0302</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Conveyor sensor upgrade — Line 4</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BRQ-2026-0303</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CNC lathe machine — Unit 2</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BRQ-2026-0304</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Bearing &amp; lubricant spares</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$620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BRQ-2026-0305</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Industrial vacuum pump</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$32,000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Air compressor replacement (plant-wide)</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$94,000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BRQ-2026-0307</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Calibration gauge set</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$780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BRQ-2026-0308</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Digital vernier &amp; micrometer set</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$9,500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Automated inspection system</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$142,000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BRQ-2026-0310</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Packaging consumables restock</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$340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BRQ-2026-0311</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Pallet racking addition</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$22,000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BRQ-2026-0312</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Warehouse racking automation project</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$86,000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BRQ-2026-0313</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Keyboard/mouse replacement batch (20 units)</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$560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BRQ-2026-0314</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Departmental laptop refresh (10 units)</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$48,000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BRQ-2026-0315</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Server &amp; network infrastructure upgrade</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$115,000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BRQ-2026-0316</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Stationery &amp; printing restock</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$210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BRQ-2026-0317</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HRMS software license renewal</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BRQ-2026-0318</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Cafeteria &amp; facility renovation</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$69,000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bl>
    <w:p>
      <w:pPr>
        <w:spacing w:after="120"/>
      </w:pPr>
    </w:p>
    <w:p>
      <w:pPr>
        <w:spacing w:after="80" w:before="200"/>
      </w:pPr>
      <w:r>
        <w:rPr>
          <w:rFonts w:ascii="Lato" w:cs="Lato" w:eastAsia="Lato" w:hAnsi="Lato"/>
          <w:b/>
          <w:bCs/>
          <w:color w:val="1A1F36"/>
          <w:sz w:val="21"/>
          <w:szCs w:val="21"/>
        </w:rPr>
        <w:t xml:space="preserve">Justification Text (sample, for the form's Justification field)</w:t>
      </w:r>
    </w:p>
    <w:p>
      <w:pPr>
        <w:pStyle w:val="ListParagraph"/>
        <w:numPr>
          <w:ilvl w:val="0"/>
          <w:numId w:val="2"/>
        </w:numPr>
        <w:spacing w:after="60" w:line="280"/>
      </w:pPr>
      <w:r>
        <w:rPr>
          <w:rFonts w:ascii="Lato" w:cs="Lato" w:eastAsia="Lato" w:hAnsi="Lato"/>
          <w:color w:val="475467"/>
          <w:sz w:val="21"/>
          <w:szCs w:val="21"/>
        </w:rPr>
        <w:t xml:space="preserve">BRQ-2026-0302 — “Line 4 sensor is misreading intermittently, causing manual stoppages; replacement restores automated flow.”</w:t>
      </w:r>
    </w:p>
    <w:p>
      <w:pPr>
        <w:pStyle w:val="ListParagraph"/>
        <w:numPr>
          <w:ilvl w:val="0"/>
          <w:numId w:val="2"/>
        </w:numPr>
        <w:spacing w:after="60" w:line="280"/>
      </w:pPr>
      <w:r>
        <w:rPr>
          <w:rFonts w:ascii="Lato" w:cs="Lato" w:eastAsia="Lato" w:hAnsi="Lato"/>
          <w:color w:val="475467"/>
          <w:sz w:val="21"/>
          <w:szCs w:val="21"/>
        </w:rPr>
        <w:t xml:space="preserve">BRQ-2026-0303 — “Existing lathe at Unit 2 is beyond economical repair; new unit restores full shift capacity.”</w:t>
      </w:r>
    </w:p>
    <w:p>
      <w:pPr>
        <w:pStyle w:val="ListParagraph"/>
        <w:numPr>
          <w:ilvl w:val="0"/>
          <w:numId w:val="2"/>
        </w:numPr>
        <w:spacing w:after="60" w:line="280"/>
      </w:pPr>
      <w:r>
        <w:rPr>
          <w:rFonts w:ascii="Lato" w:cs="Lato" w:eastAsia="Lato" w:hAnsi="Lato"/>
          <w:color w:val="475467"/>
          <w:sz w:val="21"/>
          <w:szCs w:val="21"/>
        </w:rPr>
        <w:t xml:space="preserve">BRQ-2026-0308 — “Current set is out of calibration range; delays are affecting QA sign-off turnaround on the line.”</w:t>
      </w:r>
    </w:p>
    <w:p>
      <w:pPr>
        <w:pStyle w:val="ListParagraph"/>
        <w:numPr>
          <w:ilvl w:val="0"/>
          <w:numId w:val="2"/>
        </w:numPr>
        <w:spacing w:after="60" w:line="280"/>
      </w:pPr>
      <w:r>
        <w:rPr>
          <w:rFonts w:ascii="Lato" w:cs="Lato" w:eastAsia="Lato" w:hAnsi="Lato"/>
          <w:color w:val="475467"/>
          <w:sz w:val="21"/>
          <w:szCs w:val="21"/>
        </w:rPr>
        <w:t xml:space="preserve">BRQ-2026-0309 — “Manual inspection is the current bottleneck on the QA line; automation reduces cycle time and human error.”</w:t>
      </w:r>
    </w:p>
    <w:p>
      <w:pPr>
        <w:pStyle w:val="ListParagraph"/>
        <w:numPr>
          <w:ilvl w:val="0"/>
          <w:numId w:val="2"/>
        </w:numPr>
        <w:spacing w:after="60" w:line="280"/>
      </w:pPr>
      <w:r>
        <w:rPr>
          <w:rFonts w:ascii="Lato" w:cs="Lato" w:eastAsia="Lato" w:hAnsi="Lato"/>
          <w:color w:val="475467"/>
          <w:sz w:val="21"/>
          <w:szCs w:val="21"/>
        </w:rPr>
        <w:t xml:space="preserve">BRQ-2026-0312 — “Current racking layout is at capacity; automation adds storage density ahead of Q3 volume growth.”</w:t>
      </w:r>
    </w:p>
    <w:p>
      <w:pPr>
        <w:pStyle w:val="ListParagraph"/>
        <w:numPr>
          <w:ilvl w:val="0"/>
          <w:numId w:val="2"/>
        </w:numPr>
        <w:spacing w:after="60" w:line="280"/>
      </w:pPr>
      <w:r>
        <w:rPr>
          <w:rFonts w:ascii="Lato" w:cs="Lato" w:eastAsia="Lato" w:hAnsi="Lato"/>
          <w:color w:val="475467"/>
          <w:sz w:val="21"/>
          <w:szCs w:val="21"/>
        </w:rPr>
        <w:t xml:space="preserve">BRQ-2026-0314 — “Laptops are showing performance issues on client-facing tools; refresh improves reliability.”</w:t>
      </w:r>
    </w:p>
    <w:p>
      <w:pPr>
        <w:pStyle w:val="ListParagraph"/>
        <w:numPr>
          <w:ilvl w:val="0"/>
          <w:numId w:val="2"/>
        </w:numPr>
        <w:spacing w:after="60" w:line="280"/>
      </w:pPr>
      <w:r>
        <w:rPr>
          <w:rFonts w:ascii="Lato" w:cs="Lato" w:eastAsia="Lato" w:hAnsi="Lato"/>
          <w:color w:val="475467"/>
          <w:sz w:val="21"/>
          <w:szCs w:val="21"/>
        </w:rPr>
        <w:t xml:space="preserve">BRQ-2026-0315 — “Existing server hardware is past end-of-support; upgrade reduces outage risk ahead of Q3 peak load.”</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14. Module 2 — Approvals</w:t>
      </w:r>
    </w:p>
    <w:p>
      <w:pPr>
        <w:spacing w:after="140" w:line="300"/>
      </w:pPr>
      <w:r>
        <w:rPr>
          <w:rFonts w:ascii="Lato" w:cs="Lato" w:eastAsia="Lato" w:hAnsi="Lato"/>
          <w:color w:val="475467"/>
          <w:sz w:val="21"/>
          <w:szCs w:val="21"/>
        </w:rPr>
        <w:t xml:space="preserve">Status and stage for every request — the data that Module 1 intentionally does not carry.</w:t>
      </w:r>
    </w:p>
    <w:p>
      <w:pPr>
        <w:spacing w:after="80" w:before="200"/>
      </w:pPr>
      <w:r>
        <w:rPr>
          <w:rFonts w:ascii="Lato" w:cs="Lato" w:eastAsia="Lato" w:hAnsi="Lato"/>
          <w:b/>
          <w:bCs/>
          <w:color w:val="1A1F36"/>
          <w:sz w:val="21"/>
          <w:szCs w:val="21"/>
        </w:rPr>
        <w:t xml:space="preserve">All Requests — Status &amp; Stage</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3011"/>
        <w:gridCol w:w="2409"/>
        <w:gridCol w:w="4820"/>
      </w:tblGrid>
      <w:tr>
        <w:tc>
          <w:tcPr>
            <w:tcW w:type="dxa" w:w="3011"/>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2409"/>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48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Status / Current Stage</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BRQ-2026-0301</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BRQ-2026-0302</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Finance</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BRQ-2026-0303</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Dept Head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BRQ-2026-0304</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BRQ-2026-0305</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Dept Head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BRQ-2026-0307</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BRQ-2026-0308</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RM</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BRQ-2026-0310</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BRQ-2026-0311</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RM</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BRQ-2026-0312</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DECEC" w:val="clear"/>
            <w:tcMar>
              <w:top w:type="dxa" w:w="90"/>
              <w:left w:type="dxa" w:w="110"/>
              <w:bottom w:type="dxa" w:w="90"/>
              <w:right w:type="dxa" w:w="110"/>
            </w:tcMar>
            <w:vAlign w:val="center"/>
          </w:tcPr>
          <w:p>
            <w:r>
              <w:rPr>
                <w:rFonts w:ascii="Lato" w:cs="Lato" w:eastAsia="Lato" w:hAnsi="Lato"/>
                <w:b/>
                <w:bCs/>
                <w:color w:val="B42318"/>
                <w:sz w:val="18"/>
                <w:szCs w:val="18"/>
              </w:rPr>
              <w:t xml:space="preserve">Rejected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BRQ-2026-0313</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BRQ-2026-0314</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DECEC" w:val="clear"/>
            <w:tcMar>
              <w:top w:type="dxa" w:w="90"/>
              <w:left w:type="dxa" w:w="110"/>
              <w:bottom w:type="dxa" w:w="90"/>
              <w:right w:type="dxa" w:w="110"/>
            </w:tcMar>
            <w:vAlign w:val="center"/>
          </w:tcPr>
          <w:p>
            <w:r>
              <w:rPr>
                <w:rFonts w:ascii="Lato" w:cs="Lato" w:eastAsia="Lato" w:hAnsi="Lato"/>
                <w:b/>
                <w:bCs/>
                <w:color w:val="B42318"/>
                <w:sz w:val="18"/>
                <w:szCs w:val="18"/>
              </w:rPr>
              <w:t xml:space="preserve">Rejected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BRQ-2026-0315</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Finance</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BRQ-2026-0316</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BRQ-2026-0317</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DECEC" w:val="clear"/>
            <w:tcMar>
              <w:top w:type="dxa" w:w="90"/>
              <w:left w:type="dxa" w:w="110"/>
              <w:bottom w:type="dxa" w:w="90"/>
              <w:right w:type="dxa" w:w="110"/>
            </w:tcMar>
            <w:vAlign w:val="center"/>
          </w:tcPr>
          <w:p>
            <w:r>
              <w:rPr>
                <w:rFonts w:ascii="Lato" w:cs="Lato" w:eastAsia="Lato" w:hAnsi="Lato"/>
                <w:b/>
                <w:bCs/>
                <w:color w:val="B42318"/>
                <w:sz w:val="18"/>
                <w:szCs w:val="18"/>
              </w:rPr>
              <w:t xml:space="preserve">Rejected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BRQ-2026-0318</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Approved</w:t>
            </w:r>
          </w:p>
        </w:tc>
      </w:tr>
    </w:tbl>
    <w:p>
      <w:pPr>
        <w:spacing w:after="120"/>
      </w:pPr>
    </w:p>
    <w:p>
      <w:pPr>
        <w:spacing w:after="80" w:before="200"/>
      </w:pPr>
      <w:r>
        <w:rPr>
          <w:rFonts w:ascii="Lato" w:cs="Lato" w:eastAsia="Lato" w:hAnsi="Lato"/>
          <w:b/>
          <w:bCs/>
          <w:color w:val="1A1F36"/>
          <w:sz w:val="21"/>
          <w:szCs w:val="21"/>
        </w:rPr>
        <w:t xml:space="preserve">Rejection Reasons — One Example at Every Stage</w:t>
      </w:r>
    </w:p>
    <w:p>
      <w:pPr>
        <w:spacing w:after="160" w:line="280"/>
      </w:pPr>
      <w:r>
        <w:rPr>
          <w:rFonts w:ascii="Lato" w:cs="Lato" w:eastAsia="Lato" w:hAnsi="Lato"/>
          <w:i/>
          <w:iCs/>
          <w:color w:val="475467"/>
          <w:sz w:val="18"/>
          <w:szCs w:val="18"/>
        </w:rPr>
        <w:t xml:space="preserve">Deliberately included so every approval stage (RM, Department Head, Finance) has a demonstrated rejection — not just the final gate.</w:t>
      </w:r>
    </w:p>
    <w:p>
      <w:pPr>
        <w:pStyle w:val="ListParagraph"/>
        <w:numPr>
          <w:ilvl w:val="0"/>
          <w:numId w:val="2"/>
        </w:numPr>
        <w:spacing w:after="60" w:line="280"/>
      </w:pPr>
      <w:r>
        <w:rPr>
          <w:rFonts w:ascii="Lato" w:cs="Lato" w:eastAsia="Lato" w:hAnsi="Lato"/>
          <w:color w:val="475467"/>
          <w:sz w:val="21"/>
          <w:szCs w:val="21"/>
        </w:rPr>
        <w:t xml:space="preserve">BRQ-2026-0314 — Rejected by Reporting Manager Liam O'Connor: “Refresh cycle isn't due for another 8 months per asset lifecycle policy; resubmit closer to the replacement window.”</w:t>
      </w:r>
    </w:p>
    <w:p>
      <w:pPr>
        <w:pStyle w:val="ListParagraph"/>
        <w:numPr>
          <w:ilvl w:val="0"/>
          <w:numId w:val="2"/>
        </w:numPr>
        <w:spacing w:after="60" w:line="280"/>
      </w:pPr>
      <w:r>
        <w:rPr>
          <w:rFonts w:ascii="Lato" w:cs="Lato" w:eastAsia="Lato" w:hAnsi="Lato"/>
          <w:color w:val="475467"/>
          <w:sz w:val="21"/>
          <w:szCs w:val="21"/>
        </w:rPr>
        <w:t xml:space="preserve">BRQ-2026-0312 — Rejected by Department Head Isabella Fischer: “Deferred to next quarter pending warehouse layout finalization.”</w:t>
      </w:r>
    </w:p>
    <w:p>
      <w:pPr>
        <w:pStyle w:val="ListParagraph"/>
        <w:numPr>
          <w:ilvl w:val="0"/>
          <w:numId w:val="2"/>
        </w:numPr>
        <w:spacing w:after="60" w:line="280"/>
      </w:pPr>
      <w:r>
        <w:rPr>
          <w:rFonts w:ascii="Lato" w:cs="Lato" w:eastAsia="Lato" w:hAnsi="Lato"/>
          <w:color w:val="475467"/>
          <w:sz w:val="21"/>
          <w:szCs w:val="21"/>
        </w:rPr>
        <w:t xml:space="preserve">BRQ-2026-0317 — Rejected by Finance Controller Olivia Bennett: “Duplicate license already active under a company-wide HRMS agreement.”</w:t>
      </w:r>
    </w:p>
    <w:p>
      <w:pPr>
        <w:spacing w:after="140"/>
      </w:pPr>
    </w:p>
    <w:p>
      <w:pPr>
        <w:spacing w:after="80" w:before="200"/>
      </w:pPr>
      <w:r>
        <w:rPr>
          <w:rFonts w:ascii="Lato" w:cs="Lato" w:eastAsia="Lato" w:hAnsi="Lato"/>
          <w:b/>
          <w:bCs/>
          <w:color w:val="1A1F36"/>
          <w:sz w:val="21"/>
          <w:szCs w:val="21"/>
        </w:rPr>
        <w:t xml:space="preserve">Approval Queue by Stage Tab</w:t>
      </w:r>
    </w:p>
    <w:p>
      <w:pPr>
        <w:spacing w:after="160" w:line="280"/>
      </w:pPr>
      <w:r>
        <w:rPr>
          <w:rFonts w:ascii="Lato" w:cs="Lato" w:eastAsia="Lato" w:hAnsi="Lato"/>
          <w:i/>
          <w:iCs/>
          <w:color w:val="475467"/>
          <w:sz w:val="18"/>
          <w:szCs w:val="18"/>
        </w:rPr>
        <w:t xml:space="preserve">This is the data behind the queue's stage tabs (All / Reporting Manager / Department Head / Finance) — each tab filters the same eighteen requests to those currently sitting at that stage; it is not a separate dataset or a simulated login.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1932"/>
        <w:gridCol w:w="1738"/>
        <w:gridCol w:w="2125"/>
        <w:gridCol w:w="1255"/>
        <w:gridCol w:w="1352"/>
        <w:gridCol w:w="1838"/>
      </w:tblGrid>
      <w:tr>
        <w:tc>
          <w:tcPr>
            <w:tcW w:type="dxa" w:w="193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Tab</w:t>
            </w:r>
          </w:p>
        </w:tc>
        <w:tc>
          <w:tcPr>
            <w:tcW w:type="dxa" w:w="173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212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125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13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Amount</w:t>
            </w:r>
          </w:p>
        </w:tc>
        <w:tc>
          <w:tcPr>
            <w:tcW w:type="dxa" w:w="183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SLA Due</w:t>
            </w:r>
          </w:p>
        </w:tc>
      </w:tr>
      <w:tr>
        <w:tc>
          <w:tcPr>
            <w:tcW w:type="dxa" w:w="193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w:t>
            </w:r>
          </w:p>
        </w:tc>
        <w:tc>
          <w:tcPr>
            <w:tcW w:type="dxa" w:w="17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BRQ-2026-0311</w:t>
            </w:r>
          </w:p>
        </w:tc>
        <w:tc>
          <w:tcPr>
            <w:tcW w:type="dxa" w:w="212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125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13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$22,000</w:t>
            </w:r>
          </w:p>
        </w:tc>
        <w:tc>
          <w:tcPr>
            <w:tcW w:type="dxa" w:w="18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15 Nov 2026</w:t>
            </w:r>
          </w:p>
        </w:tc>
      </w:tr>
      <w:tr>
        <w:tc>
          <w:tcPr>
            <w:tcW w:type="dxa" w:w="193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w:t>
            </w:r>
          </w:p>
        </w:tc>
        <w:tc>
          <w:tcPr>
            <w:tcW w:type="dxa" w:w="17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212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125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$142,000</w:t>
            </w:r>
          </w:p>
        </w:tc>
        <w:tc>
          <w:tcPr>
            <w:tcW w:type="dxa" w:w="18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05 Sep 2026 (Overdue)</w:t>
            </w:r>
          </w:p>
        </w:tc>
      </w:tr>
      <w:tr>
        <w:tc>
          <w:tcPr>
            <w:tcW w:type="dxa" w:w="193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w:t>
            </w:r>
          </w:p>
        </w:tc>
        <w:tc>
          <w:tcPr>
            <w:tcW w:type="dxa" w:w="17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BRQ-2026-0303</w:t>
            </w:r>
          </w:p>
        </w:tc>
        <w:tc>
          <w:tcPr>
            <w:tcW w:type="dxa" w:w="212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125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c>
          <w:tcPr>
            <w:tcW w:type="dxa" w:w="18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20 Nov 2026</w:t>
            </w:r>
          </w:p>
        </w:tc>
      </w:tr>
      <w:tr>
        <w:tc>
          <w:tcPr>
            <w:tcW w:type="dxa" w:w="193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w:t>
            </w:r>
          </w:p>
        </w:tc>
        <w:tc>
          <w:tcPr>
            <w:tcW w:type="dxa" w:w="17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212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125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$94,000</w:t>
            </w:r>
          </w:p>
        </w:tc>
        <w:tc>
          <w:tcPr>
            <w:tcW w:type="dxa" w:w="18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 Sep 2026 (Overdue)</w:t>
            </w:r>
          </w:p>
        </w:tc>
      </w:tr>
      <w:tr>
        <w:tc>
          <w:tcPr>
            <w:tcW w:type="dxa" w:w="193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w:t>
            </w:r>
          </w:p>
        </w:tc>
        <w:tc>
          <w:tcPr>
            <w:tcW w:type="dxa" w:w="17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BRQ-2026-0302</w:t>
            </w:r>
          </w:p>
        </w:tc>
        <w:tc>
          <w:tcPr>
            <w:tcW w:type="dxa" w:w="212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125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13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c>
          <w:tcPr>
            <w:tcW w:type="dxa" w:w="18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 Dec 2026</w:t>
            </w:r>
          </w:p>
        </w:tc>
      </w:tr>
      <w:tr>
        <w:tc>
          <w:tcPr>
            <w:tcW w:type="dxa" w:w="193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w:t>
            </w:r>
          </w:p>
        </w:tc>
        <w:tc>
          <w:tcPr>
            <w:tcW w:type="dxa" w:w="17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BRQ-2026-0315</w:t>
            </w:r>
          </w:p>
        </w:tc>
        <w:tc>
          <w:tcPr>
            <w:tcW w:type="dxa" w:w="212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125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$115,000</w:t>
            </w:r>
          </w:p>
        </w:tc>
        <w:tc>
          <w:tcPr>
            <w:tcW w:type="dxa" w:w="18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25 Nov 2026</w:t>
            </w:r>
          </w:p>
        </w:tc>
      </w:tr>
    </w:tbl>
    <w:p>
      <w:pPr>
        <w:spacing w:after="160" w:line="280"/>
      </w:pPr>
      <w:r>
        <w:rPr>
          <w:rFonts w:ascii="Lato" w:cs="Lato" w:eastAsia="Lato" w:hAnsi="Lato"/>
          <w:i/>
          <w:iCs/>
          <w:color w:val="475467"/>
          <w:sz w:val="18"/>
          <w:szCs w:val="18"/>
        </w:rPr>
        <w:t xml:space="preserve">Note the structural proof: the Reporting Manager tab mixes both tiers; the Department Head tab contains only 3-Person tier requests (2-Person requests skip this stage entirely); the Finance tab mixes both tiers again as the common final gate. Only 2 of the 6 pending requests are currently overdue — the rest still have weeks of SLA runway, which is the more realistic state for a live queue.</w:t>
      </w:r>
    </w:p>
    <w:p>
      <w:r>
        <w:br w:type="page"/>
      </w:r>
    </w:p>
    <w:p>
      <w:pPr>
        <w:spacing w:after="80" w:before="200"/>
      </w:pPr>
      <w:r>
        <w:rPr>
          <w:rFonts w:ascii="Lato" w:cs="Lato" w:eastAsia="Lato" w:hAnsi="Lato"/>
          <w:b/>
          <w:bCs/>
          <w:color w:val="1A1F36"/>
          <w:sz w:val="21"/>
          <w:szCs w:val="21"/>
        </w:rPr>
        <w:t xml:space="preserve">Detail Example A — 3-Person Tier: BRQ-2026-0303 (Currently at Department Head)</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 (RM → Dept Head → Finance)</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Current Stage</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 — Henrik Larsson</w:t>
            </w:r>
          </w:p>
        </w:tc>
      </w:tr>
    </w:tbl>
    <w:p>
      <w:pPr>
        <w:spacing w:after="100"/>
      </w:pPr>
    </w:p>
    <w:p>
      <w:pPr>
        <w:spacing w:after="80" w:before="200"/>
      </w:pPr>
      <w:r>
        <w:rPr>
          <w:rFonts w:ascii="Lato" w:cs="Lato" w:eastAsia="Lato" w:hAnsi="Lato"/>
          <w:b/>
          <w:bCs/>
          <w:color w:val="1A1F36"/>
          <w:sz w:val="21"/>
          <w:szCs w:val="21"/>
        </w:rPr>
        <w:t xml:space="preserve">Cost Breakdown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6826"/>
        <w:gridCol w:w="3414"/>
      </w:tblGrid>
      <w:tr>
        <w:tc>
          <w:tcPr>
            <w:tcW w:type="dxa" w:w="682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Line Item</w:t>
            </w:r>
          </w:p>
        </w:tc>
        <w:tc>
          <w:tcPr>
            <w:tcW w:type="dxa" w:w="341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Amount</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CNC lathe machine unit</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$112,000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Installation &amp; calibration</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$9,500</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Contingency</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$6,500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r>
    </w:tbl>
    <w:p>
      <w:pPr>
        <w:spacing w:after="100"/>
      </w:pPr>
    </w:p>
    <w:p>
      <w:pPr>
        <w:spacing w:after="80" w:before="200"/>
      </w:pPr>
      <w:r>
        <w:rPr>
          <w:rFonts w:ascii="Lato" w:cs="Lato" w:eastAsia="Lato" w:hAnsi="Lato"/>
          <w:b/>
          <w:bCs/>
          <w:color w:val="1A1F36"/>
          <w:sz w:val="21"/>
          <w:szCs w:val="21"/>
        </w:rPr>
        <w:t xml:space="preserve">Activity Log</w:t>
      </w:r>
    </w:p>
    <w:p>
      <w:pPr>
        <w:pStyle w:val="ListParagraph"/>
        <w:numPr>
          <w:ilvl w:val="0"/>
          <w:numId w:val="2"/>
        </w:numPr>
        <w:spacing w:after="60" w:line="280"/>
      </w:pPr>
      <w:r>
        <w:rPr>
          <w:rFonts w:ascii="Lato" w:cs="Lato" w:eastAsia="Lato" w:hAnsi="Lato"/>
          <w:color w:val="475467"/>
          <w:sz w:val="21"/>
          <w:szCs w:val="21"/>
        </w:rPr>
        <w:t xml:space="preserve">25 Aug 2026, 10:05 AM — Submitted by Carlos Medina (Production)</w:t>
      </w:r>
    </w:p>
    <w:p>
      <w:pPr>
        <w:pStyle w:val="ListParagraph"/>
        <w:numPr>
          <w:ilvl w:val="0"/>
          <w:numId w:val="2"/>
        </w:numPr>
        <w:spacing w:after="60" w:line="280"/>
      </w:pPr>
      <w:r>
        <w:rPr>
          <w:rFonts w:ascii="Lato" w:cs="Lato" w:eastAsia="Lato" w:hAnsi="Lato"/>
          <w:color w:val="475467"/>
          <w:sz w:val="21"/>
          <w:szCs w:val="21"/>
        </w:rPr>
        <w:t xml:space="preserve">28 Aug 2026, 09:30 AM — Approved by Reporting Manager Jason Miller, routed to Department Head</w:t>
      </w:r>
    </w:p>
    <w:p>
      <w:pPr>
        <w:pStyle w:val="ListParagraph"/>
        <w:numPr>
          <w:ilvl w:val="0"/>
          <w:numId w:val="2"/>
        </w:numPr>
        <w:spacing w:after="60" w:line="280"/>
      </w:pPr>
      <w:r>
        <w:rPr>
          <w:rFonts w:ascii="Lato" w:cs="Lato" w:eastAsia="Lato" w:hAnsi="Lato"/>
          <w:color w:val="475467"/>
          <w:sz w:val="21"/>
          <w:szCs w:val="21"/>
        </w:rPr>
        <w:t xml:space="preserve">Awaiting — Department Head Henrik Larsson review, SLA due 20 Nov 2026</w:t>
      </w:r>
    </w:p>
    <w:p>
      <w:pPr>
        <w:spacing w:after="160"/>
      </w:pPr>
    </w:p>
    <w:p>
      <w:pPr>
        <w:spacing w:after="80" w:before="200"/>
      </w:pPr>
      <w:r>
        <w:rPr>
          <w:rFonts w:ascii="Lato" w:cs="Lato" w:eastAsia="Lato" w:hAnsi="Lato"/>
          <w:b/>
          <w:bCs/>
          <w:color w:val="1A1F36"/>
          <w:sz w:val="21"/>
          <w:szCs w:val="21"/>
        </w:rPr>
        <w:t xml:space="preserve">Detail Example B — 2-Person Tier: BRQ-2026-0302 (Currently at Finance)</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Current Stage</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 Controller — Olivia Bennett</w:t>
            </w:r>
          </w:p>
        </w:tc>
      </w:tr>
    </w:tbl>
    <w:p>
      <w:pPr>
        <w:spacing w:after="100"/>
      </w:pPr>
    </w:p>
    <w:p>
      <w:pPr>
        <w:spacing w:after="80" w:before="200"/>
      </w:pPr>
      <w:r>
        <w:rPr>
          <w:rFonts w:ascii="Lato" w:cs="Lato" w:eastAsia="Lato" w:hAnsi="Lato"/>
          <w:b/>
          <w:bCs/>
          <w:color w:val="1A1F36"/>
          <w:sz w:val="21"/>
          <w:szCs w:val="21"/>
        </w:rPr>
        <w:t xml:space="preserve">Cost Breakdown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6826"/>
        <w:gridCol w:w="3414"/>
      </w:tblGrid>
      <w:tr>
        <w:tc>
          <w:tcPr>
            <w:tcW w:type="dxa" w:w="682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Line Item</w:t>
            </w:r>
          </w:p>
        </w:tc>
        <w:tc>
          <w:tcPr>
            <w:tcW w:type="dxa" w:w="341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Amount</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Sensor units (Qty 4)</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$14,000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Installation &amp; calibration</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$3,000</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Contingency</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$1,500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r>
    </w:tbl>
    <w:p>
      <w:pPr>
        <w:spacing w:after="100"/>
      </w:pPr>
    </w:p>
    <w:p>
      <w:pPr>
        <w:spacing w:after="80" w:before="200"/>
      </w:pPr>
      <w:r>
        <w:rPr>
          <w:rFonts w:ascii="Lato" w:cs="Lato" w:eastAsia="Lato" w:hAnsi="Lato"/>
          <w:b/>
          <w:bCs/>
          <w:color w:val="1A1F36"/>
          <w:sz w:val="21"/>
          <w:szCs w:val="21"/>
        </w:rPr>
        <w:t xml:space="preserve">Activity Log</w:t>
      </w:r>
    </w:p>
    <w:p>
      <w:pPr>
        <w:pStyle w:val="ListParagraph"/>
        <w:numPr>
          <w:ilvl w:val="0"/>
          <w:numId w:val="2"/>
        </w:numPr>
        <w:spacing w:after="60" w:line="280"/>
      </w:pPr>
      <w:r>
        <w:rPr>
          <w:rFonts w:ascii="Lato" w:cs="Lato" w:eastAsia="Lato" w:hAnsi="Lato"/>
          <w:color w:val="475467"/>
          <w:sz w:val="21"/>
          <w:szCs w:val="21"/>
        </w:rPr>
        <w:t xml:space="preserve">10 Sep 2026, 09:00 AM — Submitted by Carlos Medina (Production)</w:t>
      </w:r>
    </w:p>
    <w:p>
      <w:pPr>
        <w:pStyle w:val="ListParagraph"/>
        <w:numPr>
          <w:ilvl w:val="0"/>
          <w:numId w:val="2"/>
        </w:numPr>
        <w:spacing w:after="60" w:line="280"/>
      </w:pPr>
      <w:r>
        <w:rPr>
          <w:rFonts w:ascii="Lato" w:cs="Lato" w:eastAsia="Lato" w:hAnsi="Lato"/>
          <w:color w:val="475467"/>
          <w:sz w:val="21"/>
          <w:szCs w:val="21"/>
        </w:rPr>
        <w:t xml:space="preserve">12 Sep 2026, 10:15 AM — Approved by Reporting Manager Jason Miller, routed directly to Finance (2-Person tier — Department Head not required)</w:t>
      </w:r>
    </w:p>
    <w:p>
      <w:pPr>
        <w:pStyle w:val="ListParagraph"/>
        <w:numPr>
          <w:ilvl w:val="0"/>
          <w:numId w:val="2"/>
        </w:numPr>
        <w:spacing w:after="60" w:line="280"/>
      </w:pPr>
      <w:r>
        <w:rPr>
          <w:rFonts w:ascii="Lato" w:cs="Lato" w:eastAsia="Lato" w:hAnsi="Lato"/>
          <w:color w:val="475467"/>
          <w:sz w:val="21"/>
          <w:szCs w:val="21"/>
        </w:rPr>
        <w:t xml:space="preserve">Awaiting — Finance Controller Olivia Bennett review, SLA due 10 Dec 2026</w:t>
      </w:r>
    </w:p>
    <w:p>
      <w:pPr>
        <w:spacing w:after="160"/>
      </w:pPr>
    </w:p>
    <w:p>
      <w:pPr>
        <w:spacing w:after="80" w:before="200"/>
      </w:pPr>
      <w:r>
        <w:rPr>
          <w:rFonts w:ascii="Lato" w:cs="Lato" w:eastAsia="Lato" w:hAnsi="Lato"/>
          <w:b/>
          <w:bCs/>
          <w:color w:val="1A1F36"/>
          <w:sz w:val="21"/>
          <w:szCs w:val="21"/>
        </w:rPr>
        <w:t xml:space="preserve">Detail Example C — 2-Person Tier Rejected at RM: BRQ-2026-0314</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$48,000</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Final Stage Reached</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 — Liam O'Connor (Rejected, did not advance to Finance)</w:t>
            </w:r>
          </w:p>
        </w:tc>
      </w:tr>
    </w:tbl>
    <w:p>
      <w:pPr>
        <w:spacing w:after="100"/>
      </w:pPr>
    </w:p>
    <w:p>
      <w:pPr>
        <w:spacing w:after="80" w:before="200"/>
      </w:pPr>
      <w:r>
        <w:rPr>
          <w:rFonts w:ascii="Lato" w:cs="Lato" w:eastAsia="Lato" w:hAnsi="Lato"/>
          <w:b/>
          <w:bCs/>
          <w:color w:val="1A1F36"/>
          <w:sz w:val="21"/>
          <w:szCs w:val="21"/>
        </w:rPr>
        <w:t xml:space="preserve">Activity Log</w:t>
      </w:r>
    </w:p>
    <w:p>
      <w:pPr>
        <w:pStyle w:val="ListParagraph"/>
        <w:numPr>
          <w:ilvl w:val="0"/>
          <w:numId w:val="2"/>
        </w:numPr>
        <w:spacing w:after="60" w:line="280"/>
      </w:pPr>
      <w:r>
        <w:rPr>
          <w:rFonts w:ascii="Lato" w:cs="Lato" w:eastAsia="Lato" w:hAnsi="Lato"/>
          <w:color w:val="475467"/>
          <w:sz w:val="21"/>
          <w:szCs w:val="21"/>
        </w:rPr>
        <w:t xml:space="preserve">02 Sep 2026, 11:20 AM — Submitted by Daniel Cohen (IT &amp; Systems)</w:t>
      </w:r>
    </w:p>
    <w:p>
      <w:pPr>
        <w:pStyle w:val="ListParagraph"/>
        <w:numPr>
          <w:ilvl w:val="0"/>
          <w:numId w:val="2"/>
        </w:numPr>
        <w:spacing w:after="60" w:line="280"/>
      </w:pPr>
      <w:r>
        <w:rPr>
          <w:rFonts w:ascii="Lato" w:cs="Lato" w:eastAsia="Lato" w:hAnsi="Lato"/>
          <w:color w:val="475467"/>
          <w:sz w:val="21"/>
          <w:szCs w:val="21"/>
        </w:rPr>
        <w:t xml:space="preserve">04 Sep 2026, 02:40 PM — Rejected by Reporting Manager Liam O'Connor: “Refresh cycle isn't due for another 8 months per asset lifecycle policy; resubmit closer to the replacement window.”</w:t>
      </w:r>
    </w:p>
    <w:p>
      <w:pPr>
        <w:spacing w:after="160" w:line="280"/>
      </w:pPr>
      <w:r>
        <w:rPr>
          <w:rFonts w:ascii="Lato" w:cs="Lato" w:eastAsia="Lato" w:hAnsi="Lato"/>
          <w:i/>
          <w:iCs/>
          <w:color w:val="475467"/>
          <w:sz w:val="18"/>
          <w:szCs w:val="18"/>
        </w:rPr>
        <w:t xml:space="preserve">This example demonstrates that rejection can end a request at the very first stage — it never needs to reach Finance to be closed.</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15. Module 3 — Dashboard (Leadership View)</w:t>
      </w:r>
    </w:p>
    <w:p>
      <w:pPr>
        <w:spacing w:after="80" w:before="200"/>
      </w:pPr>
      <w:r>
        <w:rPr>
          <w:rFonts w:ascii="Lato" w:cs="Lato" w:eastAsia="Lato" w:hAnsi="Lato"/>
          <w:b/>
          <w:bCs/>
          <w:color w:val="1A1F36"/>
          <w:sz w:val="21"/>
          <w:szCs w:val="21"/>
        </w:rPr>
        <w:t xml:space="preserve">Summary Stat Cards</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Metric</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 Requested (MTD)</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$778,360 · 18 requests</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 Approved Value (Auto + Manual)</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$113,860 · 9 requests</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$519,500 · 6 requests</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Rejected Value</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$145,000 · 3 requests</w:t>
            </w:r>
          </w:p>
        </w:tc>
      </w:tr>
    </w:tbl>
    <w:p>
      <w:pPr>
        <w:spacing w:after="140"/>
      </w:pPr>
    </w:p>
    <w:p>
      <w:pPr>
        <w:spacing w:after="80" w:before="200"/>
      </w:pPr>
      <w:r>
        <w:rPr>
          <w:rFonts w:ascii="Lato" w:cs="Lato" w:eastAsia="Lato" w:hAnsi="Lato"/>
          <w:b/>
          <w:bCs/>
          <w:color w:val="1A1F36"/>
          <w:sz w:val="21"/>
          <w:szCs w:val="21"/>
        </w:rPr>
        <w:t xml:space="preserve">Approval Tier-Wise Breakdown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120"/>
        <w:gridCol w:w="2048"/>
        <w:gridCol w:w="3072"/>
      </w:tblGrid>
      <w:tr>
        <w:tc>
          <w:tcPr>
            <w:tcW w:type="dxa" w:w="51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204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Count</w:t>
            </w:r>
          </w:p>
        </w:tc>
        <w:tc>
          <w:tcPr>
            <w:tcW w:type="dxa" w:w="307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Auto-Approved</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c>
          <w:tcPr>
            <w:tcW w:type="dxa" w:w="307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$3,360</w:t>
            </w:r>
          </w:p>
        </w:tc>
      </w:tr>
      <w:tr>
        <w:tc>
          <w:tcPr>
            <w:tcW w:type="dxa" w:w="51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c>
          <w:tcPr>
            <w:tcW w:type="dxa" w:w="307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$141,000</w:t>
            </w:r>
          </w:p>
        </w:tc>
      </w:tr>
      <w:tr>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 (RM + Dept Head + Finance)</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c>
          <w:tcPr>
            <w:tcW w:type="dxa" w:w="307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$634,000</w:t>
            </w:r>
          </w:p>
        </w:tc>
      </w:tr>
    </w:tbl>
    <w:p>
      <w:pPr>
        <w:spacing w:after="140"/>
      </w:pPr>
    </w:p>
    <w:p>
      <w:pPr>
        <w:spacing w:after="80" w:before="200"/>
      </w:pPr>
      <w:r>
        <w:rPr>
          <w:rFonts w:ascii="Lato" w:cs="Lato" w:eastAsia="Lato" w:hAnsi="Lato"/>
          <w:b/>
          <w:bCs/>
          <w:color w:val="1A1F36"/>
          <w:sz w:val="21"/>
          <w:szCs w:val="21"/>
        </w:rPr>
        <w:t xml:space="preserve">Department-Wise Spend</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4608"/>
        <w:gridCol w:w="2048"/>
        <w:gridCol w:w="3584"/>
      </w:tblGrid>
      <w:tr>
        <w:tc>
          <w:tcPr>
            <w:tcW w:type="dxa" w:w="460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204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Requests</w:t>
            </w:r>
          </w:p>
        </w:tc>
        <w:tc>
          <w:tcPr>
            <w:tcW w:type="dxa" w:w="358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460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$163,560</w:t>
            </w:r>
          </w:p>
        </w:tc>
      </w:tr>
      <w:tr>
        <w:tc>
          <w:tcPr>
            <w:tcW w:type="dxa" w:w="460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$152,280</w:t>
            </w:r>
          </w:p>
        </w:tc>
      </w:tr>
      <w:tr>
        <w:tc>
          <w:tcPr>
            <w:tcW w:type="dxa" w:w="460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$147,350</w:t>
            </w:r>
          </w:p>
        </w:tc>
      </w:tr>
      <w:tr>
        <w:tc>
          <w:tcPr>
            <w:tcW w:type="dxa" w:w="460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$108,340</w:t>
            </w:r>
          </w:p>
        </w:tc>
      </w:tr>
      <w:tr>
        <w:tc>
          <w:tcPr>
            <w:tcW w:type="dxa" w:w="460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$126,620</w:t>
            </w:r>
          </w:p>
        </w:tc>
      </w:tr>
      <w:tr>
        <w:tc>
          <w:tcPr>
            <w:tcW w:type="dxa" w:w="460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$80,210</w:t>
            </w:r>
          </w:p>
        </w:tc>
      </w:tr>
    </w:tbl>
    <w:p>
      <w:pPr>
        <w:spacing w:after="140"/>
      </w:pPr>
    </w:p>
    <w:p>
      <w:pPr>
        <w:spacing w:after="80" w:before="200"/>
      </w:pPr>
      <w:r>
        <w:rPr>
          <w:rFonts w:ascii="Lato" w:cs="Lato" w:eastAsia="Lato" w:hAnsi="Lato"/>
          <w:b/>
          <w:bCs/>
          <w:color w:val="1A1F36"/>
          <w:sz w:val="21"/>
          <w:szCs w:val="21"/>
        </w:rPr>
        <w:t xml:space="preserve">Approval Funnel</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7395"/>
        <w:gridCol w:w="2845"/>
      </w:tblGrid>
      <w:tr>
        <w:tc>
          <w:tcPr>
            <w:tcW w:type="dxa" w:w="739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Stage</w:t>
            </w:r>
          </w:p>
        </w:tc>
        <w:tc>
          <w:tcPr>
            <w:tcW w:type="dxa" w:w="284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Count</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Submitted</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Auto-Cleared</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Sent to Approval Chain</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 RM</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 Department Head</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 Finance</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Approved</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Rejected</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r>
    </w:tbl>
    <w:p>
      <w:pPr>
        <w:spacing w:after="140"/>
      </w:pPr>
    </w:p>
    <w:p>
      <w:pPr>
        <w:spacing w:after="80" w:before="200"/>
      </w:pPr>
      <w:r>
        <w:rPr>
          <w:rFonts w:ascii="Lato" w:cs="Lato" w:eastAsia="Lato" w:hAnsi="Lato"/>
          <w:b/>
          <w:bCs/>
          <w:color w:val="1A1F36"/>
          <w:sz w:val="21"/>
          <w:szCs w:val="21"/>
        </w:rPr>
        <w:t xml:space="preserve">Escalation List — Overdue Beyond SLA (as of 15 Sep 2026)</w:t>
      </w:r>
    </w:p>
    <w:p>
      <w:pPr>
        <w:spacing w:after="160" w:line="280"/>
      </w:pPr>
      <w:r>
        <w:rPr>
          <w:rFonts w:ascii="Lato" w:cs="Lato" w:eastAsia="Lato" w:hAnsi="Lato"/>
          <w:i/>
          <w:iCs/>
          <w:color w:val="475467"/>
          <w:sz w:val="18"/>
          <w:szCs w:val="18"/>
        </w:rPr>
        <w:t xml:space="preserve">Only two requests are actually overdue right now; the other four pending requests still have SLA runway into November and December. This list intentionally stays short rather than mirroring the full pending queue.</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2275"/>
        <w:gridCol w:w="3185"/>
        <w:gridCol w:w="2844"/>
        <w:gridCol w:w="1936"/>
      </w:tblGrid>
      <w:tr>
        <w:tc>
          <w:tcPr>
            <w:tcW w:type="dxa" w:w="227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318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284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Stage</w:t>
            </w:r>
          </w:p>
        </w:tc>
        <w:tc>
          <w:tcPr>
            <w:tcW w:type="dxa" w:w="193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Days Overdue</w:t>
            </w:r>
          </w:p>
        </w:tc>
      </w:tr>
      <w:tr>
        <w:tc>
          <w:tcPr>
            <w:tcW w:type="dxa" w:w="227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318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84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RM</w:t>
            </w:r>
          </w:p>
        </w:tc>
        <w:tc>
          <w:tcPr>
            <w:tcW w:type="dxa" w:w="193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 days</w:t>
            </w:r>
          </w:p>
        </w:tc>
      </w:tr>
      <w:tr>
        <w:tc>
          <w:tcPr>
            <w:tcW w:type="dxa" w:w="227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318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84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Dept Head</w:t>
            </w:r>
          </w:p>
        </w:tc>
        <w:tc>
          <w:tcPr>
            <w:tcW w:type="dxa" w:w="193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 days</w:t>
            </w:r>
          </w:p>
        </w:tc>
      </w:tr>
    </w:tbl>
    <w:p>
      <w:pPr>
        <w:spacing w:after="140"/>
      </w:pPr>
    </w:p>
    <w:p>
      <w:pPr>
        <w:spacing w:after="80" w:before="200"/>
      </w:pPr>
      <w:r>
        <w:rPr>
          <w:rFonts w:ascii="Lato" w:cs="Lato" w:eastAsia="Lato" w:hAnsi="Lato"/>
          <w:b/>
          <w:bCs/>
          <w:color w:val="1A1F36"/>
          <w:sz w:val="21"/>
          <w:szCs w:val="21"/>
        </w:rPr>
        <w:t xml:space="preserve">Average Turnaround by Approval Tier</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7395"/>
        <w:gridCol w:w="2845"/>
      </w:tblGrid>
      <w:tr>
        <w:tc>
          <w:tcPr>
            <w:tcW w:type="dxa" w:w="739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284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Average Turnaround</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2.4 days</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 (RM + Dept Head + Finance)</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5.1 days</w:t>
            </w:r>
          </w:p>
        </w:tc>
      </w:tr>
    </w:tbl>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47546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2026-09-02T05:50:30.064Z</dcterms:created>
  <dcterms:modified xsi:type="dcterms:W3CDTF">2026-09-02T05:50:30.077Z</dcterms:modified>
</cp:coreProperties>
</file>

<file path=docProps/custom.xml><?xml version="1.0" encoding="utf-8"?>
<Properties xmlns="http://schemas.openxmlformats.org/officeDocument/2006/custom-properties" xmlns:vt="http://schemas.openxmlformats.org/officeDocument/2006/docPropsVTypes"/>
</file>