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center"/>
      </w:pPr>
      <w:r>
        <w:rPr>
          <w:rFonts w:ascii="Lato" w:cs="Lato" w:eastAsia="Lato" w:hAnsi="Lato"/>
          <w:b/>
          <w:bCs/>
          <w:color w:val="1D4ED8"/>
          <w:sz w:val="26"/>
          <w:szCs w:val="26"/>
        </w:rPr>
        <w:t xml:space="preserve">ZYLKER BUDGET APPROVAL</w:t>
      </w:r>
    </w:p>
    <w:p>
      <w:pPr>
        <w:spacing w:after="300"/>
        <w:jc w:val="center"/>
      </w:pPr>
      <w:r>
        <w:rPr>
          <w:rFonts w:ascii="Lato" w:cs="Lato" w:eastAsia="Lato" w:hAnsi="Lato"/>
          <w:b/>
          <w:bCs/>
          <w:color w:val="1A1F36"/>
          <w:sz w:val="44"/>
          <w:szCs w:val="44"/>
        </w:rPr>
        <w:t xml:space="preserve">Sample Data Reference</w:t>
      </w:r>
    </w:p>
    <w:p>
      <w:pPr>
        <w:spacing w:after="40"/>
        <w:jc w:val="center"/>
      </w:pPr>
      <w:r>
        <w:rPr>
          <w:rFonts w:ascii="Lato" w:cs="Lato" w:eastAsia="Lato" w:hAnsi="Lato"/>
          <w:color w:val="475467"/>
          <w:sz w:val="22"/>
          <w:szCs w:val="22"/>
        </w:rPr>
        <w:t xml:space="preserve">Companion to the Zylker Budget Approval Business Requirements Document</w:t>
      </w:r>
    </w:p>
    <w:p>
      <w:pPr>
        <w:spacing w:after="40" w:before="800"/>
        <w:jc w:val="center"/>
      </w:pPr>
      <w:r>
        <w:rPr>
          <w:rFonts w:ascii="Lato" w:cs="Lato" w:eastAsia="Lato" w:hAnsi="Lato"/>
          <w:color w:val="475467"/>
          <w:sz w:val="18"/>
          <w:szCs w:val="18"/>
        </w:rPr>
        <w:t xml:space="preserve">Version 4.0  ·  Confidential — Internal Circulation Only</w:t>
      </w:r>
    </w:p>
    <w:p>
      <w:pPr>
        <w:spacing w:after="40"/>
        <w:jc w:val="center"/>
      </w:pPr>
      <w:r>
        <w:rPr>
          <w:rFonts w:ascii="Lato" w:cs="Lato" w:eastAsia="Lato" w:hAnsi="Lato"/>
          <w:color w:val="475467"/>
          <w:sz w:val="18"/>
          <w:szCs w:val="18"/>
        </w:rPr>
        <w:t xml:space="preserve">Sample Data Viewed as of: 15 Sep 2026  ·  Currency: USD</w:t>
      </w:r>
    </w:p>
    <w:p>
      <w:r>
        <w:br w:type="page"/>
      </w:r>
    </w:p>
    <w:p>
      <w:pPr>
        <w:pStyle w:val="Heading1"/>
        <w:pBdr>
          <w:bottom w:val="single" w:color="1D4ED8" w:sz="8" w:space="4"/>
        </w:pBdr>
        <w:spacing w:after="160" w:before="360"/>
      </w:pPr>
      <w:r>
        <w:rPr>
          <w:rFonts w:ascii="Lato" w:cs="Lato" w:eastAsia="Lato" w:hAnsi="Lato"/>
          <w:b/>
          <w:bCs/>
          <w:color w:val="1A1F36"/>
          <w:sz w:val="30"/>
          <w:szCs w:val="30"/>
        </w:rPr>
        <w:t xml:space="preserve">1. How to Use This Document</w:t>
      </w:r>
    </w:p>
    <w:tbl>
      <w:tblPr>
        <w:tblW w:type="dxa" w:w="10240"/>
        <w:tblBorders>
          <w:top w:val="single" w:color="1D4ED8" w:sz="12"/>
          <w:left w:val="single" w:color="1D4ED8" w:sz="12"/>
          <w:bottom w:val="single" w:color="1D4ED8" w:sz="12"/>
          <w:right w:val="single" w:color="1D4ED8" w:sz="12"/>
          <w:insideH w:val="none"/>
          <w:insideV w:val="none"/>
        </w:tblBorders>
      </w:tblPr>
      <w:tblGrid>
        <w:gridCol w:w="10240"/>
      </w:tblGrid>
      <w:tr>
        <w:tc>
          <w:tcPr>
            <w:shd w:fill="EAF1FE" w:val="clear"/>
            <w:tcMar>
              <w:top w:type="dxa" w:w="160"/>
              <w:left w:type="dxa" w:w="200"/>
              <w:bottom w:type="dxa" w:w="160"/>
              <w:right w:type="dxa" w:w="200"/>
            </w:tcMar>
          </w:tcPr>
          <w:p>
            <w:pPr>
              <w:spacing w:after="60"/>
            </w:pPr>
            <w:r>
              <w:rPr>
                <w:rFonts w:ascii="Lato" w:cs="Lato" w:eastAsia="Lato" w:hAnsi="Lato"/>
                <w:b/>
                <w:bCs/>
                <w:color w:val="1D4ED8"/>
                <w:sz w:val="19"/>
                <w:szCs w:val="19"/>
              </w:rPr>
              <w:t xml:space="preserve">SINGLE SOURCE OF TRUTH</w:t>
            </w:r>
          </w:p>
          <w:p>
            <w:r>
              <w:rPr>
                <w:rFonts w:ascii="Lato" w:cs="Lato" w:eastAsia="Lato" w:hAnsi="Lato"/>
                <w:color w:val="1A1F36"/>
                <w:sz w:val="19"/>
                <w:szCs w:val="19"/>
              </w:rPr>
              <w:t xml:space="preserve">This is the single source of truth for every number, name, and status shown across Zylker Budget Approval screens. All three modules of the Zylker Budget Approval application must be built using only the records below, as defined in the companion Business Requirements Document. Where a screen needs more rows than shown here, extend the established pattern rather than introducing unrelated data.</w:t>
            </w:r>
          </w:p>
        </w:tc>
      </w:tr>
    </w:tbl>
    <w:p>
      <w:pPr>
        <w:spacing w:after="140"/>
      </w:pPr>
    </w:p>
    <w:p>
      <w:pPr>
        <w:spacing w:after="160" w:line="280"/>
      </w:pPr>
      <w:r>
        <w:rPr>
          <w:rFonts w:ascii="Lato" w:cs="Lato" w:eastAsia="Lato" w:hAnsi="Lato"/>
          <w:i/>
          <w:iCs/>
          <w:color w:val="475467"/>
          <w:sz w:val="18"/>
          <w:szCs w:val="18"/>
        </w:rPr>
        <w:t xml:space="preserve">Structure note: this dataset is built as a clean 6×3 grid — six departments, each with exactly one request at each of the three Approval Tiers (Auto ≤ $1,000, 2-Person $1,001–$50,000, 3-Person $50,001+) — eighteen requests total.</w:t>
      </w:r>
    </w:p>
    <w:p>
      <w:pPr>
        <w:spacing w:after="160" w:line="280"/>
      </w:pPr>
      <w:r>
        <w:rPr>
          <w:rFonts w:ascii="Lato" w:cs="Lato" w:eastAsia="Lato" w:hAnsi="Lato"/>
          <w:i/>
          <w:iCs/>
          <w:color w:val="475467"/>
          <w:sz w:val="18"/>
          <w:szCs w:val="18"/>
        </w:rPr>
        <w:t xml:space="preserve">Timeline note: sample data is viewed as of 15 Sep 2026. Requests were submitted across August and September 2026; most pending SLA due dates fall in November and December 2026, with only two requests currently overdue — reflecting a realistic queue rather than one where everything is simultaneously past due.</w:t>
      </w:r>
    </w:p>
    <w:p>
      <w:pPr>
        <w:spacing w:after="160"/>
      </w:pPr>
    </w:p>
    <w:p>
      <w:pPr>
        <w:pStyle w:val="Heading1"/>
        <w:pBdr>
          <w:bottom w:val="single" w:color="1D4ED8" w:sz="8" w:space="4"/>
        </w:pBdr>
        <w:spacing w:after="160" w:before="360"/>
      </w:pPr>
      <w:r>
        <w:rPr>
          <w:rFonts w:ascii="Lato" w:cs="Lato" w:eastAsia="Lato" w:hAnsi="Lato"/>
          <w:b/>
          <w:bCs/>
          <w:color w:val="1A1F36"/>
          <w:sz w:val="30"/>
          <w:szCs w:val="30"/>
        </w:rPr>
        <w:t xml:space="preserve">2. Company &amp; Personas</w:t>
      </w:r>
    </w:p>
    <w:p>
      <w:pPr>
        <w:spacing w:after="140" w:line="300"/>
      </w:pPr>
      <w:r>
        <w:rPr>
          <w:rFonts w:ascii="Lato" w:cs="Lato" w:eastAsia="Lato" w:hAnsi="Lato"/>
          <w:color w:val="475467"/>
          <w:sz w:val="21"/>
          <w:szCs w:val="21"/>
        </w:rPr>
        <w:t xml:space="preserve">Company: Atlas Precision Manufacturing Inc. — a global manufacturer with plants across North America, Europe, and Asia; sample data below reflects its North American plant (Plant 3, Ohio, USA) and its globally diverse workforce. Each department's requester raises all three of that department's sample requests, so selecting their name and department together resolves a single, unambiguous Requester ID in the intake form.</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2773"/>
        <w:gridCol w:w="1920"/>
        <w:gridCol w:w="1706"/>
        <w:gridCol w:w="1920"/>
        <w:gridCol w:w="1921"/>
      </w:tblGrid>
      <w:tr>
        <w:tc>
          <w:tcPr>
            <w:tcW w:type="dxa" w:w="2773"/>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Department</w:t>
            </w:r>
          </w:p>
        </w:tc>
        <w:tc>
          <w:tcPr>
            <w:tcW w:type="dxa" w:w="1920"/>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Requester</w:t>
            </w:r>
          </w:p>
        </w:tc>
        <w:tc>
          <w:tcPr>
            <w:tcW w:type="dxa" w:w="1706"/>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Requester ID</w:t>
            </w:r>
          </w:p>
        </w:tc>
        <w:tc>
          <w:tcPr>
            <w:tcW w:type="dxa" w:w="1920"/>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Reporting Manager</w:t>
            </w:r>
          </w:p>
        </w:tc>
        <w:tc>
          <w:tcPr>
            <w:tcW w:type="dxa" w:w="1921"/>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Department Head</w:t>
            </w:r>
          </w:p>
        </w:tc>
      </w:tr>
      <w:tr>
        <w:tc>
          <w:tcPr>
            <w:tcW w:type="dxa" w:w="2773"/>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Production</w:t>
            </w:r>
          </w:p>
        </w:tc>
        <w:tc>
          <w:tcPr>
            <w:tcW w:type="dxa" w:w="192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Carlos Medina</w:t>
            </w:r>
          </w:p>
        </w:tc>
        <w:tc>
          <w:tcPr>
            <w:tcW w:type="dxa" w:w="1706"/>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EMP-•••-3011</w:t>
            </w:r>
          </w:p>
        </w:tc>
        <w:tc>
          <w:tcPr>
            <w:tcW w:type="dxa" w:w="192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Jason Miller</w:t>
            </w:r>
          </w:p>
        </w:tc>
        <w:tc>
          <w:tcPr>
            <w:tcW w:type="dxa" w:w="192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Henrik Larsson</w:t>
            </w:r>
          </w:p>
        </w:tc>
      </w:tr>
      <w:tr>
        <w:tc>
          <w:tcPr>
            <w:tcW w:type="dxa" w:w="2773"/>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Maintenance &amp; Utilities</w:t>
            </w:r>
          </w:p>
        </w:tc>
        <w:tc>
          <w:tcPr>
            <w:tcW w:type="dxa" w:w="192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Wei Zhang</w:t>
            </w:r>
          </w:p>
        </w:tc>
        <w:tc>
          <w:tcPr>
            <w:tcW w:type="dxa" w:w="1706"/>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EMP-•••-3024</w:t>
            </w:r>
          </w:p>
        </w:tc>
        <w:tc>
          <w:tcPr>
            <w:tcW w:type="dxa" w:w="192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Fatima Al-Sayed</w:t>
            </w:r>
          </w:p>
        </w:tc>
        <w:tc>
          <w:tcPr>
            <w:tcW w:type="dxa" w:w="192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Aisha Bello</w:t>
            </w:r>
          </w:p>
        </w:tc>
      </w:tr>
      <w:tr>
        <w:tc>
          <w:tcPr>
            <w:tcW w:type="dxa" w:w="2773"/>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Quality Assurance</w:t>
            </w:r>
          </w:p>
        </w:tc>
        <w:tc>
          <w:tcPr>
            <w:tcW w:type="dxa" w:w="192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Amara Okafor</w:t>
            </w:r>
          </w:p>
        </w:tc>
        <w:tc>
          <w:tcPr>
            <w:tcW w:type="dxa" w:w="1706"/>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EMP-•••-3037</w:t>
            </w:r>
          </w:p>
        </w:tc>
        <w:tc>
          <w:tcPr>
            <w:tcW w:type="dxa" w:w="192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Marco Rossi</w:t>
            </w:r>
          </w:p>
        </w:tc>
        <w:tc>
          <w:tcPr>
            <w:tcW w:type="dxa" w:w="192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Takeshi Yamamoto</w:t>
            </w:r>
          </w:p>
        </w:tc>
      </w:tr>
      <w:tr>
        <w:tc>
          <w:tcPr>
            <w:tcW w:type="dxa" w:w="2773"/>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Procurement &amp; Stores</w:t>
            </w:r>
          </w:p>
        </w:tc>
        <w:tc>
          <w:tcPr>
            <w:tcW w:type="dxa" w:w="192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Elena Petrova</w:t>
            </w:r>
          </w:p>
        </w:tc>
        <w:tc>
          <w:tcPr>
            <w:tcW w:type="dxa" w:w="1706"/>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EMP-•••-3042</w:t>
            </w:r>
          </w:p>
        </w:tc>
        <w:tc>
          <w:tcPr>
            <w:tcW w:type="dxa" w:w="192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Grace Kim</w:t>
            </w:r>
          </w:p>
        </w:tc>
        <w:tc>
          <w:tcPr>
            <w:tcW w:type="dxa" w:w="192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Isabella Fischer</w:t>
            </w:r>
          </w:p>
        </w:tc>
      </w:tr>
      <w:tr>
        <w:tc>
          <w:tcPr>
            <w:tcW w:type="dxa" w:w="2773"/>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IT &amp; Systems</w:t>
            </w:r>
          </w:p>
        </w:tc>
        <w:tc>
          <w:tcPr>
            <w:tcW w:type="dxa" w:w="192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Daniel Cohen</w:t>
            </w:r>
          </w:p>
        </w:tc>
        <w:tc>
          <w:tcPr>
            <w:tcW w:type="dxa" w:w="1706"/>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EMP-•••-3055</w:t>
            </w:r>
          </w:p>
        </w:tc>
        <w:tc>
          <w:tcPr>
            <w:tcW w:type="dxa" w:w="192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Liam O'Connor</w:t>
            </w:r>
          </w:p>
        </w:tc>
        <w:tc>
          <w:tcPr>
            <w:tcW w:type="dxa" w:w="192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Noah Bergström</w:t>
            </w:r>
          </w:p>
        </w:tc>
      </w:tr>
      <w:tr>
        <w:tc>
          <w:tcPr>
            <w:tcW w:type="dxa" w:w="2773"/>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HR &amp; Admin</w:t>
            </w:r>
          </w:p>
        </w:tc>
        <w:tc>
          <w:tcPr>
            <w:tcW w:type="dxa" w:w="192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Priya Nair</w:t>
            </w:r>
          </w:p>
        </w:tc>
        <w:tc>
          <w:tcPr>
            <w:tcW w:type="dxa" w:w="1706"/>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EMP-•••-3068</w:t>
            </w:r>
          </w:p>
        </w:tc>
        <w:tc>
          <w:tcPr>
            <w:tcW w:type="dxa" w:w="192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Sofia Martins</w:t>
            </w:r>
          </w:p>
        </w:tc>
        <w:tc>
          <w:tcPr>
            <w:tcW w:type="dxa" w:w="192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Chidi Eze</w:t>
            </w:r>
          </w:p>
        </w:tc>
      </w:tr>
    </w:tbl>
    <w:p>
      <w:pPr>
        <w:spacing w:after="120"/>
      </w:pPr>
    </w:p>
    <w:p>
      <w:pPr>
        <w:spacing w:after="80" w:before="200"/>
      </w:pPr>
      <w:r>
        <w:rPr>
          <w:rFonts w:ascii="Lato" w:cs="Lato" w:eastAsia="Lato" w:hAnsi="Lato"/>
          <w:b/>
          <w:bCs/>
          <w:color w:val="1A1F36"/>
          <w:sz w:val="21"/>
          <w:szCs w:val="21"/>
        </w:rPr>
        <w:t xml:space="preserve">Fixed Roles (All Departments)</w:t>
      </w:r>
    </w:p>
    <w:p>
      <w:pPr>
        <w:pStyle w:val="ListParagraph"/>
        <w:numPr>
          <w:ilvl w:val="0"/>
          <w:numId w:val="2"/>
        </w:numPr>
        <w:spacing w:after="60" w:line="280"/>
      </w:pPr>
      <w:r>
        <w:rPr>
          <w:rFonts w:ascii="Lato" w:cs="Lato" w:eastAsia="Lato" w:hAnsi="Lato"/>
          <w:color w:val="475467"/>
          <w:sz w:val="21"/>
          <w:szCs w:val="21"/>
        </w:rPr>
        <w:t xml:space="preserve">Finance Controller (Final Approver, all tiers): Olivia Bennett</w:t>
      </w:r>
    </w:p>
    <w:p>
      <w:pPr>
        <w:pStyle w:val="ListParagraph"/>
        <w:numPr>
          <w:ilvl w:val="0"/>
          <w:numId w:val="2"/>
        </w:numPr>
        <w:spacing w:after="60" w:line="280"/>
      </w:pPr>
      <w:r>
        <w:rPr>
          <w:rFonts w:ascii="Lato" w:cs="Lato" w:eastAsia="Lato" w:hAnsi="Lato"/>
          <w:color w:val="475467"/>
          <w:sz w:val="21"/>
          <w:szCs w:val="21"/>
        </w:rPr>
        <w:t xml:space="preserve">Operations Director (Dashboard / Leadership viewer): Daniel Osei</w:t>
      </w:r>
    </w:p>
    <w:p>
      <w:r>
        <w:br w:type="page"/>
      </w:r>
    </w:p>
    <w:p>
      <w:pPr>
        <w:pStyle w:val="Heading1"/>
        <w:pBdr>
          <w:bottom w:val="single" w:color="1D4ED8" w:sz="8" w:space="4"/>
        </w:pBdr>
        <w:spacing w:after="160" w:before="360"/>
      </w:pPr>
      <w:r>
        <w:rPr>
          <w:rFonts w:ascii="Lato" w:cs="Lato" w:eastAsia="Lato" w:hAnsi="Lato"/>
          <w:b/>
          <w:bCs/>
          <w:color w:val="1A1F36"/>
          <w:sz w:val="30"/>
          <w:szCs w:val="30"/>
        </w:rPr>
        <w:t xml:space="preserve">3. Module 1 — Request Intake: Catalog &amp; Submitted Requests</w:t>
      </w:r>
    </w:p>
    <w:p>
      <w:pPr>
        <w:spacing w:after="140" w:line="300"/>
      </w:pPr>
      <w:r>
        <w:rPr>
          <w:rFonts w:ascii="Lato" w:cs="Lato" w:eastAsia="Lato" w:hAnsi="Lato"/>
          <w:color w:val="475467"/>
          <w:sz w:val="21"/>
          <w:szCs w:val="21"/>
        </w:rPr>
        <w:t xml:space="preserve">Eighteen requests — one per department, per Approval Tier — doubling as both the submitted-request records and the exact catalog of options the Item/Description dropdown should offer (filtered to the selected department). No status is tracked here; status and stage live in the Approvals data below.</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1645"/>
        <w:gridCol w:w="2102"/>
        <w:gridCol w:w="2742"/>
        <w:gridCol w:w="1280"/>
        <w:gridCol w:w="1097"/>
        <w:gridCol w:w="1374"/>
      </w:tblGrid>
      <w:tr>
        <w:tc>
          <w:tcPr>
            <w:tcW w:type="dxa" w:w="1645"/>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Request ID</w:t>
            </w:r>
          </w:p>
        </w:tc>
        <w:tc>
          <w:tcPr>
            <w:tcW w:type="dxa" w:w="2102"/>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Department</w:t>
            </w:r>
          </w:p>
        </w:tc>
        <w:tc>
          <w:tcPr>
            <w:tcW w:type="dxa" w:w="2742"/>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Item / Description</w:t>
            </w:r>
          </w:p>
        </w:tc>
        <w:tc>
          <w:tcPr>
            <w:tcW w:type="dxa" w:w="1280"/>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Cost</w:t>
            </w:r>
          </w:p>
        </w:tc>
        <w:tc>
          <w:tcPr>
            <w:tcW w:type="dxa" w:w="1097"/>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Priority</w:t>
            </w:r>
          </w:p>
        </w:tc>
        <w:tc>
          <w:tcPr>
            <w:tcW w:type="dxa" w:w="1374"/>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Approval Tier</w:t>
            </w:r>
          </w:p>
        </w:tc>
      </w:tr>
      <w:tr>
        <w:tc>
          <w:tcPr>
            <w:tcW w:type="dxa" w:w="16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BRQ-2026-0301</w:t>
            </w:r>
          </w:p>
        </w:tc>
        <w:tc>
          <w:tcPr>
            <w:tcW w:type="dxa" w:w="210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Production</w:t>
            </w:r>
          </w:p>
        </w:tc>
        <w:tc>
          <w:tcPr>
            <w:tcW w:type="dxa" w:w="274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PPE restock — gloves &amp; face shields</w:t>
            </w:r>
          </w:p>
        </w:tc>
        <w:tc>
          <w:tcPr>
            <w:tcW w:type="dxa" w:w="128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$850</w:t>
            </w:r>
          </w:p>
        </w:tc>
        <w:tc>
          <w:tcPr>
            <w:tcW w:type="dxa" w:w="109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Low</w:t>
            </w:r>
          </w:p>
        </w:tc>
        <w:tc>
          <w:tcPr>
            <w:tcW w:type="dxa" w:w="137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r>
      <w:tr>
        <w:tc>
          <w:tcPr>
            <w:tcW w:type="dxa" w:w="16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BRQ-2026-0302</w:t>
            </w:r>
          </w:p>
        </w:tc>
        <w:tc>
          <w:tcPr>
            <w:tcW w:type="dxa" w:w="210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Production</w:t>
            </w:r>
          </w:p>
        </w:tc>
        <w:tc>
          <w:tcPr>
            <w:tcW w:type="dxa" w:w="274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Conveyor sensor upgrade — Line 4</w:t>
            </w:r>
          </w:p>
        </w:tc>
        <w:tc>
          <w:tcPr>
            <w:tcW w:type="dxa" w:w="128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$18,500</w:t>
            </w:r>
          </w:p>
        </w:tc>
        <w:tc>
          <w:tcPr>
            <w:tcW w:type="dxa" w:w="1097"/>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Medium</w:t>
            </w:r>
          </w:p>
        </w:tc>
        <w:tc>
          <w:tcPr>
            <w:tcW w:type="dxa" w:w="137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r>
      <w:tr>
        <w:tc>
          <w:tcPr>
            <w:tcW w:type="dxa" w:w="16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BRQ-2026-0303</w:t>
            </w:r>
          </w:p>
        </w:tc>
        <w:tc>
          <w:tcPr>
            <w:tcW w:type="dxa" w:w="210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Production</w:t>
            </w:r>
          </w:p>
        </w:tc>
        <w:tc>
          <w:tcPr>
            <w:tcW w:type="dxa" w:w="274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CNC lathe machine — Unit 2</w:t>
            </w:r>
          </w:p>
        </w:tc>
        <w:tc>
          <w:tcPr>
            <w:tcW w:type="dxa" w:w="128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$128,000</w:t>
            </w:r>
          </w:p>
        </w:tc>
        <w:tc>
          <w:tcPr>
            <w:tcW w:type="dxa" w:w="109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High</w:t>
            </w:r>
          </w:p>
        </w:tc>
        <w:tc>
          <w:tcPr>
            <w:tcW w:type="dxa" w:w="137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r>
      <w:tr>
        <w:tc>
          <w:tcPr>
            <w:tcW w:type="dxa" w:w="16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BRQ-2026-0304</w:t>
            </w:r>
          </w:p>
        </w:tc>
        <w:tc>
          <w:tcPr>
            <w:tcW w:type="dxa" w:w="210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Maintenance &amp; Utilities</w:t>
            </w:r>
          </w:p>
        </w:tc>
        <w:tc>
          <w:tcPr>
            <w:tcW w:type="dxa" w:w="274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Bearing &amp; lubricant spares</w:t>
            </w:r>
          </w:p>
        </w:tc>
        <w:tc>
          <w:tcPr>
            <w:tcW w:type="dxa" w:w="128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$620</w:t>
            </w:r>
          </w:p>
        </w:tc>
        <w:tc>
          <w:tcPr>
            <w:tcW w:type="dxa" w:w="1097"/>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Low</w:t>
            </w:r>
          </w:p>
        </w:tc>
        <w:tc>
          <w:tcPr>
            <w:tcW w:type="dxa" w:w="137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r>
      <w:tr>
        <w:tc>
          <w:tcPr>
            <w:tcW w:type="dxa" w:w="16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BRQ-2026-0305</w:t>
            </w:r>
          </w:p>
        </w:tc>
        <w:tc>
          <w:tcPr>
            <w:tcW w:type="dxa" w:w="210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Maintenance &amp; Utilities</w:t>
            </w:r>
          </w:p>
        </w:tc>
        <w:tc>
          <w:tcPr>
            <w:tcW w:type="dxa" w:w="274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Industrial vacuum pump</w:t>
            </w:r>
          </w:p>
        </w:tc>
        <w:tc>
          <w:tcPr>
            <w:tcW w:type="dxa" w:w="128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$32,000</w:t>
            </w:r>
          </w:p>
        </w:tc>
        <w:tc>
          <w:tcPr>
            <w:tcW w:type="dxa" w:w="109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Medium</w:t>
            </w:r>
          </w:p>
        </w:tc>
        <w:tc>
          <w:tcPr>
            <w:tcW w:type="dxa" w:w="137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r>
      <w:tr>
        <w:tc>
          <w:tcPr>
            <w:tcW w:type="dxa" w:w="16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BRQ-2026-0306</w:t>
            </w:r>
          </w:p>
        </w:tc>
        <w:tc>
          <w:tcPr>
            <w:tcW w:type="dxa" w:w="210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Maintenance &amp; Utilities</w:t>
            </w:r>
          </w:p>
        </w:tc>
        <w:tc>
          <w:tcPr>
            <w:tcW w:type="dxa" w:w="274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Air compressor replacement (plant-wide)</w:t>
            </w:r>
          </w:p>
        </w:tc>
        <w:tc>
          <w:tcPr>
            <w:tcW w:type="dxa" w:w="128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$94,000</w:t>
            </w:r>
          </w:p>
        </w:tc>
        <w:tc>
          <w:tcPr>
            <w:tcW w:type="dxa" w:w="1097"/>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Medium</w:t>
            </w:r>
          </w:p>
        </w:tc>
        <w:tc>
          <w:tcPr>
            <w:tcW w:type="dxa" w:w="137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r>
      <w:tr>
        <w:tc>
          <w:tcPr>
            <w:tcW w:type="dxa" w:w="16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BRQ-2026-0307</w:t>
            </w:r>
          </w:p>
        </w:tc>
        <w:tc>
          <w:tcPr>
            <w:tcW w:type="dxa" w:w="210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Quality Assurance</w:t>
            </w:r>
          </w:p>
        </w:tc>
        <w:tc>
          <w:tcPr>
            <w:tcW w:type="dxa" w:w="274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Calibration gauge set</w:t>
            </w:r>
          </w:p>
        </w:tc>
        <w:tc>
          <w:tcPr>
            <w:tcW w:type="dxa" w:w="128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$780</w:t>
            </w:r>
          </w:p>
        </w:tc>
        <w:tc>
          <w:tcPr>
            <w:tcW w:type="dxa" w:w="109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Low</w:t>
            </w:r>
          </w:p>
        </w:tc>
        <w:tc>
          <w:tcPr>
            <w:tcW w:type="dxa" w:w="137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r>
      <w:tr>
        <w:tc>
          <w:tcPr>
            <w:tcW w:type="dxa" w:w="16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BRQ-2026-0308</w:t>
            </w:r>
          </w:p>
        </w:tc>
        <w:tc>
          <w:tcPr>
            <w:tcW w:type="dxa" w:w="210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Quality Assurance</w:t>
            </w:r>
          </w:p>
        </w:tc>
        <w:tc>
          <w:tcPr>
            <w:tcW w:type="dxa" w:w="274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Digital vernier &amp; micrometer set</w:t>
            </w:r>
          </w:p>
        </w:tc>
        <w:tc>
          <w:tcPr>
            <w:tcW w:type="dxa" w:w="128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$9,500</w:t>
            </w:r>
          </w:p>
        </w:tc>
        <w:tc>
          <w:tcPr>
            <w:tcW w:type="dxa" w:w="1097"/>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High</w:t>
            </w:r>
          </w:p>
        </w:tc>
        <w:tc>
          <w:tcPr>
            <w:tcW w:type="dxa" w:w="137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r>
      <w:tr>
        <w:tc>
          <w:tcPr>
            <w:tcW w:type="dxa" w:w="16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BRQ-2026-0309</w:t>
            </w:r>
          </w:p>
        </w:tc>
        <w:tc>
          <w:tcPr>
            <w:tcW w:type="dxa" w:w="210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Quality Assurance</w:t>
            </w:r>
          </w:p>
        </w:tc>
        <w:tc>
          <w:tcPr>
            <w:tcW w:type="dxa" w:w="274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Automated inspection system</w:t>
            </w:r>
          </w:p>
        </w:tc>
        <w:tc>
          <w:tcPr>
            <w:tcW w:type="dxa" w:w="128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$142,000</w:t>
            </w:r>
          </w:p>
        </w:tc>
        <w:tc>
          <w:tcPr>
            <w:tcW w:type="dxa" w:w="109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High</w:t>
            </w:r>
          </w:p>
        </w:tc>
        <w:tc>
          <w:tcPr>
            <w:tcW w:type="dxa" w:w="137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r>
      <w:tr>
        <w:tc>
          <w:tcPr>
            <w:tcW w:type="dxa" w:w="16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BRQ-2026-0310</w:t>
            </w:r>
          </w:p>
        </w:tc>
        <w:tc>
          <w:tcPr>
            <w:tcW w:type="dxa" w:w="210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Procurement &amp; Stores</w:t>
            </w:r>
          </w:p>
        </w:tc>
        <w:tc>
          <w:tcPr>
            <w:tcW w:type="dxa" w:w="274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Packaging consumables restock</w:t>
            </w:r>
          </w:p>
        </w:tc>
        <w:tc>
          <w:tcPr>
            <w:tcW w:type="dxa" w:w="128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$340</w:t>
            </w:r>
          </w:p>
        </w:tc>
        <w:tc>
          <w:tcPr>
            <w:tcW w:type="dxa" w:w="1097"/>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Low</w:t>
            </w:r>
          </w:p>
        </w:tc>
        <w:tc>
          <w:tcPr>
            <w:tcW w:type="dxa" w:w="137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r>
      <w:tr>
        <w:tc>
          <w:tcPr>
            <w:tcW w:type="dxa" w:w="16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BRQ-2026-0311</w:t>
            </w:r>
          </w:p>
        </w:tc>
        <w:tc>
          <w:tcPr>
            <w:tcW w:type="dxa" w:w="210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Procurement &amp; Stores</w:t>
            </w:r>
          </w:p>
        </w:tc>
        <w:tc>
          <w:tcPr>
            <w:tcW w:type="dxa" w:w="274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Pallet racking addition</w:t>
            </w:r>
          </w:p>
        </w:tc>
        <w:tc>
          <w:tcPr>
            <w:tcW w:type="dxa" w:w="128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$22,000</w:t>
            </w:r>
          </w:p>
        </w:tc>
        <w:tc>
          <w:tcPr>
            <w:tcW w:type="dxa" w:w="109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Medium</w:t>
            </w:r>
          </w:p>
        </w:tc>
        <w:tc>
          <w:tcPr>
            <w:tcW w:type="dxa" w:w="137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r>
      <w:tr>
        <w:tc>
          <w:tcPr>
            <w:tcW w:type="dxa" w:w="16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BRQ-2026-0312</w:t>
            </w:r>
          </w:p>
        </w:tc>
        <w:tc>
          <w:tcPr>
            <w:tcW w:type="dxa" w:w="210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Procurement &amp; Stores</w:t>
            </w:r>
          </w:p>
        </w:tc>
        <w:tc>
          <w:tcPr>
            <w:tcW w:type="dxa" w:w="274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Warehouse racking automation project</w:t>
            </w:r>
          </w:p>
        </w:tc>
        <w:tc>
          <w:tcPr>
            <w:tcW w:type="dxa" w:w="128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$86,000</w:t>
            </w:r>
          </w:p>
        </w:tc>
        <w:tc>
          <w:tcPr>
            <w:tcW w:type="dxa" w:w="1097"/>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High</w:t>
            </w:r>
          </w:p>
        </w:tc>
        <w:tc>
          <w:tcPr>
            <w:tcW w:type="dxa" w:w="137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r>
      <w:tr>
        <w:tc>
          <w:tcPr>
            <w:tcW w:type="dxa" w:w="16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BRQ-2026-0313</w:t>
            </w:r>
          </w:p>
        </w:tc>
        <w:tc>
          <w:tcPr>
            <w:tcW w:type="dxa" w:w="210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IT &amp; Systems</w:t>
            </w:r>
          </w:p>
        </w:tc>
        <w:tc>
          <w:tcPr>
            <w:tcW w:type="dxa" w:w="274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Keyboard/mouse replacement batch (20 units)</w:t>
            </w:r>
          </w:p>
        </w:tc>
        <w:tc>
          <w:tcPr>
            <w:tcW w:type="dxa" w:w="128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$560</w:t>
            </w:r>
          </w:p>
        </w:tc>
        <w:tc>
          <w:tcPr>
            <w:tcW w:type="dxa" w:w="109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Low</w:t>
            </w:r>
          </w:p>
        </w:tc>
        <w:tc>
          <w:tcPr>
            <w:tcW w:type="dxa" w:w="137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r>
      <w:tr>
        <w:tc>
          <w:tcPr>
            <w:tcW w:type="dxa" w:w="16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BRQ-2026-0314</w:t>
            </w:r>
          </w:p>
        </w:tc>
        <w:tc>
          <w:tcPr>
            <w:tcW w:type="dxa" w:w="210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IT &amp; Systems</w:t>
            </w:r>
          </w:p>
        </w:tc>
        <w:tc>
          <w:tcPr>
            <w:tcW w:type="dxa" w:w="274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Departmental laptop refresh (10 units)</w:t>
            </w:r>
          </w:p>
        </w:tc>
        <w:tc>
          <w:tcPr>
            <w:tcW w:type="dxa" w:w="128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$48,000</w:t>
            </w:r>
          </w:p>
        </w:tc>
        <w:tc>
          <w:tcPr>
            <w:tcW w:type="dxa" w:w="1097"/>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Medium</w:t>
            </w:r>
          </w:p>
        </w:tc>
        <w:tc>
          <w:tcPr>
            <w:tcW w:type="dxa" w:w="137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r>
      <w:tr>
        <w:tc>
          <w:tcPr>
            <w:tcW w:type="dxa" w:w="16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BRQ-2026-0315</w:t>
            </w:r>
          </w:p>
        </w:tc>
        <w:tc>
          <w:tcPr>
            <w:tcW w:type="dxa" w:w="210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IT &amp; Systems</w:t>
            </w:r>
          </w:p>
        </w:tc>
        <w:tc>
          <w:tcPr>
            <w:tcW w:type="dxa" w:w="274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Server &amp; network infrastructure upgrade</w:t>
            </w:r>
          </w:p>
        </w:tc>
        <w:tc>
          <w:tcPr>
            <w:tcW w:type="dxa" w:w="128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$115,000</w:t>
            </w:r>
          </w:p>
        </w:tc>
        <w:tc>
          <w:tcPr>
            <w:tcW w:type="dxa" w:w="109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High</w:t>
            </w:r>
          </w:p>
        </w:tc>
        <w:tc>
          <w:tcPr>
            <w:tcW w:type="dxa" w:w="137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r>
      <w:tr>
        <w:tc>
          <w:tcPr>
            <w:tcW w:type="dxa" w:w="16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BRQ-2026-0316</w:t>
            </w:r>
          </w:p>
        </w:tc>
        <w:tc>
          <w:tcPr>
            <w:tcW w:type="dxa" w:w="210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HR &amp; Admin</w:t>
            </w:r>
          </w:p>
        </w:tc>
        <w:tc>
          <w:tcPr>
            <w:tcW w:type="dxa" w:w="274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Stationery &amp; printing restock</w:t>
            </w:r>
          </w:p>
        </w:tc>
        <w:tc>
          <w:tcPr>
            <w:tcW w:type="dxa" w:w="128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$210</w:t>
            </w:r>
          </w:p>
        </w:tc>
        <w:tc>
          <w:tcPr>
            <w:tcW w:type="dxa" w:w="1097"/>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Low</w:t>
            </w:r>
          </w:p>
        </w:tc>
        <w:tc>
          <w:tcPr>
            <w:tcW w:type="dxa" w:w="137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r>
      <w:tr>
        <w:tc>
          <w:tcPr>
            <w:tcW w:type="dxa" w:w="16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BRQ-2026-0317</w:t>
            </w:r>
          </w:p>
        </w:tc>
        <w:tc>
          <w:tcPr>
            <w:tcW w:type="dxa" w:w="210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HR &amp; Admin</w:t>
            </w:r>
          </w:p>
        </w:tc>
        <w:tc>
          <w:tcPr>
            <w:tcW w:type="dxa" w:w="274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HRMS software license renewal</w:t>
            </w:r>
          </w:p>
        </w:tc>
        <w:tc>
          <w:tcPr>
            <w:tcW w:type="dxa" w:w="128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$11,000</w:t>
            </w:r>
          </w:p>
        </w:tc>
        <w:tc>
          <w:tcPr>
            <w:tcW w:type="dxa" w:w="1097"/>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Medium</w:t>
            </w:r>
          </w:p>
        </w:tc>
        <w:tc>
          <w:tcPr>
            <w:tcW w:type="dxa" w:w="137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r>
      <w:tr>
        <w:tc>
          <w:tcPr>
            <w:tcW w:type="dxa" w:w="16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BRQ-2026-0318</w:t>
            </w:r>
          </w:p>
        </w:tc>
        <w:tc>
          <w:tcPr>
            <w:tcW w:type="dxa" w:w="210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HR &amp; Admin</w:t>
            </w:r>
          </w:p>
        </w:tc>
        <w:tc>
          <w:tcPr>
            <w:tcW w:type="dxa" w:w="274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Cafeteria &amp; facility renovation</w:t>
            </w:r>
          </w:p>
        </w:tc>
        <w:tc>
          <w:tcPr>
            <w:tcW w:type="dxa" w:w="128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$69,000</w:t>
            </w:r>
          </w:p>
        </w:tc>
        <w:tc>
          <w:tcPr>
            <w:tcW w:type="dxa" w:w="1097"/>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High</w:t>
            </w:r>
          </w:p>
        </w:tc>
        <w:tc>
          <w:tcPr>
            <w:tcW w:type="dxa" w:w="137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r>
    </w:tbl>
    <w:p>
      <w:pPr>
        <w:spacing w:after="120"/>
      </w:pPr>
    </w:p>
    <w:p>
      <w:pPr>
        <w:spacing w:after="80" w:before="200"/>
      </w:pPr>
      <w:r>
        <w:rPr>
          <w:rFonts w:ascii="Lato" w:cs="Lato" w:eastAsia="Lato" w:hAnsi="Lato"/>
          <w:b/>
          <w:bCs/>
          <w:color w:val="1A1F36"/>
          <w:sz w:val="21"/>
          <w:szCs w:val="21"/>
        </w:rPr>
        <w:t xml:space="preserve">Justification Text (sample, for the form's Justification field)</w:t>
      </w:r>
    </w:p>
    <w:p>
      <w:pPr>
        <w:pStyle w:val="ListParagraph"/>
        <w:numPr>
          <w:ilvl w:val="0"/>
          <w:numId w:val="2"/>
        </w:numPr>
        <w:spacing w:after="60" w:line="280"/>
      </w:pPr>
      <w:r>
        <w:rPr>
          <w:rFonts w:ascii="Lato" w:cs="Lato" w:eastAsia="Lato" w:hAnsi="Lato"/>
          <w:color w:val="475467"/>
          <w:sz w:val="21"/>
          <w:szCs w:val="21"/>
        </w:rPr>
        <w:t xml:space="preserve">BRQ-2026-0302 — “Line 4 sensor is misreading intermittently, causing manual stoppages; replacement restores automated flow.”</w:t>
      </w:r>
    </w:p>
    <w:p>
      <w:pPr>
        <w:pStyle w:val="ListParagraph"/>
        <w:numPr>
          <w:ilvl w:val="0"/>
          <w:numId w:val="2"/>
        </w:numPr>
        <w:spacing w:after="60" w:line="280"/>
      </w:pPr>
      <w:r>
        <w:rPr>
          <w:rFonts w:ascii="Lato" w:cs="Lato" w:eastAsia="Lato" w:hAnsi="Lato"/>
          <w:color w:val="475467"/>
          <w:sz w:val="21"/>
          <w:szCs w:val="21"/>
        </w:rPr>
        <w:t xml:space="preserve">BRQ-2026-0303 — “Existing lathe at Unit 2 is beyond economical repair; new unit restores full shift capacity.”</w:t>
      </w:r>
    </w:p>
    <w:p>
      <w:pPr>
        <w:pStyle w:val="ListParagraph"/>
        <w:numPr>
          <w:ilvl w:val="0"/>
          <w:numId w:val="2"/>
        </w:numPr>
        <w:spacing w:after="60" w:line="280"/>
      </w:pPr>
      <w:r>
        <w:rPr>
          <w:rFonts w:ascii="Lato" w:cs="Lato" w:eastAsia="Lato" w:hAnsi="Lato"/>
          <w:color w:val="475467"/>
          <w:sz w:val="21"/>
          <w:szCs w:val="21"/>
        </w:rPr>
        <w:t xml:space="preserve">BRQ-2026-0308 — “Current set is out of calibration range; delays are affecting QA sign-off turnaround on the line.”</w:t>
      </w:r>
    </w:p>
    <w:p>
      <w:pPr>
        <w:pStyle w:val="ListParagraph"/>
        <w:numPr>
          <w:ilvl w:val="0"/>
          <w:numId w:val="2"/>
        </w:numPr>
        <w:spacing w:after="60" w:line="280"/>
      </w:pPr>
      <w:r>
        <w:rPr>
          <w:rFonts w:ascii="Lato" w:cs="Lato" w:eastAsia="Lato" w:hAnsi="Lato"/>
          <w:color w:val="475467"/>
          <w:sz w:val="21"/>
          <w:szCs w:val="21"/>
        </w:rPr>
        <w:t xml:space="preserve">BRQ-2026-0309 — “Manual inspection is the current bottleneck on the QA line; automation reduces cycle time and human error.”</w:t>
      </w:r>
    </w:p>
    <w:p>
      <w:pPr>
        <w:pStyle w:val="ListParagraph"/>
        <w:numPr>
          <w:ilvl w:val="0"/>
          <w:numId w:val="2"/>
        </w:numPr>
        <w:spacing w:after="60" w:line="280"/>
      </w:pPr>
      <w:r>
        <w:rPr>
          <w:rFonts w:ascii="Lato" w:cs="Lato" w:eastAsia="Lato" w:hAnsi="Lato"/>
          <w:color w:val="475467"/>
          <w:sz w:val="21"/>
          <w:szCs w:val="21"/>
        </w:rPr>
        <w:t xml:space="preserve">BRQ-2026-0312 — “Current racking layout is at capacity; automation adds storage density ahead of Q3 volume growth.”</w:t>
      </w:r>
    </w:p>
    <w:p>
      <w:pPr>
        <w:pStyle w:val="ListParagraph"/>
        <w:numPr>
          <w:ilvl w:val="0"/>
          <w:numId w:val="2"/>
        </w:numPr>
        <w:spacing w:after="60" w:line="280"/>
      </w:pPr>
      <w:r>
        <w:rPr>
          <w:rFonts w:ascii="Lato" w:cs="Lato" w:eastAsia="Lato" w:hAnsi="Lato"/>
          <w:color w:val="475467"/>
          <w:sz w:val="21"/>
          <w:szCs w:val="21"/>
        </w:rPr>
        <w:t xml:space="preserve">BRQ-2026-0314 — “Laptops are showing performance issues on client-facing tools; refresh improves reliability.”</w:t>
      </w:r>
    </w:p>
    <w:p>
      <w:pPr>
        <w:pStyle w:val="ListParagraph"/>
        <w:numPr>
          <w:ilvl w:val="0"/>
          <w:numId w:val="2"/>
        </w:numPr>
        <w:spacing w:after="60" w:line="280"/>
      </w:pPr>
      <w:r>
        <w:rPr>
          <w:rFonts w:ascii="Lato" w:cs="Lato" w:eastAsia="Lato" w:hAnsi="Lato"/>
          <w:color w:val="475467"/>
          <w:sz w:val="21"/>
          <w:szCs w:val="21"/>
        </w:rPr>
        <w:t xml:space="preserve">BRQ-2026-0315 — “Existing server hardware is past end-of-support; upgrade reduces outage risk ahead of Q3 peak load.”</w:t>
      </w:r>
    </w:p>
    <w:p>
      <w:r>
        <w:br w:type="page"/>
      </w:r>
    </w:p>
    <w:p>
      <w:pPr>
        <w:pStyle w:val="Heading1"/>
        <w:pBdr>
          <w:bottom w:val="single" w:color="1D4ED8" w:sz="8" w:space="4"/>
        </w:pBdr>
        <w:spacing w:after="160" w:before="360"/>
      </w:pPr>
      <w:r>
        <w:rPr>
          <w:rFonts w:ascii="Lato" w:cs="Lato" w:eastAsia="Lato" w:hAnsi="Lato"/>
          <w:b/>
          <w:bCs/>
          <w:color w:val="1A1F36"/>
          <w:sz w:val="30"/>
          <w:szCs w:val="30"/>
        </w:rPr>
        <w:t xml:space="preserve">4. Module 2 — Approvals</w:t>
      </w:r>
    </w:p>
    <w:p>
      <w:pPr>
        <w:spacing w:after="140" w:line="300"/>
      </w:pPr>
      <w:r>
        <w:rPr>
          <w:rFonts w:ascii="Lato" w:cs="Lato" w:eastAsia="Lato" w:hAnsi="Lato"/>
          <w:color w:val="475467"/>
          <w:sz w:val="21"/>
          <w:szCs w:val="21"/>
        </w:rPr>
        <w:t xml:space="preserve">Status and stage for every request — the data that Module 1 intentionally does not carry.</w:t>
      </w:r>
    </w:p>
    <w:p>
      <w:pPr>
        <w:spacing w:after="80" w:before="200"/>
      </w:pPr>
      <w:r>
        <w:rPr>
          <w:rFonts w:ascii="Lato" w:cs="Lato" w:eastAsia="Lato" w:hAnsi="Lato"/>
          <w:b/>
          <w:bCs/>
          <w:color w:val="1A1F36"/>
          <w:sz w:val="21"/>
          <w:szCs w:val="21"/>
        </w:rPr>
        <w:t xml:space="preserve">All Requests — Status &amp; Stage</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3011"/>
        <w:gridCol w:w="2409"/>
        <w:gridCol w:w="4820"/>
      </w:tblGrid>
      <w:tr>
        <w:tc>
          <w:tcPr>
            <w:tcW w:type="dxa" w:w="3011"/>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Request ID</w:t>
            </w:r>
          </w:p>
        </w:tc>
        <w:tc>
          <w:tcPr>
            <w:tcW w:type="dxa" w:w="2409"/>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Approval Tier</w:t>
            </w:r>
          </w:p>
        </w:tc>
        <w:tc>
          <w:tcPr>
            <w:tcW w:type="dxa" w:w="4820"/>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Status / Current Stage</w:t>
            </w:r>
          </w:p>
        </w:tc>
      </w:tr>
      <w:tr>
        <w:tc>
          <w:tcPr>
            <w:tcW w:type="dxa" w:w="301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BRQ-2026-0301</w:t>
            </w:r>
          </w:p>
        </w:tc>
        <w:tc>
          <w:tcPr>
            <w:tcW w:type="dxa" w:w="2409"/>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c>
          <w:tcPr>
            <w:tcW w:type="dxa" w:w="4820"/>
            <w:shd w:fill="E7F6EE" w:val="clear"/>
            <w:tcMar>
              <w:top w:type="dxa" w:w="90"/>
              <w:left w:type="dxa" w:w="110"/>
              <w:bottom w:type="dxa" w:w="90"/>
              <w:right w:type="dxa" w:w="110"/>
            </w:tcMar>
            <w:vAlign w:val="center"/>
          </w:tcPr>
          <w:p>
            <w:r>
              <w:rPr>
                <w:rFonts w:ascii="Lato" w:cs="Lato" w:eastAsia="Lato" w:hAnsi="Lato"/>
                <w:b/>
                <w:bCs/>
                <w:color w:val="12805C"/>
                <w:sz w:val="18"/>
                <w:szCs w:val="18"/>
              </w:rPr>
              <w:t xml:space="preserve">Auto-Approved</w:t>
            </w:r>
          </w:p>
        </w:tc>
      </w:tr>
      <w:tr>
        <w:tc>
          <w:tcPr>
            <w:tcW w:type="dxa" w:w="301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BRQ-2026-0302</w:t>
            </w:r>
          </w:p>
        </w:tc>
        <w:tc>
          <w:tcPr>
            <w:tcW w:type="dxa" w:w="2409"/>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c>
          <w:tcPr>
            <w:tcW w:type="dxa" w:w="4820"/>
            <w:shd w:fill="FFF6E5" w:val="clear"/>
            <w:tcMar>
              <w:top w:type="dxa" w:w="90"/>
              <w:left w:type="dxa" w:w="110"/>
              <w:bottom w:type="dxa" w:w="90"/>
              <w:right w:type="dxa" w:w="110"/>
            </w:tcMar>
            <w:vAlign w:val="center"/>
          </w:tcPr>
          <w:p>
            <w:r>
              <w:rPr>
                <w:rFonts w:ascii="Lato" w:cs="Lato" w:eastAsia="Lato" w:hAnsi="Lato"/>
                <w:b/>
                <w:bCs/>
                <w:color w:val="B54708"/>
                <w:sz w:val="18"/>
                <w:szCs w:val="18"/>
              </w:rPr>
              <w:t xml:space="preserve">Pending Finance</w:t>
            </w:r>
          </w:p>
        </w:tc>
      </w:tr>
      <w:tr>
        <w:tc>
          <w:tcPr>
            <w:tcW w:type="dxa" w:w="301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BRQ-2026-0303</w:t>
            </w:r>
          </w:p>
        </w:tc>
        <w:tc>
          <w:tcPr>
            <w:tcW w:type="dxa" w:w="2409"/>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c>
          <w:tcPr>
            <w:tcW w:type="dxa" w:w="4820"/>
            <w:shd w:fill="FFF6E5" w:val="clear"/>
            <w:tcMar>
              <w:top w:type="dxa" w:w="90"/>
              <w:left w:type="dxa" w:w="110"/>
              <w:bottom w:type="dxa" w:w="90"/>
              <w:right w:type="dxa" w:w="110"/>
            </w:tcMar>
            <w:vAlign w:val="center"/>
          </w:tcPr>
          <w:p>
            <w:r>
              <w:rPr>
                <w:rFonts w:ascii="Lato" w:cs="Lato" w:eastAsia="Lato" w:hAnsi="Lato"/>
                <w:b/>
                <w:bCs/>
                <w:color w:val="B54708"/>
                <w:sz w:val="18"/>
                <w:szCs w:val="18"/>
              </w:rPr>
              <w:t xml:space="preserve">Pending Dept Head</w:t>
            </w:r>
          </w:p>
        </w:tc>
      </w:tr>
      <w:tr>
        <w:tc>
          <w:tcPr>
            <w:tcW w:type="dxa" w:w="301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BRQ-2026-0304</w:t>
            </w:r>
          </w:p>
        </w:tc>
        <w:tc>
          <w:tcPr>
            <w:tcW w:type="dxa" w:w="2409"/>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c>
          <w:tcPr>
            <w:tcW w:type="dxa" w:w="4820"/>
            <w:shd w:fill="E7F6EE" w:val="clear"/>
            <w:tcMar>
              <w:top w:type="dxa" w:w="90"/>
              <w:left w:type="dxa" w:w="110"/>
              <w:bottom w:type="dxa" w:w="90"/>
              <w:right w:type="dxa" w:w="110"/>
            </w:tcMar>
            <w:vAlign w:val="center"/>
          </w:tcPr>
          <w:p>
            <w:r>
              <w:rPr>
                <w:rFonts w:ascii="Lato" w:cs="Lato" w:eastAsia="Lato" w:hAnsi="Lato"/>
                <w:b/>
                <w:bCs/>
                <w:color w:val="12805C"/>
                <w:sz w:val="18"/>
                <w:szCs w:val="18"/>
              </w:rPr>
              <w:t xml:space="preserve">Auto-Approved</w:t>
            </w:r>
          </w:p>
        </w:tc>
      </w:tr>
      <w:tr>
        <w:tc>
          <w:tcPr>
            <w:tcW w:type="dxa" w:w="301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BRQ-2026-0305</w:t>
            </w:r>
          </w:p>
        </w:tc>
        <w:tc>
          <w:tcPr>
            <w:tcW w:type="dxa" w:w="2409"/>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c>
          <w:tcPr>
            <w:tcW w:type="dxa" w:w="4820"/>
            <w:shd w:fill="E7F6EE" w:val="clear"/>
            <w:tcMar>
              <w:top w:type="dxa" w:w="90"/>
              <w:left w:type="dxa" w:w="110"/>
              <w:bottom w:type="dxa" w:w="90"/>
              <w:right w:type="dxa" w:w="110"/>
            </w:tcMar>
            <w:vAlign w:val="center"/>
          </w:tcPr>
          <w:p>
            <w:r>
              <w:rPr>
                <w:rFonts w:ascii="Lato" w:cs="Lato" w:eastAsia="Lato" w:hAnsi="Lato"/>
                <w:b/>
                <w:bCs/>
                <w:color w:val="12805C"/>
                <w:sz w:val="18"/>
                <w:szCs w:val="18"/>
              </w:rPr>
              <w:t xml:space="preserve">Approved</w:t>
            </w:r>
          </w:p>
        </w:tc>
      </w:tr>
      <w:tr>
        <w:tc>
          <w:tcPr>
            <w:tcW w:type="dxa" w:w="301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BRQ-2026-0306</w:t>
            </w:r>
          </w:p>
        </w:tc>
        <w:tc>
          <w:tcPr>
            <w:tcW w:type="dxa" w:w="2409"/>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c>
          <w:tcPr>
            <w:tcW w:type="dxa" w:w="4820"/>
            <w:shd w:fill="FFF6E5" w:val="clear"/>
            <w:tcMar>
              <w:top w:type="dxa" w:w="90"/>
              <w:left w:type="dxa" w:w="110"/>
              <w:bottom w:type="dxa" w:w="90"/>
              <w:right w:type="dxa" w:w="110"/>
            </w:tcMar>
            <w:vAlign w:val="center"/>
          </w:tcPr>
          <w:p>
            <w:r>
              <w:rPr>
                <w:rFonts w:ascii="Lato" w:cs="Lato" w:eastAsia="Lato" w:hAnsi="Lato"/>
                <w:b/>
                <w:bCs/>
                <w:color w:val="B54708"/>
                <w:sz w:val="18"/>
                <w:szCs w:val="18"/>
              </w:rPr>
              <w:t xml:space="preserve">Pending Dept Head</w:t>
            </w:r>
          </w:p>
        </w:tc>
      </w:tr>
      <w:tr>
        <w:tc>
          <w:tcPr>
            <w:tcW w:type="dxa" w:w="301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BRQ-2026-0307</w:t>
            </w:r>
          </w:p>
        </w:tc>
        <w:tc>
          <w:tcPr>
            <w:tcW w:type="dxa" w:w="2409"/>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c>
          <w:tcPr>
            <w:tcW w:type="dxa" w:w="4820"/>
            <w:shd w:fill="E7F6EE" w:val="clear"/>
            <w:tcMar>
              <w:top w:type="dxa" w:w="90"/>
              <w:left w:type="dxa" w:w="110"/>
              <w:bottom w:type="dxa" w:w="90"/>
              <w:right w:type="dxa" w:w="110"/>
            </w:tcMar>
            <w:vAlign w:val="center"/>
          </w:tcPr>
          <w:p>
            <w:r>
              <w:rPr>
                <w:rFonts w:ascii="Lato" w:cs="Lato" w:eastAsia="Lato" w:hAnsi="Lato"/>
                <w:b/>
                <w:bCs/>
                <w:color w:val="12805C"/>
                <w:sz w:val="18"/>
                <w:szCs w:val="18"/>
              </w:rPr>
              <w:t xml:space="preserve">Auto-Approved</w:t>
            </w:r>
          </w:p>
        </w:tc>
      </w:tr>
      <w:tr>
        <w:tc>
          <w:tcPr>
            <w:tcW w:type="dxa" w:w="301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BRQ-2026-0308</w:t>
            </w:r>
          </w:p>
        </w:tc>
        <w:tc>
          <w:tcPr>
            <w:tcW w:type="dxa" w:w="2409"/>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c>
          <w:tcPr>
            <w:tcW w:type="dxa" w:w="4820"/>
            <w:shd w:fill="E7F6EE" w:val="clear"/>
            <w:tcMar>
              <w:top w:type="dxa" w:w="90"/>
              <w:left w:type="dxa" w:w="110"/>
              <w:bottom w:type="dxa" w:w="90"/>
              <w:right w:type="dxa" w:w="110"/>
            </w:tcMar>
            <w:vAlign w:val="center"/>
          </w:tcPr>
          <w:p>
            <w:r>
              <w:rPr>
                <w:rFonts w:ascii="Lato" w:cs="Lato" w:eastAsia="Lato" w:hAnsi="Lato"/>
                <w:b/>
                <w:bCs/>
                <w:color w:val="12805C"/>
                <w:sz w:val="18"/>
                <w:szCs w:val="18"/>
              </w:rPr>
              <w:t xml:space="preserve">Approved</w:t>
            </w:r>
          </w:p>
        </w:tc>
      </w:tr>
      <w:tr>
        <w:tc>
          <w:tcPr>
            <w:tcW w:type="dxa" w:w="301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BRQ-2026-0309</w:t>
            </w:r>
          </w:p>
        </w:tc>
        <w:tc>
          <w:tcPr>
            <w:tcW w:type="dxa" w:w="2409"/>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c>
          <w:tcPr>
            <w:tcW w:type="dxa" w:w="4820"/>
            <w:shd w:fill="FFF6E5" w:val="clear"/>
            <w:tcMar>
              <w:top w:type="dxa" w:w="90"/>
              <w:left w:type="dxa" w:w="110"/>
              <w:bottom w:type="dxa" w:w="90"/>
              <w:right w:type="dxa" w:w="110"/>
            </w:tcMar>
            <w:vAlign w:val="center"/>
          </w:tcPr>
          <w:p>
            <w:r>
              <w:rPr>
                <w:rFonts w:ascii="Lato" w:cs="Lato" w:eastAsia="Lato" w:hAnsi="Lato"/>
                <w:b/>
                <w:bCs/>
                <w:color w:val="B54708"/>
                <w:sz w:val="18"/>
                <w:szCs w:val="18"/>
              </w:rPr>
              <w:t xml:space="preserve">Pending RM</w:t>
            </w:r>
          </w:p>
        </w:tc>
      </w:tr>
      <w:tr>
        <w:tc>
          <w:tcPr>
            <w:tcW w:type="dxa" w:w="301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BRQ-2026-0310</w:t>
            </w:r>
          </w:p>
        </w:tc>
        <w:tc>
          <w:tcPr>
            <w:tcW w:type="dxa" w:w="2409"/>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c>
          <w:tcPr>
            <w:tcW w:type="dxa" w:w="4820"/>
            <w:shd w:fill="E7F6EE" w:val="clear"/>
            <w:tcMar>
              <w:top w:type="dxa" w:w="90"/>
              <w:left w:type="dxa" w:w="110"/>
              <w:bottom w:type="dxa" w:w="90"/>
              <w:right w:type="dxa" w:w="110"/>
            </w:tcMar>
            <w:vAlign w:val="center"/>
          </w:tcPr>
          <w:p>
            <w:r>
              <w:rPr>
                <w:rFonts w:ascii="Lato" w:cs="Lato" w:eastAsia="Lato" w:hAnsi="Lato"/>
                <w:b/>
                <w:bCs/>
                <w:color w:val="12805C"/>
                <w:sz w:val="18"/>
                <w:szCs w:val="18"/>
              </w:rPr>
              <w:t xml:space="preserve">Auto-Approved</w:t>
            </w:r>
          </w:p>
        </w:tc>
      </w:tr>
      <w:tr>
        <w:tc>
          <w:tcPr>
            <w:tcW w:type="dxa" w:w="301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BRQ-2026-0311</w:t>
            </w:r>
          </w:p>
        </w:tc>
        <w:tc>
          <w:tcPr>
            <w:tcW w:type="dxa" w:w="2409"/>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c>
          <w:tcPr>
            <w:tcW w:type="dxa" w:w="4820"/>
            <w:shd w:fill="FFF6E5" w:val="clear"/>
            <w:tcMar>
              <w:top w:type="dxa" w:w="90"/>
              <w:left w:type="dxa" w:w="110"/>
              <w:bottom w:type="dxa" w:w="90"/>
              <w:right w:type="dxa" w:w="110"/>
            </w:tcMar>
            <w:vAlign w:val="center"/>
          </w:tcPr>
          <w:p>
            <w:r>
              <w:rPr>
                <w:rFonts w:ascii="Lato" w:cs="Lato" w:eastAsia="Lato" w:hAnsi="Lato"/>
                <w:b/>
                <w:bCs/>
                <w:color w:val="B54708"/>
                <w:sz w:val="18"/>
                <w:szCs w:val="18"/>
              </w:rPr>
              <w:t xml:space="preserve">Pending RM</w:t>
            </w:r>
          </w:p>
        </w:tc>
      </w:tr>
      <w:tr>
        <w:tc>
          <w:tcPr>
            <w:tcW w:type="dxa" w:w="301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BRQ-2026-0312</w:t>
            </w:r>
          </w:p>
        </w:tc>
        <w:tc>
          <w:tcPr>
            <w:tcW w:type="dxa" w:w="2409"/>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c>
          <w:tcPr>
            <w:tcW w:type="dxa" w:w="4820"/>
            <w:shd w:fill="FDECEC" w:val="clear"/>
            <w:tcMar>
              <w:top w:type="dxa" w:w="90"/>
              <w:left w:type="dxa" w:w="110"/>
              <w:bottom w:type="dxa" w:w="90"/>
              <w:right w:type="dxa" w:w="110"/>
            </w:tcMar>
            <w:vAlign w:val="center"/>
          </w:tcPr>
          <w:p>
            <w:r>
              <w:rPr>
                <w:rFonts w:ascii="Lato" w:cs="Lato" w:eastAsia="Lato" w:hAnsi="Lato"/>
                <w:b/>
                <w:bCs/>
                <w:color w:val="B42318"/>
                <w:sz w:val="18"/>
                <w:szCs w:val="18"/>
              </w:rPr>
              <w:t xml:space="preserve">Rejected</w:t>
            </w:r>
          </w:p>
        </w:tc>
      </w:tr>
      <w:tr>
        <w:tc>
          <w:tcPr>
            <w:tcW w:type="dxa" w:w="301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BRQ-2026-0313</w:t>
            </w:r>
          </w:p>
        </w:tc>
        <w:tc>
          <w:tcPr>
            <w:tcW w:type="dxa" w:w="2409"/>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c>
          <w:tcPr>
            <w:tcW w:type="dxa" w:w="4820"/>
            <w:shd w:fill="E7F6EE" w:val="clear"/>
            <w:tcMar>
              <w:top w:type="dxa" w:w="90"/>
              <w:left w:type="dxa" w:w="110"/>
              <w:bottom w:type="dxa" w:w="90"/>
              <w:right w:type="dxa" w:w="110"/>
            </w:tcMar>
            <w:vAlign w:val="center"/>
          </w:tcPr>
          <w:p>
            <w:r>
              <w:rPr>
                <w:rFonts w:ascii="Lato" w:cs="Lato" w:eastAsia="Lato" w:hAnsi="Lato"/>
                <w:b/>
                <w:bCs/>
                <w:color w:val="12805C"/>
                <w:sz w:val="18"/>
                <w:szCs w:val="18"/>
              </w:rPr>
              <w:t xml:space="preserve">Auto-Approved</w:t>
            </w:r>
          </w:p>
        </w:tc>
      </w:tr>
      <w:tr>
        <w:tc>
          <w:tcPr>
            <w:tcW w:type="dxa" w:w="301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BRQ-2026-0314</w:t>
            </w:r>
          </w:p>
        </w:tc>
        <w:tc>
          <w:tcPr>
            <w:tcW w:type="dxa" w:w="2409"/>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c>
          <w:tcPr>
            <w:tcW w:type="dxa" w:w="4820"/>
            <w:shd w:fill="FDECEC" w:val="clear"/>
            <w:tcMar>
              <w:top w:type="dxa" w:w="90"/>
              <w:left w:type="dxa" w:w="110"/>
              <w:bottom w:type="dxa" w:w="90"/>
              <w:right w:type="dxa" w:w="110"/>
            </w:tcMar>
            <w:vAlign w:val="center"/>
          </w:tcPr>
          <w:p>
            <w:r>
              <w:rPr>
                <w:rFonts w:ascii="Lato" w:cs="Lato" w:eastAsia="Lato" w:hAnsi="Lato"/>
                <w:b/>
                <w:bCs/>
                <w:color w:val="B42318"/>
                <w:sz w:val="18"/>
                <w:szCs w:val="18"/>
              </w:rPr>
              <w:t xml:space="preserve">Rejected</w:t>
            </w:r>
          </w:p>
        </w:tc>
      </w:tr>
      <w:tr>
        <w:tc>
          <w:tcPr>
            <w:tcW w:type="dxa" w:w="301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BRQ-2026-0315</w:t>
            </w:r>
          </w:p>
        </w:tc>
        <w:tc>
          <w:tcPr>
            <w:tcW w:type="dxa" w:w="2409"/>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c>
          <w:tcPr>
            <w:tcW w:type="dxa" w:w="4820"/>
            <w:shd w:fill="FFF6E5" w:val="clear"/>
            <w:tcMar>
              <w:top w:type="dxa" w:w="90"/>
              <w:left w:type="dxa" w:w="110"/>
              <w:bottom w:type="dxa" w:w="90"/>
              <w:right w:type="dxa" w:w="110"/>
            </w:tcMar>
            <w:vAlign w:val="center"/>
          </w:tcPr>
          <w:p>
            <w:r>
              <w:rPr>
                <w:rFonts w:ascii="Lato" w:cs="Lato" w:eastAsia="Lato" w:hAnsi="Lato"/>
                <w:b/>
                <w:bCs/>
                <w:color w:val="B54708"/>
                <w:sz w:val="18"/>
                <w:szCs w:val="18"/>
              </w:rPr>
              <w:t xml:space="preserve">Pending Finance</w:t>
            </w:r>
          </w:p>
        </w:tc>
      </w:tr>
      <w:tr>
        <w:tc>
          <w:tcPr>
            <w:tcW w:type="dxa" w:w="301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BRQ-2026-0316</w:t>
            </w:r>
          </w:p>
        </w:tc>
        <w:tc>
          <w:tcPr>
            <w:tcW w:type="dxa" w:w="2409"/>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w:t>
            </w:r>
          </w:p>
        </w:tc>
        <w:tc>
          <w:tcPr>
            <w:tcW w:type="dxa" w:w="4820"/>
            <w:shd w:fill="E7F6EE" w:val="clear"/>
            <w:tcMar>
              <w:top w:type="dxa" w:w="90"/>
              <w:left w:type="dxa" w:w="110"/>
              <w:bottom w:type="dxa" w:w="90"/>
              <w:right w:type="dxa" w:w="110"/>
            </w:tcMar>
            <w:vAlign w:val="center"/>
          </w:tcPr>
          <w:p>
            <w:r>
              <w:rPr>
                <w:rFonts w:ascii="Lato" w:cs="Lato" w:eastAsia="Lato" w:hAnsi="Lato"/>
                <w:b/>
                <w:bCs/>
                <w:color w:val="12805C"/>
                <w:sz w:val="18"/>
                <w:szCs w:val="18"/>
              </w:rPr>
              <w:t xml:space="preserve">Auto-Approved</w:t>
            </w:r>
          </w:p>
        </w:tc>
      </w:tr>
      <w:tr>
        <w:tc>
          <w:tcPr>
            <w:tcW w:type="dxa" w:w="3011"/>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BRQ-2026-0317</w:t>
            </w:r>
          </w:p>
        </w:tc>
        <w:tc>
          <w:tcPr>
            <w:tcW w:type="dxa" w:w="2409"/>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c>
          <w:tcPr>
            <w:tcW w:type="dxa" w:w="4820"/>
            <w:shd w:fill="FDECEC" w:val="clear"/>
            <w:tcMar>
              <w:top w:type="dxa" w:w="90"/>
              <w:left w:type="dxa" w:w="110"/>
              <w:bottom w:type="dxa" w:w="90"/>
              <w:right w:type="dxa" w:w="110"/>
            </w:tcMar>
            <w:vAlign w:val="center"/>
          </w:tcPr>
          <w:p>
            <w:r>
              <w:rPr>
                <w:rFonts w:ascii="Lato" w:cs="Lato" w:eastAsia="Lato" w:hAnsi="Lato"/>
                <w:b/>
                <w:bCs/>
                <w:color w:val="B42318"/>
                <w:sz w:val="18"/>
                <w:szCs w:val="18"/>
              </w:rPr>
              <w:t xml:space="preserve">Rejected</w:t>
            </w:r>
          </w:p>
        </w:tc>
      </w:tr>
      <w:tr>
        <w:tc>
          <w:tcPr>
            <w:tcW w:type="dxa" w:w="3011"/>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BRQ-2026-0318</w:t>
            </w:r>
          </w:p>
        </w:tc>
        <w:tc>
          <w:tcPr>
            <w:tcW w:type="dxa" w:w="2409"/>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c>
          <w:tcPr>
            <w:tcW w:type="dxa" w:w="4820"/>
            <w:shd w:fill="E7F6EE" w:val="clear"/>
            <w:tcMar>
              <w:top w:type="dxa" w:w="90"/>
              <w:left w:type="dxa" w:w="110"/>
              <w:bottom w:type="dxa" w:w="90"/>
              <w:right w:type="dxa" w:w="110"/>
            </w:tcMar>
            <w:vAlign w:val="center"/>
          </w:tcPr>
          <w:p>
            <w:r>
              <w:rPr>
                <w:rFonts w:ascii="Lato" w:cs="Lato" w:eastAsia="Lato" w:hAnsi="Lato"/>
                <w:b/>
                <w:bCs/>
                <w:color w:val="12805C"/>
                <w:sz w:val="18"/>
                <w:szCs w:val="18"/>
              </w:rPr>
              <w:t xml:space="preserve">Approved</w:t>
            </w:r>
          </w:p>
        </w:tc>
      </w:tr>
    </w:tbl>
    <w:p>
      <w:pPr>
        <w:spacing w:after="120"/>
      </w:pPr>
    </w:p>
    <w:p>
      <w:pPr>
        <w:spacing w:after="80" w:before="200"/>
      </w:pPr>
      <w:r>
        <w:rPr>
          <w:rFonts w:ascii="Lato" w:cs="Lato" w:eastAsia="Lato" w:hAnsi="Lato"/>
          <w:b/>
          <w:bCs/>
          <w:color w:val="1A1F36"/>
          <w:sz w:val="21"/>
          <w:szCs w:val="21"/>
        </w:rPr>
        <w:t xml:space="preserve">Rejection Reasons — One Example at Every Stage</w:t>
      </w:r>
    </w:p>
    <w:p>
      <w:pPr>
        <w:spacing w:after="160" w:line="280"/>
      </w:pPr>
      <w:r>
        <w:rPr>
          <w:rFonts w:ascii="Lato" w:cs="Lato" w:eastAsia="Lato" w:hAnsi="Lato"/>
          <w:i/>
          <w:iCs/>
          <w:color w:val="475467"/>
          <w:sz w:val="18"/>
          <w:szCs w:val="18"/>
        </w:rPr>
        <w:t xml:space="preserve">Deliberately included so every approval stage (RM, Department Head, Finance) has a demonstrated rejection — not just the final gate.</w:t>
      </w:r>
    </w:p>
    <w:p>
      <w:pPr>
        <w:pStyle w:val="ListParagraph"/>
        <w:numPr>
          <w:ilvl w:val="0"/>
          <w:numId w:val="2"/>
        </w:numPr>
        <w:spacing w:after="60" w:line="280"/>
      </w:pPr>
      <w:r>
        <w:rPr>
          <w:rFonts w:ascii="Lato" w:cs="Lato" w:eastAsia="Lato" w:hAnsi="Lato"/>
          <w:color w:val="475467"/>
          <w:sz w:val="21"/>
          <w:szCs w:val="21"/>
        </w:rPr>
        <w:t xml:space="preserve">BRQ-2026-0314 — Rejected by Reporting Manager Liam O'Connor: “Refresh cycle isn't due for another 8 months per asset lifecycle policy; resubmit closer to the replacement window.”</w:t>
      </w:r>
    </w:p>
    <w:p>
      <w:pPr>
        <w:pStyle w:val="ListParagraph"/>
        <w:numPr>
          <w:ilvl w:val="0"/>
          <w:numId w:val="2"/>
        </w:numPr>
        <w:spacing w:after="60" w:line="280"/>
      </w:pPr>
      <w:r>
        <w:rPr>
          <w:rFonts w:ascii="Lato" w:cs="Lato" w:eastAsia="Lato" w:hAnsi="Lato"/>
          <w:color w:val="475467"/>
          <w:sz w:val="21"/>
          <w:szCs w:val="21"/>
        </w:rPr>
        <w:t xml:space="preserve">BRQ-2026-0312 — Rejected by Department Head Isabella Fischer: “Deferred to next quarter pending warehouse layout finalization.”</w:t>
      </w:r>
    </w:p>
    <w:p>
      <w:pPr>
        <w:pStyle w:val="ListParagraph"/>
        <w:numPr>
          <w:ilvl w:val="0"/>
          <w:numId w:val="2"/>
        </w:numPr>
        <w:spacing w:after="60" w:line="280"/>
      </w:pPr>
      <w:r>
        <w:rPr>
          <w:rFonts w:ascii="Lato" w:cs="Lato" w:eastAsia="Lato" w:hAnsi="Lato"/>
          <w:color w:val="475467"/>
          <w:sz w:val="21"/>
          <w:szCs w:val="21"/>
        </w:rPr>
        <w:t xml:space="preserve">BRQ-2026-0317 — Rejected by Finance Controller Olivia Bennett: “Duplicate license already active under a company-wide HRMS agreement.”</w:t>
      </w:r>
    </w:p>
    <w:p>
      <w:pPr>
        <w:spacing w:after="140"/>
      </w:pPr>
    </w:p>
    <w:p>
      <w:pPr>
        <w:spacing w:after="80" w:before="200"/>
      </w:pPr>
      <w:r>
        <w:rPr>
          <w:rFonts w:ascii="Lato" w:cs="Lato" w:eastAsia="Lato" w:hAnsi="Lato"/>
          <w:b/>
          <w:bCs/>
          <w:color w:val="1A1F36"/>
          <w:sz w:val="21"/>
          <w:szCs w:val="21"/>
        </w:rPr>
        <w:t xml:space="preserve">Approval Queue by Stage Tab</w:t>
      </w:r>
    </w:p>
    <w:p>
      <w:pPr>
        <w:spacing w:after="160" w:line="280"/>
      </w:pPr>
      <w:r>
        <w:rPr>
          <w:rFonts w:ascii="Lato" w:cs="Lato" w:eastAsia="Lato" w:hAnsi="Lato"/>
          <w:i/>
          <w:iCs/>
          <w:color w:val="475467"/>
          <w:sz w:val="18"/>
          <w:szCs w:val="18"/>
        </w:rPr>
        <w:t xml:space="preserve">This is the data behind the queue's stage tabs (All / Reporting Manager / Department Head / Finance) — each tab filters the same eighteen requests to those currently sitting at that stage; it is not a separate dataset or a simulated login.</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1932"/>
        <w:gridCol w:w="1738"/>
        <w:gridCol w:w="2125"/>
        <w:gridCol w:w="1255"/>
        <w:gridCol w:w="1352"/>
        <w:gridCol w:w="1838"/>
      </w:tblGrid>
      <w:tr>
        <w:tc>
          <w:tcPr>
            <w:tcW w:type="dxa" w:w="1932"/>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Tab</w:t>
            </w:r>
          </w:p>
        </w:tc>
        <w:tc>
          <w:tcPr>
            <w:tcW w:type="dxa" w:w="1738"/>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Request ID</w:t>
            </w:r>
          </w:p>
        </w:tc>
        <w:tc>
          <w:tcPr>
            <w:tcW w:type="dxa" w:w="2125"/>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Department</w:t>
            </w:r>
          </w:p>
        </w:tc>
        <w:tc>
          <w:tcPr>
            <w:tcW w:type="dxa" w:w="1255"/>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Approval Tier</w:t>
            </w:r>
          </w:p>
        </w:tc>
        <w:tc>
          <w:tcPr>
            <w:tcW w:type="dxa" w:w="1352"/>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Amount</w:t>
            </w:r>
          </w:p>
        </w:tc>
        <w:tc>
          <w:tcPr>
            <w:tcW w:type="dxa" w:w="1838"/>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SLA Due</w:t>
            </w:r>
          </w:p>
        </w:tc>
      </w:tr>
      <w:tr>
        <w:tc>
          <w:tcPr>
            <w:tcW w:type="dxa" w:w="193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Reporting Manager</w:t>
            </w:r>
          </w:p>
        </w:tc>
        <w:tc>
          <w:tcPr>
            <w:tcW w:type="dxa" w:w="173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BRQ-2026-0311</w:t>
            </w:r>
          </w:p>
        </w:tc>
        <w:tc>
          <w:tcPr>
            <w:tcW w:type="dxa" w:w="212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Procurement &amp; Stores</w:t>
            </w:r>
          </w:p>
        </w:tc>
        <w:tc>
          <w:tcPr>
            <w:tcW w:type="dxa" w:w="125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c>
          <w:tcPr>
            <w:tcW w:type="dxa" w:w="135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$22,000</w:t>
            </w:r>
          </w:p>
        </w:tc>
        <w:tc>
          <w:tcPr>
            <w:tcW w:type="dxa" w:w="183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15 Nov 2026</w:t>
            </w:r>
          </w:p>
        </w:tc>
      </w:tr>
      <w:tr>
        <w:tc>
          <w:tcPr>
            <w:tcW w:type="dxa" w:w="193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Reporting Manager</w:t>
            </w:r>
          </w:p>
        </w:tc>
        <w:tc>
          <w:tcPr>
            <w:tcW w:type="dxa" w:w="173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BRQ-2026-0309</w:t>
            </w:r>
          </w:p>
        </w:tc>
        <w:tc>
          <w:tcPr>
            <w:tcW w:type="dxa" w:w="212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Quality Assurance</w:t>
            </w:r>
          </w:p>
        </w:tc>
        <w:tc>
          <w:tcPr>
            <w:tcW w:type="dxa" w:w="125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c>
          <w:tcPr>
            <w:tcW w:type="dxa" w:w="135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$142,000</w:t>
            </w:r>
          </w:p>
        </w:tc>
        <w:tc>
          <w:tcPr>
            <w:tcW w:type="dxa" w:w="183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05 Sep 2026 (Overdue)</w:t>
            </w:r>
          </w:p>
        </w:tc>
      </w:tr>
      <w:tr>
        <w:tc>
          <w:tcPr>
            <w:tcW w:type="dxa" w:w="193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Department Head</w:t>
            </w:r>
          </w:p>
        </w:tc>
        <w:tc>
          <w:tcPr>
            <w:tcW w:type="dxa" w:w="173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BRQ-2026-0303</w:t>
            </w:r>
          </w:p>
        </w:tc>
        <w:tc>
          <w:tcPr>
            <w:tcW w:type="dxa" w:w="212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Production</w:t>
            </w:r>
          </w:p>
        </w:tc>
        <w:tc>
          <w:tcPr>
            <w:tcW w:type="dxa" w:w="125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c>
          <w:tcPr>
            <w:tcW w:type="dxa" w:w="135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$128,000</w:t>
            </w:r>
          </w:p>
        </w:tc>
        <w:tc>
          <w:tcPr>
            <w:tcW w:type="dxa" w:w="183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20 Nov 2026</w:t>
            </w:r>
          </w:p>
        </w:tc>
      </w:tr>
      <w:tr>
        <w:tc>
          <w:tcPr>
            <w:tcW w:type="dxa" w:w="193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Department Head</w:t>
            </w:r>
          </w:p>
        </w:tc>
        <w:tc>
          <w:tcPr>
            <w:tcW w:type="dxa" w:w="173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BRQ-2026-0306</w:t>
            </w:r>
          </w:p>
        </w:tc>
        <w:tc>
          <w:tcPr>
            <w:tcW w:type="dxa" w:w="212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Maintenance &amp; Utilities</w:t>
            </w:r>
          </w:p>
        </w:tc>
        <w:tc>
          <w:tcPr>
            <w:tcW w:type="dxa" w:w="125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c>
          <w:tcPr>
            <w:tcW w:type="dxa" w:w="135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$94,000</w:t>
            </w:r>
          </w:p>
        </w:tc>
        <w:tc>
          <w:tcPr>
            <w:tcW w:type="dxa" w:w="183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10 Sep 2026 (Overdue)</w:t>
            </w:r>
          </w:p>
        </w:tc>
      </w:tr>
      <w:tr>
        <w:tc>
          <w:tcPr>
            <w:tcW w:type="dxa" w:w="193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Finance</w:t>
            </w:r>
          </w:p>
        </w:tc>
        <w:tc>
          <w:tcPr>
            <w:tcW w:type="dxa" w:w="173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BRQ-2026-0302</w:t>
            </w:r>
          </w:p>
        </w:tc>
        <w:tc>
          <w:tcPr>
            <w:tcW w:type="dxa" w:w="212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Production</w:t>
            </w:r>
          </w:p>
        </w:tc>
        <w:tc>
          <w:tcPr>
            <w:tcW w:type="dxa" w:w="125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w:t>
            </w:r>
          </w:p>
        </w:tc>
        <w:tc>
          <w:tcPr>
            <w:tcW w:type="dxa" w:w="135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$18,500</w:t>
            </w:r>
          </w:p>
        </w:tc>
        <w:tc>
          <w:tcPr>
            <w:tcW w:type="dxa" w:w="183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10 Dec 2026</w:t>
            </w:r>
          </w:p>
        </w:tc>
      </w:tr>
      <w:tr>
        <w:tc>
          <w:tcPr>
            <w:tcW w:type="dxa" w:w="193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Finance</w:t>
            </w:r>
          </w:p>
        </w:tc>
        <w:tc>
          <w:tcPr>
            <w:tcW w:type="dxa" w:w="173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BRQ-2026-0315</w:t>
            </w:r>
          </w:p>
        </w:tc>
        <w:tc>
          <w:tcPr>
            <w:tcW w:type="dxa" w:w="212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IT &amp; Systems</w:t>
            </w:r>
          </w:p>
        </w:tc>
        <w:tc>
          <w:tcPr>
            <w:tcW w:type="dxa" w:w="125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w:t>
            </w:r>
          </w:p>
        </w:tc>
        <w:tc>
          <w:tcPr>
            <w:tcW w:type="dxa" w:w="135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$115,000</w:t>
            </w:r>
          </w:p>
        </w:tc>
        <w:tc>
          <w:tcPr>
            <w:tcW w:type="dxa" w:w="183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25 Nov 2026</w:t>
            </w:r>
          </w:p>
        </w:tc>
      </w:tr>
    </w:tbl>
    <w:p>
      <w:pPr>
        <w:spacing w:after="160" w:line="280"/>
      </w:pPr>
      <w:r>
        <w:rPr>
          <w:rFonts w:ascii="Lato" w:cs="Lato" w:eastAsia="Lato" w:hAnsi="Lato"/>
          <w:i/>
          <w:iCs/>
          <w:color w:val="475467"/>
          <w:sz w:val="18"/>
          <w:szCs w:val="18"/>
        </w:rPr>
        <w:t xml:space="preserve">Note the structural proof: the Reporting Manager tab mixes both tiers; the Department Head tab contains only 3-Person tier requests (2-Person requests skip this stage entirely); the Finance tab mixes both tiers again as the common final gate. Only 2 of the 6 pending requests are currently overdue — the rest still have weeks of SLA runway, which is the more realistic state for a live queue.</w:t>
      </w:r>
    </w:p>
    <w:p>
      <w:r>
        <w:br w:type="page"/>
      </w:r>
    </w:p>
    <w:p>
      <w:pPr>
        <w:spacing w:after="80" w:before="200"/>
      </w:pPr>
      <w:r>
        <w:rPr>
          <w:rFonts w:ascii="Lato" w:cs="Lato" w:eastAsia="Lato" w:hAnsi="Lato"/>
          <w:b/>
          <w:bCs/>
          <w:color w:val="1A1F36"/>
          <w:sz w:val="21"/>
          <w:szCs w:val="21"/>
        </w:rPr>
        <w:t xml:space="preserve">Detail Example A — 3-Person Tier: BRQ-2026-0303 (Currently at Department Head)</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5688"/>
        <w:gridCol w:w="4552"/>
      </w:tblGrid>
      <w:tr>
        <w:tc>
          <w:tcPr>
            <w:tcW w:type="dxa" w:w="5688"/>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Field</w:t>
            </w:r>
          </w:p>
        </w:tc>
        <w:tc>
          <w:tcPr>
            <w:tcW w:type="dxa" w:w="4552"/>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Value</w:t>
            </w:r>
          </w:p>
        </w:tc>
      </w:tr>
      <w:tr>
        <w:tc>
          <w:tcPr>
            <w:tcW w:type="dxa" w:w="568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Request Value</w:t>
            </w:r>
          </w:p>
        </w:tc>
        <w:tc>
          <w:tcPr>
            <w:tcW w:type="dxa" w:w="455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$128,000</w:t>
            </w:r>
          </w:p>
        </w:tc>
      </w:tr>
      <w:tr>
        <w:tc>
          <w:tcPr>
            <w:tcW w:type="dxa" w:w="568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Department</w:t>
            </w:r>
          </w:p>
        </w:tc>
        <w:tc>
          <w:tcPr>
            <w:tcW w:type="dxa" w:w="455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Production</w:t>
            </w:r>
          </w:p>
        </w:tc>
      </w:tr>
      <w:tr>
        <w:tc>
          <w:tcPr>
            <w:tcW w:type="dxa" w:w="568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Approval Tier</w:t>
            </w:r>
          </w:p>
        </w:tc>
        <w:tc>
          <w:tcPr>
            <w:tcW w:type="dxa" w:w="455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 (RM → Dept Head → Finance)</w:t>
            </w:r>
          </w:p>
        </w:tc>
      </w:tr>
      <w:tr>
        <w:tc>
          <w:tcPr>
            <w:tcW w:type="dxa" w:w="568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Current Stage</w:t>
            </w:r>
          </w:p>
        </w:tc>
        <w:tc>
          <w:tcPr>
            <w:tcW w:type="dxa" w:w="455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Department Head — Henrik Larsson</w:t>
            </w:r>
          </w:p>
        </w:tc>
      </w:tr>
    </w:tbl>
    <w:p>
      <w:pPr>
        <w:spacing w:after="100"/>
      </w:pPr>
    </w:p>
    <w:p>
      <w:pPr>
        <w:spacing w:after="80" w:before="200"/>
      </w:pPr>
      <w:r>
        <w:rPr>
          <w:rFonts w:ascii="Lato" w:cs="Lato" w:eastAsia="Lato" w:hAnsi="Lato"/>
          <w:b/>
          <w:bCs/>
          <w:color w:val="1A1F36"/>
          <w:sz w:val="21"/>
          <w:szCs w:val="21"/>
        </w:rPr>
        <w:t xml:space="preserve">Cost Breakdown</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6826"/>
        <w:gridCol w:w="3414"/>
      </w:tblGrid>
      <w:tr>
        <w:tc>
          <w:tcPr>
            <w:tcW w:type="dxa" w:w="6826"/>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Line Item</w:t>
            </w:r>
          </w:p>
        </w:tc>
        <w:tc>
          <w:tcPr>
            <w:tcW w:type="dxa" w:w="3414"/>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Amount</w:t>
            </w:r>
          </w:p>
        </w:tc>
      </w:tr>
      <w:tr>
        <w:tc>
          <w:tcPr>
            <w:tcW w:type="dxa" w:w="6826"/>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CNC lathe machine unit</w:t>
            </w:r>
          </w:p>
        </w:tc>
        <w:tc>
          <w:tcPr>
            <w:tcW w:type="dxa" w:w="341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$112,000</w:t>
            </w:r>
          </w:p>
        </w:tc>
      </w:tr>
      <w:tr>
        <w:tc>
          <w:tcPr>
            <w:tcW w:type="dxa" w:w="6826"/>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Installation &amp; calibration</w:t>
            </w:r>
          </w:p>
        </w:tc>
        <w:tc>
          <w:tcPr>
            <w:tcW w:type="dxa" w:w="341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$9,500</w:t>
            </w:r>
          </w:p>
        </w:tc>
      </w:tr>
      <w:tr>
        <w:tc>
          <w:tcPr>
            <w:tcW w:type="dxa" w:w="6826"/>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Contingency</w:t>
            </w:r>
          </w:p>
        </w:tc>
        <w:tc>
          <w:tcPr>
            <w:tcW w:type="dxa" w:w="341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$6,500</w:t>
            </w:r>
          </w:p>
        </w:tc>
      </w:tr>
      <w:tr>
        <w:tc>
          <w:tcPr>
            <w:tcW w:type="dxa" w:w="6826"/>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Total</w:t>
            </w:r>
          </w:p>
        </w:tc>
        <w:tc>
          <w:tcPr>
            <w:tcW w:type="dxa" w:w="341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$128,000</w:t>
            </w:r>
          </w:p>
        </w:tc>
      </w:tr>
    </w:tbl>
    <w:p>
      <w:pPr>
        <w:spacing w:after="100"/>
      </w:pPr>
    </w:p>
    <w:p>
      <w:pPr>
        <w:spacing w:after="80" w:before="200"/>
      </w:pPr>
      <w:r>
        <w:rPr>
          <w:rFonts w:ascii="Lato" w:cs="Lato" w:eastAsia="Lato" w:hAnsi="Lato"/>
          <w:b/>
          <w:bCs/>
          <w:color w:val="1A1F36"/>
          <w:sz w:val="21"/>
          <w:szCs w:val="21"/>
        </w:rPr>
        <w:t xml:space="preserve">Activity Log</w:t>
      </w:r>
    </w:p>
    <w:p>
      <w:pPr>
        <w:pStyle w:val="ListParagraph"/>
        <w:numPr>
          <w:ilvl w:val="0"/>
          <w:numId w:val="2"/>
        </w:numPr>
        <w:spacing w:after="60" w:line="280"/>
      </w:pPr>
      <w:r>
        <w:rPr>
          <w:rFonts w:ascii="Lato" w:cs="Lato" w:eastAsia="Lato" w:hAnsi="Lato"/>
          <w:color w:val="475467"/>
          <w:sz w:val="21"/>
          <w:szCs w:val="21"/>
        </w:rPr>
        <w:t xml:space="preserve">25 Aug 2026, 10:05 AM — Submitted by Carlos Medina (Production)</w:t>
      </w:r>
    </w:p>
    <w:p>
      <w:pPr>
        <w:pStyle w:val="ListParagraph"/>
        <w:numPr>
          <w:ilvl w:val="0"/>
          <w:numId w:val="2"/>
        </w:numPr>
        <w:spacing w:after="60" w:line="280"/>
      </w:pPr>
      <w:r>
        <w:rPr>
          <w:rFonts w:ascii="Lato" w:cs="Lato" w:eastAsia="Lato" w:hAnsi="Lato"/>
          <w:color w:val="475467"/>
          <w:sz w:val="21"/>
          <w:szCs w:val="21"/>
        </w:rPr>
        <w:t xml:space="preserve">28 Aug 2026, 09:30 AM — Approved by Reporting Manager Jason Miller, routed to Department Head</w:t>
      </w:r>
    </w:p>
    <w:p>
      <w:pPr>
        <w:pStyle w:val="ListParagraph"/>
        <w:numPr>
          <w:ilvl w:val="0"/>
          <w:numId w:val="2"/>
        </w:numPr>
        <w:spacing w:after="60" w:line="280"/>
      </w:pPr>
      <w:r>
        <w:rPr>
          <w:rFonts w:ascii="Lato" w:cs="Lato" w:eastAsia="Lato" w:hAnsi="Lato"/>
          <w:color w:val="475467"/>
          <w:sz w:val="21"/>
          <w:szCs w:val="21"/>
        </w:rPr>
        <w:t xml:space="preserve">Awaiting — Department Head Henrik Larsson review, SLA due 20 Nov 2026</w:t>
      </w:r>
    </w:p>
    <w:p>
      <w:pPr>
        <w:spacing w:after="160"/>
      </w:pPr>
    </w:p>
    <w:p>
      <w:pPr>
        <w:spacing w:after="80" w:before="200"/>
      </w:pPr>
      <w:r>
        <w:rPr>
          <w:rFonts w:ascii="Lato" w:cs="Lato" w:eastAsia="Lato" w:hAnsi="Lato"/>
          <w:b/>
          <w:bCs/>
          <w:color w:val="1A1F36"/>
          <w:sz w:val="21"/>
          <w:szCs w:val="21"/>
        </w:rPr>
        <w:t xml:space="preserve">Detail Example B — 2-Person Tier: BRQ-2026-0302 (Currently at Finance)</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5688"/>
        <w:gridCol w:w="4552"/>
      </w:tblGrid>
      <w:tr>
        <w:tc>
          <w:tcPr>
            <w:tcW w:type="dxa" w:w="5688"/>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Field</w:t>
            </w:r>
          </w:p>
        </w:tc>
        <w:tc>
          <w:tcPr>
            <w:tcW w:type="dxa" w:w="4552"/>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Value</w:t>
            </w:r>
          </w:p>
        </w:tc>
      </w:tr>
      <w:tr>
        <w:tc>
          <w:tcPr>
            <w:tcW w:type="dxa" w:w="568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Request Value</w:t>
            </w:r>
          </w:p>
        </w:tc>
        <w:tc>
          <w:tcPr>
            <w:tcW w:type="dxa" w:w="455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$18,500</w:t>
            </w:r>
          </w:p>
        </w:tc>
      </w:tr>
      <w:tr>
        <w:tc>
          <w:tcPr>
            <w:tcW w:type="dxa" w:w="568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Department</w:t>
            </w:r>
          </w:p>
        </w:tc>
        <w:tc>
          <w:tcPr>
            <w:tcW w:type="dxa" w:w="455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Production</w:t>
            </w:r>
          </w:p>
        </w:tc>
      </w:tr>
      <w:tr>
        <w:tc>
          <w:tcPr>
            <w:tcW w:type="dxa" w:w="568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Approval Tier</w:t>
            </w:r>
          </w:p>
        </w:tc>
        <w:tc>
          <w:tcPr>
            <w:tcW w:type="dxa" w:w="455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 (RM → Finance)</w:t>
            </w:r>
          </w:p>
        </w:tc>
      </w:tr>
      <w:tr>
        <w:tc>
          <w:tcPr>
            <w:tcW w:type="dxa" w:w="568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Current Stage</w:t>
            </w:r>
          </w:p>
        </w:tc>
        <w:tc>
          <w:tcPr>
            <w:tcW w:type="dxa" w:w="455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Finance Controller — Olivia Bennett</w:t>
            </w:r>
          </w:p>
        </w:tc>
      </w:tr>
    </w:tbl>
    <w:p>
      <w:pPr>
        <w:spacing w:after="100"/>
      </w:pPr>
    </w:p>
    <w:p>
      <w:pPr>
        <w:spacing w:after="80" w:before="200"/>
      </w:pPr>
      <w:r>
        <w:rPr>
          <w:rFonts w:ascii="Lato" w:cs="Lato" w:eastAsia="Lato" w:hAnsi="Lato"/>
          <w:b/>
          <w:bCs/>
          <w:color w:val="1A1F36"/>
          <w:sz w:val="21"/>
          <w:szCs w:val="21"/>
        </w:rPr>
        <w:t xml:space="preserve">Cost Breakdown</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6826"/>
        <w:gridCol w:w="3414"/>
      </w:tblGrid>
      <w:tr>
        <w:tc>
          <w:tcPr>
            <w:tcW w:type="dxa" w:w="6826"/>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Line Item</w:t>
            </w:r>
          </w:p>
        </w:tc>
        <w:tc>
          <w:tcPr>
            <w:tcW w:type="dxa" w:w="3414"/>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Amount</w:t>
            </w:r>
          </w:p>
        </w:tc>
      </w:tr>
      <w:tr>
        <w:tc>
          <w:tcPr>
            <w:tcW w:type="dxa" w:w="6826"/>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Sensor units (Qty 4)</w:t>
            </w:r>
          </w:p>
        </w:tc>
        <w:tc>
          <w:tcPr>
            <w:tcW w:type="dxa" w:w="341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$14,000</w:t>
            </w:r>
          </w:p>
        </w:tc>
      </w:tr>
      <w:tr>
        <w:tc>
          <w:tcPr>
            <w:tcW w:type="dxa" w:w="6826"/>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Installation &amp; calibration</w:t>
            </w:r>
          </w:p>
        </w:tc>
        <w:tc>
          <w:tcPr>
            <w:tcW w:type="dxa" w:w="341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$3,000</w:t>
            </w:r>
          </w:p>
        </w:tc>
      </w:tr>
      <w:tr>
        <w:tc>
          <w:tcPr>
            <w:tcW w:type="dxa" w:w="6826"/>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Contingency</w:t>
            </w:r>
          </w:p>
        </w:tc>
        <w:tc>
          <w:tcPr>
            <w:tcW w:type="dxa" w:w="341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$1,500</w:t>
            </w:r>
          </w:p>
        </w:tc>
      </w:tr>
      <w:tr>
        <w:tc>
          <w:tcPr>
            <w:tcW w:type="dxa" w:w="6826"/>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Total</w:t>
            </w:r>
          </w:p>
        </w:tc>
        <w:tc>
          <w:tcPr>
            <w:tcW w:type="dxa" w:w="341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$18,500</w:t>
            </w:r>
          </w:p>
        </w:tc>
      </w:tr>
    </w:tbl>
    <w:p>
      <w:pPr>
        <w:spacing w:after="100"/>
      </w:pPr>
    </w:p>
    <w:p>
      <w:pPr>
        <w:spacing w:after="80" w:before="200"/>
      </w:pPr>
      <w:r>
        <w:rPr>
          <w:rFonts w:ascii="Lato" w:cs="Lato" w:eastAsia="Lato" w:hAnsi="Lato"/>
          <w:b/>
          <w:bCs/>
          <w:color w:val="1A1F36"/>
          <w:sz w:val="21"/>
          <w:szCs w:val="21"/>
        </w:rPr>
        <w:t xml:space="preserve">Activity Log</w:t>
      </w:r>
    </w:p>
    <w:p>
      <w:pPr>
        <w:pStyle w:val="ListParagraph"/>
        <w:numPr>
          <w:ilvl w:val="0"/>
          <w:numId w:val="2"/>
        </w:numPr>
        <w:spacing w:after="60" w:line="280"/>
      </w:pPr>
      <w:r>
        <w:rPr>
          <w:rFonts w:ascii="Lato" w:cs="Lato" w:eastAsia="Lato" w:hAnsi="Lato"/>
          <w:color w:val="475467"/>
          <w:sz w:val="21"/>
          <w:szCs w:val="21"/>
        </w:rPr>
        <w:t xml:space="preserve">10 Sep 2026, 09:00 AM — Submitted by Carlos Medina (Production)</w:t>
      </w:r>
    </w:p>
    <w:p>
      <w:pPr>
        <w:pStyle w:val="ListParagraph"/>
        <w:numPr>
          <w:ilvl w:val="0"/>
          <w:numId w:val="2"/>
        </w:numPr>
        <w:spacing w:after="60" w:line="280"/>
      </w:pPr>
      <w:r>
        <w:rPr>
          <w:rFonts w:ascii="Lato" w:cs="Lato" w:eastAsia="Lato" w:hAnsi="Lato"/>
          <w:color w:val="475467"/>
          <w:sz w:val="21"/>
          <w:szCs w:val="21"/>
        </w:rPr>
        <w:t xml:space="preserve">12 Sep 2026, 10:15 AM — Approved by Reporting Manager Jason Miller, routed directly to Finance (2-Person tier — Department Head not required)</w:t>
      </w:r>
    </w:p>
    <w:p>
      <w:pPr>
        <w:pStyle w:val="ListParagraph"/>
        <w:numPr>
          <w:ilvl w:val="0"/>
          <w:numId w:val="2"/>
        </w:numPr>
        <w:spacing w:after="60" w:line="280"/>
      </w:pPr>
      <w:r>
        <w:rPr>
          <w:rFonts w:ascii="Lato" w:cs="Lato" w:eastAsia="Lato" w:hAnsi="Lato"/>
          <w:color w:val="475467"/>
          <w:sz w:val="21"/>
          <w:szCs w:val="21"/>
        </w:rPr>
        <w:t xml:space="preserve">Awaiting — Finance Controller Olivia Bennett review, SLA due 10 Dec 2026</w:t>
      </w:r>
    </w:p>
    <w:p>
      <w:pPr>
        <w:spacing w:after="160"/>
      </w:pPr>
    </w:p>
    <w:p>
      <w:pPr>
        <w:spacing w:after="80" w:before="200"/>
      </w:pPr>
      <w:r>
        <w:rPr>
          <w:rFonts w:ascii="Lato" w:cs="Lato" w:eastAsia="Lato" w:hAnsi="Lato"/>
          <w:b/>
          <w:bCs/>
          <w:color w:val="1A1F36"/>
          <w:sz w:val="21"/>
          <w:szCs w:val="21"/>
        </w:rPr>
        <w:t xml:space="preserve">Detail Example C — 2-Person Tier Rejected at RM: BRQ-2026-0314</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5688"/>
        <w:gridCol w:w="4552"/>
      </w:tblGrid>
      <w:tr>
        <w:tc>
          <w:tcPr>
            <w:tcW w:type="dxa" w:w="5688"/>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Field</w:t>
            </w:r>
          </w:p>
        </w:tc>
        <w:tc>
          <w:tcPr>
            <w:tcW w:type="dxa" w:w="4552"/>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Value</w:t>
            </w:r>
          </w:p>
        </w:tc>
      </w:tr>
      <w:tr>
        <w:tc>
          <w:tcPr>
            <w:tcW w:type="dxa" w:w="568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Request Value</w:t>
            </w:r>
          </w:p>
        </w:tc>
        <w:tc>
          <w:tcPr>
            <w:tcW w:type="dxa" w:w="455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$48,000</w:t>
            </w:r>
          </w:p>
        </w:tc>
      </w:tr>
      <w:tr>
        <w:tc>
          <w:tcPr>
            <w:tcW w:type="dxa" w:w="568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Department</w:t>
            </w:r>
          </w:p>
        </w:tc>
        <w:tc>
          <w:tcPr>
            <w:tcW w:type="dxa" w:w="455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IT &amp; Systems</w:t>
            </w:r>
          </w:p>
        </w:tc>
      </w:tr>
      <w:tr>
        <w:tc>
          <w:tcPr>
            <w:tcW w:type="dxa" w:w="568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Approval Tier</w:t>
            </w:r>
          </w:p>
        </w:tc>
        <w:tc>
          <w:tcPr>
            <w:tcW w:type="dxa" w:w="455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 (RM → Finance)</w:t>
            </w:r>
          </w:p>
        </w:tc>
      </w:tr>
      <w:tr>
        <w:tc>
          <w:tcPr>
            <w:tcW w:type="dxa" w:w="568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Final Stage Reached</w:t>
            </w:r>
          </w:p>
        </w:tc>
        <w:tc>
          <w:tcPr>
            <w:tcW w:type="dxa" w:w="455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Reporting Manager — Liam O'Connor (Rejected, did not advance to Finance)</w:t>
            </w:r>
          </w:p>
        </w:tc>
      </w:tr>
    </w:tbl>
    <w:p>
      <w:pPr>
        <w:spacing w:after="100"/>
      </w:pPr>
    </w:p>
    <w:p>
      <w:pPr>
        <w:spacing w:after="80" w:before="200"/>
      </w:pPr>
      <w:r>
        <w:rPr>
          <w:rFonts w:ascii="Lato" w:cs="Lato" w:eastAsia="Lato" w:hAnsi="Lato"/>
          <w:b/>
          <w:bCs/>
          <w:color w:val="1A1F36"/>
          <w:sz w:val="21"/>
          <w:szCs w:val="21"/>
        </w:rPr>
        <w:t xml:space="preserve">Activity Log</w:t>
      </w:r>
    </w:p>
    <w:p>
      <w:pPr>
        <w:pStyle w:val="ListParagraph"/>
        <w:numPr>
          <w:ilvl w:val="0"/>
          <w:numId w:val="2"/>
        </w:numPr>
        <w:spacing w:after="60" w:line="280"/>
      </w:pPr>
      <w:r>
        <w:rPr>
          <w:rFonts w:ascii="Lato" w:cs="Lato" w:eastAsia="Lato" w:hAnsi="Lato"/>
          <w:color w:val="475467"/>
          <w:sz w:val="21"/>
          <w:szCs w:val="21"/>
        </w:rPr>
        <w:t xml:space="preserve">02 Sep 2026, 11:20 AM — Submitted by Daniel Cohen (IT &amp; Systems)</w:t>
      </w:r>
    </w:p>
    <w:p>
      <w:pPr>
        <w:pStyle w:val="ListParagraph"/>
        <w:numPr>
          <w:ilvl w:val="0"/>
          <w:numId w:val="2"/>
        </w:numPr>
        <w:spacing w:after="60" w:line="280"/>
      </w:pPr>
      <w:r>
        <w:rPr>
          <w:rFonts w:ascii="Lato" w:cs="Lato" w:eastAsia="Lato" w:hAnsi="Lato"/>
          <w:color w:val="475467"/>
          <w:sz w:val="21"/>
          <w:szCs w:val="21"/>
        </w:rPr>
        <w:t xml:space="preserve">04 Sep 2026, 02:40 PM — Rejected by Reporting Manager Liam O'Connor: “Refresh cycle isn't due for another 8 months per asset lifecycle policy; resubmit closer to the replacement window.”</w:t>
      </w:r>
    </w:p>
    <w:p>
      <w:pPr>
        <w:spacing w:after="160" w:line="280"/>
      </w:pPr>
      <w:r>
        <w:rPr>
          <w:rFonts w:ascii="Lato" w:cs="Lato" w:eastAsia="Lato" w:hAnsi="Lato"/>
          <w:i/>
          <w:iCs/>
          <w:color w:val="475467"/>
          <w:sz w:val="18"/>
          <w:szCs w:val="18"/>
        </w:rPr>
        <w:t xml:space="preserve">This example demonstrates that rejection can end a request at the very first stage — it never needs to reach Finance to be closed.</w:t>
      </w:r>
    </w:p>
    <w:p>
      <w:r>
        <w:br w:type="page"/>
      </w:r>
    </w:p>
    <w:p>
      <w:pPr>
        <w:pStyle w:val="Heading1"/>
        <w:pBdr>
          <w:bottom w:val="single" w:color="1D4ED8" w:sz="8" w:space="4"/>
        </w:pBdr>
        <w:spacing w:after="160" w:before="360"/>
      </w:pPr>
      <w:r>
        <w:rPr>
          <w:rFonts w:ascii="Lato" w:cs="Lato" w:eastAsia="Lato" w:hAnsi="Lato"/>
          <w:b/>
          <w:bCs/>
          <w:color w:val="1A1F36"/>
          <w:sz w:val="30"/>
          <w:szCs w:val="30"/>
        </w:rPr>
        <w:t xml:space="preserve">5. Module 3 — Dashboard (Leadership View)</w:t>
      </w:r>
    </w:p>
    <w:p>
      <w:pPr>
        <w:spacing w:after="80" w:before="200"/>
      </w:pPr>
      <w:r>
        <w:rPr>
          <w:rFonts w:ascii="Lato" w:cs="Lato" w:eastAsia="Lato" w:hAnsi="Lato"/>
          <w:b/>
          <w:bCs/>
          <w:color w:val="1A1F36"/>
          <w:sz w:val="21"/>
          <w:szCs w:val="21"/>
        </w:rPr>
        <w:t xml:space="preserve">Summary Stat Cards</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5688"/>
        <w:gridCol w:w="4552"/>
      </w:tblGrid>
      <w:tr>
        <w:tc>
          <w:tcPr>
            <w:tcW w:type="dxa" w:w="5688"/>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Metric</w:t>
            </w:r>
          </w:p>
        </w:tc>
        <w:tc>
          <w:tcPr>
            <w:tcW w:type="dxa" w:w="4552"/>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Value</w:t>
            </w:r>
          </w:p>
        </w:tc>
      </w:tr>
      <w:tr>
        <w:tc>
          <w:tcPr>
            <w:tcW w:type="dxa" w:w="568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Total Requested (MTD)</w:t>
            </w:r>
          </w:p>
        </w:tc>
        <w:tc>
          <w:tcPr>
            <w:tcW w:type="dxa" w:w="455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$778,360 · 18 requests</w:t>
            </w:r>
          </w:p>
        </w:tc>
      </w:tr>
      <w:tr>
        <w:tc>
          <w:tcPr>
            <w:tcW w:type="dxa" w:w="568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Total Approved Value (Auto + Manual)</w:t>
            </w:r>
          </w:p>
        </w:tc>
        <w:tc>
          <w:tcPr>
            <w:tcW w:type="dxa" w:w="455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$113,860 · 9 requests</w:t>
            </w:r>
          </w:p>
        </w:tc>
      </w:tr>
      <w:tr>
        <w:tc>
          <w:tcPr>
            <w:tcW w:type="dxa" w:w="568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Pending Value</w:t>
            </w:r>
          </w:p>
        </w:tc>
        <w:tc>
          <w:tcPr>
            <w:tcW w:type="dxa" w:w="455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$519,500 · 6 requests</w:t>
            </w:r>
          </w:p>
        </w:tc>
      </w:tr>
      <w:tr>
        <w:tc>
          <w:tcPr>
            <w:tcW w:type="dxa" w:w="568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Rejected Value</w:t>
            </w:r>
          </w:p>
        </w:tc>
        <w:tc>
          <w:tcPr>
            <w:tcW w:type="dxa" w:w="455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$145,000 · 3 requests</w:t>
            </w:r>
          </w:p>
        </w:tc>
      </w:tr>
    </w:tbl>
    <w:p>
      <w:pPr>
        <w:spacing w:after="140"/>
      </w:pPr>
    </w:p>
    <w:p>
      <w:pPr>
        <w:spacing w:after="80" w:before="200"/>
      </w:pPr>
      <w:r>
        <w:rPr>
          <w:rFonts w:ascii="Lato" w:cs="Lato" w:eastAsia="Lato" w:hAnsi="Lato"/>
          <w:b/>
          <w:bCs/>
          <w:color w:val="1A1F36"/>
          <w:sz w:val="21"/>
          <w:szCs w:val="21"/>
        </w:rPr>
        <w:t xml:space="preserve">Approval Tier-Wise Breakdown</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5120"/>
        <w:gridCol w:w="2048"/>
        <w:gridCol w:w="3072"/>
      </w:tblGrid>
      <w:tr>
        <w:tc>
          <w:tcPr>
            <w:tcW w:type="dxa" w:w="5120"/>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Approval Tier</w:t>
            </w:r>
          </w:p>
        </w:tc>
        <w:tc>
          <w:tcPr>
            <w:tcW w:type="dxa" w:w="2048"/>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Count</w:t>
            </w:r>
          </w:p>
        </w:tc>
        <w:tc>
          <w:tcPr>
            <w:tcW w:type="dxa" w:w="3072"/>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Value</w:t>
            </w:r>
          </w:p>
        </w:tc>
      </w:tr>
      <w:tr>
        <w:tc>
          <w:tcPr>
            <w:tcW w:type="dxa" w:w="512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Auto-Approved</w:t>
            </w:r>
          </w:p>
        </w:tc>
        <w:tc>
          <w:tcPr>
            <w:tcW w:type="dxa" w:w="204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6</w:t>
            </w:r>
          </w:p>
        </w:tc>
        <w:tc>
          <w:tcPr>
            <w:tcW w:type="dxa" w:w="307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$3,360</w:t>
            </w:r>
          </w:p>
        </w:tc>
      </w:tr>
      <w:tr>
        <w:tc>
          <w:tcPr>
            <w:tcW w:type="dxa" w:w="5120"/>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 (RM + Finance)</w:t>
            </w:r>
          </w:p>
        </w:tc>
        <w:tc>
          <w:tcPr>
            <w:tcW w:type="dxa" w:w="204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6</w:t>
            </w:r>
          </w:p>
        </w:tc>
        <w:tc>
          <w:tcPr>
            <w:tcW w:type="dxa" w:w="3072"/>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$141,000</w:t>
            </w:r>
          </w:p>
        </w:tc>
      </w:tr>
      <w:tr>
        <w:tc>
          <w:tcPr>
            <w:tcW w:type="dxa" w:w="5120"/>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 (RM + Dept Head + Finance)</w:t>
            </w:r>
          </w:p>
        </w:tc>
        <w:tc>
          <w:tcPr>
            <w:tcW w:type="dxa" w:w="204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6</w:t>
            </w:r>
          </w:p>
        </w:tc>
        <w:tc>
          <w:tcPr>
            <w:tcW w:type="dxa" w:w="3072"/>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$634,000</w:t>
            </w:r>
          </w:p>
        </w:tc>
      </w:tr>
    </w:tbl>
    <w:p>
      <w:pPr>
        <w:spacing w:after="140"/>
      </w:pPr>
    </w:p>
    <w:p>
      <w:pPr>
        <w:spacing w:after="80" w:before="200"/>
      </w:pPr>
      <w:r>
        <w:rPr>
          <w:rFonts w:ascii="Lato" w:cs="Lato" w:eastAsia="Lato" w:hAnsi="Lato"/>
          <w:b/>
          <w:bCs/>
          <w:color w:val="1A1F36"/>
          <w:sz w:val="21"/>
          <w:szCs w:val="21"/>
        </w:rPr>
        <w:t xml:space="preserve">Department-Wise Spend</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4608"/>
        <w:gridCol w:w="2048"/>
        <w:gridCol w:w="3584"/>
      </w:tblGrid>
      <w:tr>
        <w:tc>
          <w:tcPr>
            <w:tcW w:type="dxa" w:w="4608"/>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Department</w:t>
            </w:r>
          </w:p>
        </w:tc>
        <w:tc>
          <w:tcPr>
            <w:tcW w:type="dxa" w:w="2048"/>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Requests</w:t>
            </w:r>
          </w:p>
        </w:tc>
        <w:tc>
          <w:tcPr>
            <w:tcW w:type="dxa" w:w="3584"/>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Value</w:t>
            </w:r>
          </w:p>
        </w:tc>
      </w:tr>
      <w:tr>
        <w:tc>
          <w:tcPr>
            <w:tcW w:type="dxa" w:w="460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IT &amp; Systems</w:t>
            </w:r>
          </w:p>
        </w:tc>
        <w:tc>
          <w:tcPr>
            <w:tcW w:type="dxa" w:w="204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w:t>
            </w:r>
          </w:p>
        </w:tc>
        <w:tc>
          <w:tcPr>
            <w:tcW w:type="dxa" w:w="358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$163,560</w:t>
            </w:r>
          </w:p>
        </w:tc>
      </w:tr>
      <w:tr>
        <w:tc>
          <w:tcPr>
            <w:tcW w:type="dxa" w:w="460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Quality Assurance</w:t>
            </w:r>
          </w:p>
        </w:tc>
        <w:tc>
          <w:tcPr>
            <w:tcW w:type="dxa" w:w="204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w:t>
            </w:r>
          </w:p>
        </w:tc>
        <w:tc>
          <w:tcPr>
            <w:tcW w:type="dxa" w:w="358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$152,280</w:t>
            </w:r>
          </w:p>
        </w:tc>
      </w:tr>
      <w:tr>
        <w:tc>
          <w:tcPr>
            <w:tcW w:type="dxa" w:w="460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Production</w:t>
            </w:r>
          </w:p>
        </w:tc>
        <w:tc>
          <w:tcPr>
            <w:tcW w:type="dxa" w:w="204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w:t>
            </w:r>
          </w:p>
        </w:tc>
        <w:tc>
          <w:tcPr>
            <w:tcW w:type="dxa" w:w="358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$147,350</w:t>
            </w:r>
          </w:p>
        </w:tc>
      </w:tr>
      <w:tr>
        <w:tc>
          <w:tcPr>
            <w:tcW w:type="dxa" w:w="460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Procurement &amp; Stores</w:t>
            </w:r>
          </w:p>
        </w:tc>
        <w:tc>
          <w:tcPr>
            <w:tcW w:type="dxa" w:w="204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w:t>
            </w:r>
          </w:p>
        </w:tc>
        <w:tc>
          <w:tcPr>
            <w:tcW w:type="dxa" w:w="358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$108,340</w:t>
            </w:r>
          </w:p>
        </w:tc>
      </w:tr>
      <w:tr>
        <w:tc>
          <w:tcPr>
            <w:tcW w:type="dxa" w:w="460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Maintenance &amp; Utilities</w:t>
            </w:r>
          </w:p>
        </w:tc>
        <w:tc>
          <w:tcPr>
            <w:tcW w:type="dxa" w:w="2048"/>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w:t>
            </w:r>
          </w:p>
        </w:tc>
        <w:tc>
          <w:tcPr>
            <w:tcW w:type="dxa" w:w="358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$126,620</w:t>
            </w:r>
          </w:p>
        </w:tc>
      </w:tr>
      <w:tr>
        <w:tc>
          <w:tcPr>
            <w:tcW w:type="dxa" w:w="460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HR &amp; Admin</w:t>
            </w:r>
          </w:p>
        </w:tc>
        <w:tc>
          <w:tcPr>
            <w:tcW w:type="dxa" w:w="2048"/>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w:t>
            </w:r>
          </w:p>
        </w:tc>
        <w:tc>
          <w:tcPr>
            <w:tcW w:type="dxa" w:w="358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$80,210</w:t>
            </w:r>
          </w:p>
        </w:tc>
      </w:tr>
    </w:tbl>
    <w:p>
      <w:pPr>
        <w:spacing w:after="140"/>
      </w:pPr>
    </w:p>
    <w:p>
      <w:pPr>
        <w:spacing w:after="80" w:before="200"/>
      </w:pPr>
      <w:r>
        <w:rPr>
          <w:rFonts w:ascii="Lato" w:cs="Lato" w:eastAsia="Lato" w:hAnsi="Lato"/>
          <w:b/>
          <w:bCs/>
          <w:color w:val="1A1F36"/>
          <w:sz w:val="21"/>
          <w:szCs w:val="21"/>
        </w:rPr>
        <w:t xml:space="preserve">Approval Funnel</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7395"/>
        <w:gridCol w:w="2845"/>
      </w:tblGrid>
      <w:tr>
        <w:tc>
          <w:tcPr>
            <w:tcW w:type="dxa" w:w="7395"/>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Stage</w:t>
            </w:r>
          </w:p>
        </w:tc>
        <w:tc>
          <w:tcPr>
            <w:tcW w:type="dxa" w:w="2845"/>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Count</w:t>
            </w:r>
          </w:p>
        </w:tc>
      </w:tr>
      <w:tr>
        <w:tc>
          <w:tcPr>
            <w:tcW w:type="dxa" w:w="739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Submitted</w:t>
            </w:r>
          </w:p>
        </w:tc>
        <w:tc>
          <w:tcPr>
            <w:tcW w:type="dxa" w:w="28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18</w:t>
            </w:r>
          </w:p>
        </w:tc>
      </w:tr>
      <w:tr>
        <w:tc>
          <w:tcPr>
            <w:tcW w:type="dxa" w:w="739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Auto-Cleared</w:t>
            </w:r>
          </w:p>
        </w:tc>
        <w:tc>
          <w:tcPr>
            <w:tcW w:type="dxa" w:w="28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6</w:t>
            </w:r>
          </w:p>
        </w:tc>
      </w:tr>
      <w:tr>
        <w:tc>
          <w:tcPr>
            <w:tcW w:type="dxa" w:w="739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Sent to Approval Chain</w:t>
            </w:r>
          </w:p>
        </w:tc>
        <w:tc>
          <w:tcPr>
            <w:tcW w:type="dxa" w:w="28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12</w:t>
            </w:r>
          </w:p>
        </w:tc>
      </w:tr>
      <w:tr>
        <w:tc>
          <w:tcPr>
            <w:tcW w:type="dxa" w:w="739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Pending — RM</w:t>
            </w:r>
          </w:p>
        </w:tc>
        <w:tc>
          <w:tcPr>
            <w:tcW w:type="dxa" w:w="28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w:t>
            </w:r>
          </w:p>
        </w:tc>
      </w:tr>
      <w:tr>
        <w:tc>
          <w:tcPr>
            <w:tcW w:type="dxa" w:w="739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Pending — Department Head</w:t>
            </w:r>
          </w:p>
        </w:tc>
        <w:tc>
          <w:tcPr>
            <w:tcW w:type="dxa" w:w="28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w:t>
            </w:r>
          </w:p>
        </w:tc>
      </w:tr>
      <w:tr>
        <w:tc>
          <w:tcPr>
            <w:tcW w:type="dxa" w:w="739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Pending — Finance</w:t>
            </w:r>
          </w:p>
        </w:tc>
        <w:tc>
          <w:tcPr>
            <w:tcW w:type="dxa" w:w="28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w:t>
            </w:r>
          </w:p>
        </w:tc>
      </w:tr>
      <w:tr>
        <w:tc>
          <w:tcPr>
            <w:tcW w:type="dxa" w:w="739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Approved</w:t>
            </w:r>
          </w:p>
        </w:tc>
        <w:tc>
          <w:tcPr>
            <w:tcW w:type="dxa" w:w="28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w:t>
            </w:r>
          </w:p>
        </w:tc>
      </w:tr>
      <w:tr>
        <w:tc>
          <w:tcPr>
            <w:tcW w:type="dxa" w:w="739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Rejected</w:t>
            </w:r>
          </w:p>
        </w:tc>
        <w:tc>
          <w:tcPr>
            <w:tcW w:type="dxa" w:w="28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w:t>
            </w:r>
          </w:p>
        </w:tc>
      </w:tr>
    </w:tbl>
    <w:p>
      <w:pPr>
        <w:spacing w:after="140"/>
      </w:pPr>
    </w:p>
    <w:p>
      <w:pPr>
        <w:spacing w:after="80" w:before="200"/>
      </w:pPr>
      <w:r>
        <w:rPr>
          <w:rFonts w:ascii="Lato" w:cs="Lato" w:eastAsia="Lato" w:hAnsi="Lato"/>
          <w:b/>
          <w:bCs/>
          <w:color w:val="1A1F36"/>
          <w:sz w:val="21"/>
          <w:szCs w:val="21"/>
        </w:rPr>
        <w:t xml:space="preserve">Escalation List — Overdue Beyond SLA (as of 15 Sep 2026)</w:t>
      </w:r>
    </w:p>
    <w:p>
      <w:pPr>
        <w:spacing w:after="160" w:line="280"/>
      </w:pPr>
      <w:r>
        <w:rPr>
          <w:rFonts w:ascii="Lato" w:cs="Lato" w:eastAsia="Lato" w:hAnsi="Lato"/>
          <w:i/>
          <w:iCs/>
          <w:color w:val="475467"/>
          <w:sz w:val="18"/>
          <w:szCs w:val="18"/>
        </w:rPr>
        <w:t xml:space="preserve">Only two requests are actually overdue right now; the other four pending requests still have SLA runway into November and December. This list intentionally stays short rather than mirroring the full pending queue.</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2275"/>
        <w:gridCol w:w="3185"/>
        <w:gridCol w:w="2844"/>
        <w:gridCol w:w="1936"/>
      </w:tblGrid>
      <w:tr>
        <w:tc>
          <w:tcPr>
            <w:tcW w:type="dxa" w:w="2275"/>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Request ID</w:t>
            </w:r>
          </w:p>
        </w:tc>
        <w:tc>
          <w:tcPr>
            <w:tcW w:type="dxa" w:w="3185"/>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Department</w:t>
            </w:r>
          </w:p>
        </w:tc>
        <w:tc>
          <w:tcPr>
            <w:tcW w:type="dxa" w:w="2844"/>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Stage</w:t>
            </w:r>
          </w:p>
        </w:tc>
        <w:tc>
          <w:tcPr>
            <w:tcW w:type="dxa" w:w="1936"/>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Days Overdue</w:t>
            </w:r>
          </w:p>
        </w:tc>
      </w:tr>
      <w:tr>
        <w:tc>
          <w:tcPr>
            <w:tcW w:type="dxa" w:w="227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BRQ-2026-0309</w:t>
            </w:r>
          </w:p>
        </w:tc>
        <w:tc>
          <w:tcPr>
            <w:tcW w:type="dxa" w:w="318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Quality Assurance</w:t>
            </w:r>
          </w:p>
        </w:tc>
        <w:tc>
          <w:tcPr>
            <w:tcW w:type="dxa" w:w="2844"/>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Pending RM</w:t>
            </w:r>
          </w:p>
        </w:tc>
        <w:tc>
          <w:tcPr>
            <w:tcW w:type="dxa" w:w="1936"/>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10 days</w:t>
            </w:r>
          </w:p>
        </w:tc>
      </w:tr>
      <w:tr>
        <w:tc>
          <w:tcPr>
            <w:tcW w:type="dxa" w:w="227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BRQ-2026-0306</w:t>
            </w:r>
          </w:p>
        </w:tc>
        <w:tc>
          <w:tcPr>
            <w:tcW w:type="dxa" w:w="318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Maintenance &amp; Utilities</w:t>
            </w:r>
          </w:p>
        </w:tc>
        <w:tc>
          <w:tcPr>
            <w:tcW w:type="dxa" w:w="2844"/>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Pending Dept Head</w:t>
            </w:r>
          </w:p>
        </w:tc>
        <w:tc>
          <w:tcPr>
            <w:tcW w:type="dxa" w:w="1936"/>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5 days</w:t>
            </w:r>
          </w:p>
        </w:tc>
      </w:tr>
    </w:tbl>
    <w:p>
      <w:pPr>
        <w:spacing w:after="140"/>
      </w:pPr>
    </w:p>
    <w:p>
      <w:pPr>
        <w:spacing w:after="80" w:before="200"/>
      </w:pPr>
      <w:r>
        <w:rPr>
          <w:rFonts w:ascii="Lato" w:cs="Lato" w:eastAsia="Lato" w:hAnsi="Lato"/>
          <w:b/>
          <w:bCs/>
          <w:color w:val="1A1F36"/>
          <w:sz w:val="21"/>
          <w:szCs w:val="21"/>
        </w:rPr>
        <w:t xml:space="preserve">Average Turnaround by Approval Tier</w:t>
      </w:r>
    </w:p>
    <w:tbl>
      <w:tblPr>
        <w:tblW w:type="dxa" w:w="10240"/>
        <w:tblBorders>
          <w:top w:val="single" w:color="D0D5DD" w:sz="4"/>
          <w:left w:val="single" w:color="D0D5DD" w:sz="4"/>
          <w:bottom w:val="single" w:color="D0D5DD" w:sz="4"/>
          <w:right w:val="single" w:color="D0D5DD" w:sz="4"/>
          <w:insideH w:val="single" w:color="D0D5DD" w:sz="4"/>
          <w:insideV w:val="single" w:color="D0D5DD" w:sz="4"/>
        </w:tblBorders>
      </w:tblPr>
      <w:tblGrid>
        <w:gridCol w:w="7395"/>
        <w:gridCol w:w="2845"/>
      </w:tblGrid>
      <w:tr>
        <w:tc>
          <w:tcPr>
            <w:tcW w:type="dxa" w:w="7395"/>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Approval Tier</w:t>
            </w:r>
          </w:p>
        </w:tc>
        <w:tc>
          <w:tcPr>
            <w:tcW w:type="dxa" w:w="2845"/>
            <w:shd w:fill="1A1F36" w:val="clear"/>
            <w:tcMar>
              <w:top w:type="dxa" w:w="90"/>
              <w:left w:type="dxa" w:w="110"/>
              <w:bottom w:type="dxa" w:w="90"/>
              <w:right w:type="dxa" w:w="110"/>
            </w:tcMar>
            <w:vAlign w:val="center"/>
          </w:tcPr>
          <w:p>
            <w:r>
              <w:rPr>
                <w:rFonts w:ascii="Lato" w:cs="Lato" w:eastAsia="Lato" w:hAnsi="Lato"/>
                <w:b/>
                <w:bCs/>
                <w:color w:val="FFFFFF"/>
                <w:sz w:val="18"/>
                <w:szCs w:val="18"/>
              </w:rPr>
              <w:t xml:space="preserve">Average Turnaround</w:t>
            </w:r>
          </w:p>
        </w:tc>
      </w:tr>
      <w:tr>
        <w:tc>
          <w:tcPr>
            <w:tcW w:type="dxa" w:w="739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2-Person (RM + Finance)</w:t>
            </w:r>
          </w:p>
        </w:tc>
        <w:tc>
          <w:tcPr>
            <w:tcW w:type="dxa" w:w="2845"/>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2.4 days</w:t>
            </w:r>
          </w:p>
        </w:tc>
      </w:tr>
      <w:tr>
        <w:tc>
          <w:tcPr>
            <w:tcW w:type="dxa" w:w="739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3-Person (RM + Dept Head + Finance)</w:t>
            </w:r>
          </w:p>
        </w:tc>
        <w:tc>
          <w:tcPr>
            <w:tcW w:type="dxa" w:w="2845"/>
            <w:shd w:fill="F2F4F7" w:val="clear"/>
            <w:tcMar>
              <w:top w:type="dxa" w:w="90"/>
              <w:left w:type="dxa" w:w="110"/>
              <w:bottom w:type="dxa" w:w="90"/>
              <w:right w:type="dxa" w:w="110"/>
            </w:tcMar>
            <w:vAlign w:val="center"/>
          </w:tcPr>
          <w:p>
            <w:r>
              <w:rPr>
                <w:rFonts w:ascii="Lato" w:cs="Lato" w:eastAsia="Lato" w:hAnsi="Lato"/>
                <w:b w:val="false"/>
                <w:bCs w:val="false"/>
                <w:color w:val="475467"/>
                <w:sz w:val="18"/>
                <w:szCs w:val="18"/>
              </w:rPr>
              <w:t xml:space="preserve">5.1 days</w:t>
            </w:r>
          </w:p>
        </w:tc>
      </w:tr>
    </w:tbl>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47546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2026-09-02T10:30:21.823Z</dcterms:created>
  <dcterms:modified xsi:type="dcterms:W3CDTF">2026-09-02T10:30:21.840Z</dcterms:modified>
</cp:coreProperties>
</file>

<file path=docProps/custom.xml><?xml version="1.0" encoding="utf-8"?>
<Properties xmlns="http://schemas.openxmlformats.org/officeDocument/2006/custom-properties" xmlns:vt="http://schemas.openxmlformats.org/officeDocument/2006/docPropsVTypes"/>
</file>