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8"/>
        <w:ind w:left="0" w:right="0"/>
      </w:pPr>
    </w:p>
    <w:p>
      <w:pPr>
        <w:autoSpaceDN w:val="0"/>
        <w:autoSpaceDE w:val="0"/>
        <w:widowControl/>
        <w:spacing w:line="6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16.0" w:type="dxa"/>
      </w:tblPr>
      <w:tblGrid>
        <w:gridCol w:w="16838"/>
      </w:tblGrid>
      <w:tr>
        <w:trPr>
          <w:trHeight w:hRule="exact" w:val="1858"/>
        </w:trPr>
        <w:tc>
          <w:tcPr>
            <w:tcW w:type="dxa" w:w="156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1100" w:after="0"/>
              <w:ind w:left="3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FFFFFF"/>
                <w:sz w:val="49"/>
              </w:rPr>
              <w:t>DANS LE KIT DE L’INGÉNIEUR VERTUEUX</w:t>
            </w:r>
          </w:p>
        </w:tc>
      </w:tr>
    </w:tbl>
    <w:p>
      <w:pPr>
        <w:autoSpaceDN w:val="0"/>
        <w:autoSpaceDE w:val="0"/>
        <w:widowControl/>
        <w:spacing w:line="240" w:lineRule="auto" w:before="396" w:after="0"/>
        <w:ind w:left="3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26310" cy="1563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563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10.0" w:type="dxa"/>
      </w:tblPr>
      <w:tblGrid>
        <w:gridCol w:w="8419"/>
        <w:gridCol w:w="8419"/>
      </w:tblGrid>
      <w:tr>
        <w:trPr>
          <w:trHeight w:hRule="exact" w:val="5890"/>
        </w:trPr>
        <w:tc>
          <w:tcPr>
            <w:tcW w:type="dxa" w:w="4810"/>
            <w:tcBorders>
              <w:start w:sz="24.959999084472656" w:val="single" w:color="#959EA7"/>
              <w:top w:sz="24.959999084472656" w:val="single" w:color="#959EA7"/>
              <w:end w:sz="24.959999084472656" w:val="single" w:color="#959EA7"/>
              <w:bottom w:sz="24.959999084472656" w:val="single" w:color="#959EA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64" w:after="0"/>
              <w:ind w:left="94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1A3160"/>
                <w:sz w:val="35"/>
              </w:rPr>
              <w:t>Smartphones et terres rares</w:t>
            </w:r>
          </w:p>
          <w:p>
            <w:pPr>
              <w:autoSpaceDN w:val="0"/>
              <w:autoSpaceDE w:val="0"/>
              <w:widowControl/>
              <w:spacing w:line="252" w:lineRule="exact" w:before="380" w:after="0"/>
              <w:ind w:left="94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Comment concilier le développement croissant </w:t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de l’utilisation des smartphones sur la planète et </w:t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la gestion des mines de terres rares, tant au </w:t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niveau des ressources disponibles que de la </w:t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captation de richesses au détriment de la </w:t>
            </w:r>
            <w:r>
              <w:br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>population africaine ?</w:t>
            </w:r>
          </w:p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52" w:lineRule="exact" w:before="294" w:after="0"/>
              <w:ind w:left="94" w:right="144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A. </w:t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En travaillant sur des innovations </w:t>
            </w:r>
            <w:r>
              <w:br/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technologiques possibles pour les </w:t>
            </w:r>
            <w:r>
              <w:br/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smartphones, moins coûteuses en terres </w:t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rares et sur une plus grande sobriété de </w:t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nos consommations (fin de l’obsolescence </w:t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>programmée)</w:t>
            </w:r>
          </w:p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52" w:lineRule="exact" w:before="256" w:after="0"/>
              <w:ind w:left="94" w:right="288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B. </w:t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En créant des filières de production </w:t>
            </w:r>
            <w:r>
              <w:br/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vertueuses, basées en Afrique, avec une </w:t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plus juste redistribution auprès de la </w:t>
            </w:r>
            <w:r>
              <w:br/>
            </w:r>
            <w:r>
              <w:tab/>
            </w: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>population</w:t>
            </w:r>
          </w:p>
        </w:tc>
        <w:tc>
          <w:tcPr>
            <w:tcW w:type="dxa" w:w="4812"/>
            <w:tcBorders>
              <w:start w:sz="24.959999084472656" w:val="single" w:color="#959EA7"/>
              <w:top w:sz="24.959999084472656" w:val="single" w:color="#959EA7"/>
              <w:end w:sz="24.959999084472656" w:val="single" w:color="#959EA7"/>
              <w:bottom w:sz="24.959999084472656" w:val="single" w:color="#959EA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16" w:lineRule="exact" w:before="172" w:after="0"/>
              <w:ind w:left="94" w:right="144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>Réponse A :</w:t>
            </w:r>
            <w:r>
              <w:br/>
            </w:r>
            <w:r>
              <w:rPr>
                <w:w w:val="101.53858478252704"/>
                <w:rFonts w:ascii="CIDFont+F3" w:hAnsi="CIDFont+F3" w:eastAsia="CIDFont+F3"/>
                <w:b w:val="0"/>
                <w:i w:val="0"/>
                <w:color w:val="21492F"/>
                <w:sz w:val="26"/>
              </w:rPr>
              <w:t></w:t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 xml:space="preserve"> ………………………………...………</w:t>
            </w:r>
            <w:r>
              <w:tab/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>…………………………………...</w:t>
            </w:r>
          </w:p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16" w:lineRule="exact" w:before="0" w:after="0"/>
              <w:ind w:left="94" w:right="144" w:firstLine="0"/>
              <w:jc w:val="left"/>
            </w:pPr>
            <w:r>
              <w:rPr>
                <w:w w:val="101.53858478252704"/>
                <w:rFonts w:ascii="CIDFont+F3" w:hAnsi="CIDFont+F3" w:eastAsia="CIDFont+F3"/>
                <w:b w:val="0"/>
                <w:i w:val="0"/>
                <w:color w:val="21492F"/>
                <w:sz w:val="26"/>
              </w:rPr>
              <w:t></w:t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 xml:space="preserve"> …………………………………………</w:t>
            </w:r>
            <w:r>
              <w:tab/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>……………………………………</w:t>
            </w:r>
            <w:r>
              <w:br/>
            </w:r>
            <w:r>
              <w:rPr>
                <w:w w:val="101.53858478252704"/>
                <w:rFonts w:ascii="CIDFont+F3" w:hAnsi="CIDFont+F3" w:eastAsia="CIDFont+F3"/>
                <w:b w:val="0"/>
                <w:i w:val="0"/>
                <w:color w:val="21492F"/>
                <w:sz w:val="26"/>
              </w:rPr>
              <w:t></w:t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 xml:space="preserve"> …………………………………………</w:t>
            </w:r>
            <w:r>
              <w:tab/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>……………………………………</w:t>
            </w:r>
          </w:p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16" w:lineRule="exact" w:before="190" w:after="0"/>
              <w:ind w:left="94" w:right="144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>Réponse B :</w:t>
            </w:r>
            <w:r>
              <w:br/>
            </w:r>
            <w:r>
              <w:rPr>
                <w:w w:val="101.53858478252704"/>
                <w:rFonts w:ascii="CIDFont+F3" w:hAnsi="CIDFont+F3" w:eastAsia="CIDFont+F3"/>
                <w:b w:val="0"/>
                <w:i w:val="0"/>
                <w:color w:val="21492F"/>
                <w:sz w:val="26"/>
              </w:rPr>
              <w:t></w:t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 xml:space="preserve"> ………………………………...………</w:t>
            </w:r>
            <w:r>
              <w:tab/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>…………………………………...</w:t>
            </w:r>
          </w:p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16" w:lineRule="exact" w:before="0" w:after="0"/>
              <w:ind w:left="94" w:right="144" w:firstLine="0"/>
              <w:jc w:val="left"/>
            </w:pPr>
            <w:r>
              <w:rPr>
                <w:w w:val="101.53858478252704"/>
                <w:rFonts w:ascii="CIDFont+F3" w:hAnsi="CIDFont+F3" w:eastAsia="CIDFont+F3"/>
                <w:b w:val="0"/>
                <w:i w:val="0"/>
                <w:color w:val="21492F"/>
                <w:sz w:val="26"/>
              </w:rPr>
              <w:t></w:t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 xml:space="preserve"> …………………………………………</w:t>
            </w:r>
            <w:r>
              <w:tab/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>……………………………………</w:t>
            </w:r>
            <w:r>
              <w:br/>
            </w:r>
            <w:r>
              <w:rPr>
                <w:w w:val="101.53858478252704"/>
                <w:rFonts w:ascii="CIDFont+F3" w:hAnsi="CIDFont+F3" w:eastAsia="CIDFont+F3"/>
                <w:b w:val="0"/>
                <w:i w:val="0"/>
                <w:color w:val="21492F"/>
                <w:sz w:val="26"/>
              </w:rPr>
              <w:t></w:t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 xml:space="preserve"> …………………………………………</w:t>
            </w:r>
            <w:r>
              <w:tab/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>……………………………………</w:t>
            </w:r>
          </w:p>
          <w:p>
            <w:pPr>
              <w:autoSpaceDN w:val="0"/>
              <w:autoSpaceDE w:val="0"/>
              <w:widowControl/>
              <w:spacing w:line="316" w:lineRule="exact" w:before="188" w:after="0"/>
              <w:ind w:left="94" w:right="2016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1A3160"/>
                <w:sz w:val="21"/>
              </w:rPr>
              <w:t xml:space="preserve">Délibération : </w:t>
            </w:r>
            <w:r>
              <w:br/>
            </w:r>
            <w:r>
              <w:rPr>
                <w:w w:val="101.53858478252704"/>
                <w:rFonts w:ascii="CIDFont+F5" w:hAnsi="CIDFont+F5" w:eastAsia="CIDFont+F5"/>
                <w:b w:val="0"/>
                <w:i w:val="0"/>
                <w:color w:val="1A3160"/>
                <w:sz w:val="26"/>
              </w:rPr>
              <w:t>A : ……% - B : ……%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608" w:right="0" w:bottom="610" w:left="0" w:header="720" w:footer="720" w:gutter="0"/>
      <w:cols w:space="720" w:num="1" w:equalWidth="0">
        <w:col w:w="168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