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left"/>
      </w:pPr>
      <w:r>
        <w:rPr>
          <w:rFonts w:ascii="宋体" w:hAnsi="宋体" w:eastAsia="宋体"/>
          <w:b/>
          <w:i w:val="0"/>
          <w:color w:val="000000"/>
          <w:sz w:val="32"/>
        </w:rPr>
        <w:t>TASK5：机器学习算法与场景应用</w:t>
      </w:r>
    </w:p>
    <w:p>
      <w:pPr>
        <w:spacing w:line="360" w:lineRule="auto" w:before="120" w:after="120"/>
        <w:jc w:val="left"/>
      </w:pPr>
      <w:r>
        <w:rPr>
          <w:rFonts w:ascii="宋体" w:hAnsi="宋体" w:eastAsia="宋体"/>
          <w:b/>
          <w:i w:val="0"/>
          <w:color w:val="000000"/>
          <w:sz w:val="28"/>
        </w:rPr>
        <w:t>1. 分类机器学习算法概述</w:t>
      </w:r>
    </w:p>
    <w:p>
      <w:pPr>
        <w:spacing w:line="360" w:lineRule="auto" w:before="0" w:after="0"/>
        <w:ind w:firstLine="420"/>
        <w:jc w:val="both"/>
      </w:pPr>
      <w:r>
        <w:rPr>
          <w:rFonts w:ascii="宋体" w:hAnsi="宋体" w:eastAsia="宋体"/>
          <w:b w:val="0"/>
          <w:i w:val="0"/>
          <w:color w:val="000000"/>
          <w:sz w:val="21"/>
        </w:rPr>
        <w:t>分类（Classification）是机器学习中最基础、应用最广泛的任务类型之一。其核心目标是从带有标签的历史数据中学习一个映射函数，将输入特征空间中的样本映射到有限的离散类别集合中。在量化交易与金融风控领域，分类算法被广泛用于信用违约预测、欺诈检测、客户流失预警等二分类或多分类场景。本节将深入剖析三种经典分类模型——逻辑回归、决策树与随机森林——的数学原理、核心优势与适用边界。</w:t>
      </w:r>
    </w:p>
    <w:p>
      <w:pPr>
        <w:spacing w:line="360" w:lineRule="auto" w:before="120" w:after="120"/>
        <w:jc w:val="left"/>
      </w:pPr>
      <w:r>
        <w:rPr>
          <w:rFonts w:ascii="宋体" w:hAnsi="宋体" w:eastAsia="宋体"/>
          <w:b/>
          <w:i w:val="0"/>
          <w:color w:val="000000"/>
          <w:sz w:val="24"/>
        </w:rPr>
        <w:t>1.1 逻辑回归（Logistic Regression）</w:t>
      </w:r>
    </w:p>
    <w:p>
      <w:pPr>
        <w:spacing w:line="360" w:lineRule="auto" w:before="0" w:after="0"/>
        <w:ind w:firstLine="420"/>
        <w:jc w:val="both"/>
      </w:pPr>
      <w:r>
        <w:rPr>
          <w:rFonts w:ascii="宋体" w:hAnsi="宋体" w:eastAsia="宋体"/>
          <w:b w:val="0"/>
          <w:i w:val="0"/>
          <w:color w:val="000000"/>
          <w:sz w:val="21"/>
        </w:rPr>
        <w:t xml:space="preserve">逻辑回归是线性分类器的典范，尽管名称中包含"回归"二字，但其本质上是一种用于处理二分类问题的判别式概率模型。逻辑回归的核心思想在于：将线性模型的输出通过 Sigmoid 激活函数映射到 </w:t>
      </w:r>
      <m:oMath>
        <m:r>
          <m:t xml:space="preserve">(</m:t>
        </m:r>
        <m:r>
          <m:t xml:space="preserve">0</m:t>
        </m:r>
        <m:r>
          <m:t xml:space="preserve">,</m:t>
        </m:r>
        <m:r>
          <m:t xml:space="preserve">1</m:t>
        </m:r>
        <m:r>
          <m:t xml:space="preserve">)</m:t>
        </m:r>
      </m:oMath>
      <w:r>
        <w:rPr>
          <w:rFonts w:ascii="宋体" w:hAnsi="宋体" w:eastAsia="宋体"/>
          <w:b w:val="0"/>
          <w:i w:val="0"/>
          <w:color w:val="000000"/>
          <w:sz w:val="21"/>
        </w:rPr>
        <w:t xml:space="preserve"> 区间，从而获得样本属于正类的概率估计。</w:t>
      </w:r>
    </w:p>
    <w:p>
      <w:pPr>
        <w:spacing w:line="360" w:lineRule="auto" w:before="0" w:after="0"/>
        <w:ind w:firstLine="420"/>
        <w:jc w:val="both"/>
      </w:pPr>
      <w:r>
        <w:rPr>
          <w:rFonts w:ascii="宋体" w:hAnsi="宋体" w:eastAsia="宋体"/>
          <w:b w:val="0"/>
          <w:i w:val="0"/>
          <w:color w:val="000000"/>
          <w:sz w:val="21"/>
        </w:rPr>
        <w:t xml:space="preserve">给定输入向量 </w:t>
      </w:r>
      <m:oMath>
        <m:r>
          <m:t xml:space="preserve">𝐱</m:t>
        </m:r>
        <m:r>
          <m:t xml:space="preserve">∈</m:t>
        </m:r>
        <m:sSup>
          <m:e>
            <m:r>
              <m:t xml:space="preserve">ℝ</m:t>
            </m:r>
          </m:e>
          <m:sup>
            <m:r>
              <m:t xml:space="preserve">d</m:t>
            </m:r>
          </m:sup>
        </m:sSup>
      </m:oMath>
      <w:r>
        <w:rPr>
          <w:rFonts w:ascii="宋体" w:hAnsi="宋体" w:eastAsia="宋体"/>
          <w:b w:val="0"/>
          <w:i w:val="0"/>
          <w:color w:val="000000"/>
          <w:sz w:val="21"/>
        </w:rPr>
        <w:t xml:space="preserve"> 和参数向量 </w:t>
      </w:r>
      <m:oMath>
        <m:r>
          <m:rPr>
            <m:b/>
            <m:i/>
          </m:rPr>
          <m:t xml:space="preserve">β</m:t>
        </m:r>
        <m:r>
          <m:t xml:space="preserve">=</m:t>
        </m:r>
        <m:r>
          <m:t xml:space="preserve">(</m:t>
        </m:r>
        <m:sSub>
          <m:e>
            <m:r>
              <m:t xml:space="preserve">β</m:t>
            </m:r>
          </m:e>
          <m:sub>
            <m:r>
              <m:t xml:space="preserve">0</m:t>
            </m:r>
          </m:sub>
        </m:sSub>
        <m:r>
          <m:t xml:space="preserve">,</m:t>
        </m:r>
        <m:sSub>
          <m:e>
            <m:r>
              <m:t xml:space="preserve">β</m:t>
            </m:r>
          </m:e>
          <m:sub>
            <m:r>
              <m:t xml:space="preserve">1</m:t>
            </m:r>
          </m:sub>
        </m:sSub>
        <m:r>
          <m:t xml:space="preserve">,</m:t>
        </m:r>
        <m:r>
          <m:t xml:space="preserve">…</m:t>
        </m:r>
        <m:r>
          <m:t xml:space="preserve">,</m:t>
        </m:r>
        <m:sSub>
          <m:e>
            <m:r>
              <m:t xml:space="preserve">β</m:t>
            </m:r>
          </m:e>
          <m:sub>
            <m:r>
              <m:t xml:space="preserve">d</m:t>
            </m:r>
          </m:sub>
        </m:sSub>
        <m:sSup>
          <m:e>
            <m:r>
              <m:t xml:space="preserve">)</m:t>
            </m:r>
          </m:e>
          <m:sup>
            <m:r>
              <m:t xml:space="preserve">⊤</m:t>
            </m:r>
          </m:sup>
        </m:sSup>
      </m:oMath>
      <w:r>
        <w:rPr>
          <w:rFonts w:ascii="宋体" w:hAnsi="宋体" w:eastAsia="宋体"/>
          <w:b w:val="0"/>
          <w:i w:val="0"/>
          <w:color w:val="000000"/>
          <w:sz w:val="21"/>
        </w:rPr>
        <w:t>，线性部分定义为：</w:t>
      </w:r>
    </w:p>
    <w:p>
      <w:pPr>
        <w:spacing w:line="360" w:lineRule="auto" w:before="200" w:after="200"/>
        <w:jc w:val="center"/>
      </w:pPr>
      <m:oMathPara>
        <m:oMath>
          <m:r>
            <m:t xml:space="preserve">z</m:t>
          </m:r>
          <m:r>
            <m:t xml:space="preserve">=</m:t>
          </m:r>
          <m:sSub>
            <m:e>
              <m:r>
                <m:t xml:space="preserve">β</m:t>
              </m:r>
            </m:e>
            <m:sub>
              <m:r>
                <m:t xml:space="preserve">0</m:t>
              </m:r>
            </m:sub>
          </m:sSub>
          <m:r>
            <m:t xml:space="preserve">+</m:t>
          </m:r>
          <m:nary>
            <m:naryPr>
              <m:chr m:val="∑"/>
              <m:limLoc m:val="undOvr"/>
            </m:naryPr>
            <m:sub>
              <m:r>
                <m:t xml:space="preserve">j</m:t>
              </m:r>
              <m:r>
                <m:t xml:space="preserve">=</m:t>
              </m:r>
              <m:r>
                <m:t xml:space="preserve">1</m:t>
              </m:r>
            </m:sub>
            <m:sup>
              <m:r>
                <m:t xml:space="preserve">d</m:t>
              </m:r>
            </m:sup>
            <m:e>
              <m:r>
                <m:t/>
              </m:r>
            </m:e>
          </m:nary>
          <m:sSub>
            <m:e>
              <m:r>
                <m:t xml:space="preserve">β</m:t>
              </m:r>
            </m:e>
            <m:sub>
              <m:r>
                <m:t xml:space="preserve">j</m:t>
              </m:r>
            </m:sub>
          </m:sSub>
          <m:sSub>
            <m:e>
              <m:r>
                <m:t xml:space="preserve">x</m:t>
              </m:r>
            </m:e>
            <m:sub>
              <m:r>
                <m:t xml:space="preserve">j</m:t>
              </m:r>
            </m:sub>
          </m:sSub>
          <m:r>
            <m:t xml:space="preserve">=</m:t>
          </m:r>
          <m:sSup>
            <m:e>
              <m:r>
                <m:rPr>
                  <m:b/>
                  <m:i/>
                </m:rPr>
                <m:t xml:space="preserve">β</m:t>
              </m:r>
            </m:e>
            <m:sup>
              <m:r>
                <m:t xml:space="preserve">⊤</m:t>
              </m:r>
            </m:sup>
          </m:sSup>
          <m:acc>
            <m:accPr>
              <m:chr m:val="̃"/>
            </m:accPr>
            <m:e>
              <m:r>
                <m:t xml:space="preserve">𝐱</m:t>
              </m:r>
            </m:e>
          </m:acc>
        </m:oMath>
      </m:oMathPara>
    </w:p>
    <w:p>
      <w:pPr>
        <w:spacing w:line="360" w:lineRule="auto" w:before="0" w:after="0"/>
        <w:ind w:firstLine="420"/>
        <w:jc w:val="both"/>
      </w:pPr>
      <w:r>
        <w:rPr>
          <w:rFonts w:ascii="宋体" w:hAnsi="宋体" w:eastAsia="宋体"/>
          <w:b w:val="0"/>
          <w:i w:val="0"/>
          <w:color w:val="000000"/>
          <w:sz w:val="21"/>
        </w:rPr>
        <w:t xml:space="preserve">其中 </w:t>
      </w:r>
      <m:oMath>
        <m:acc>
          <m:accPr>
            <m:chr m:val="̃"/>
          </m:accPr>
          <m:e>
            <m:r>
              <m:t xml:space="preserve">𝐱</m:t>
            </m:r>
          </m:e>
        </m:acc>
        <m:r>
          <m:t xml:space="preserve">=</m:t>
        </m:r>
        <m:r>
          <m:t xml:space="preserve">(</m:t>
        </m:r>
        <m:r>
          <m:t xml:space="preserve">1</m:t>
        </m:r>
        <m:r>
          <m:t xml:space="preserve">,</m:t>
        </m:r>
        <m:sSub>
          <m:e>
            <m:r>
              <m:t xml:space="preserve">x</m:t>
            </m:r>
          </m:e>
          <m:sub>
            <m:r>
              <m:t xml:space="preserve">1</m:t>
            </m:r>
          </m:sub>
        </m:sSub>
        <m:r>
          <m:t xml:space="preserve">,</m:t>
        </m:r>
        <m:sSub>
          <m:e>
            <m:r>
              <m:t xml:space="preserve">x</m:t>
            </m:r>
          </m:e>
          <m:sub>
            <m:r>
              <m:t xml:space="preserve">2</m:t>
            </m:r>
          </m:sub>
        </m:sSub>
        <m:r>
          <m:t xml:space="preserve">,</m:t>
        </m:r>
        <m:r>
          <m:t xml:space="preserve">…</m:t>
        </m:r>
        <m:r>
          <m:t xml:space="preserve">,</m:t>
        </m:r>
        <m:sSub>
          <m:e>
            <m:r>
              <m:t xml:space="preserve">x</m:t>
            </m:r>
          </m:e>
          <m:sub>
            <m:r>
              <m:t xml:space="preserve">d</m:t>
            </m:r>
          </m:sub>
        </m:sSub>
        <m:sSup>
          <m:e>
            <m:r>
              <m:t xml:space="preserve">)</m:t>
            </m:r>
          </m:e>
          <m:sup>
            <m:r>
              <m:t xml:space="preserve">⊤</m:t>
            </m:r>
          </m:sup>
        </m:sSup>
      </m:oMath>
      <w:r>
        <w:rPr>
          <w:rFonts w:ascii="宋体" w:hAnsi="宋体" w:eastAsia="宋体"/>
          <w:b w:val="0"/>
          <w:i w:val="0"/>
          <w:color w:val="000000"/>
          <w:sz w:val="21"/>
        </w:rPr>
        <w:t xml:space="preserve"> 是增广特征向量。Sigmoid 函数 </w:t>
      </w:r>
      <m:oMath>
        <m:r>
          <m:t xml:space="preserve">σ</m:t>
        </m:r>
        <m:r>
          <m:t xml:space="preserve">(</m:t>
        </m:r>
        <m:r>
          <m:t xml:space="preserve">z</m:t>
        </m:r>
        <m:r>
          <m:t xml:space="preserve">)</m:t>
        </m:r>
      </m:oMath>
      <w:r>
        <w:rPr>
          <w:rFonts w:ascii="宋体" w:hAnsi="宋体" w:eastAsia="宋体"/>
          <w:b w:val="0"/>
          <w:i w:val="0"/>
          <w:color w:val="000000"/>
          <w:sz w:val="21"/>
        </w:rPr>
        <w:t xml:space="preserve"> 将 </w:t>
      </w:r>
      <m:oMath>
        <m:r>
          <m:t xml:space="preserve">z</m:t>
        </m:r>
      </m:oMath>
      <w:r>
        <w:rPr>
          <w:rFonts w:ascii="宋体" w:hAnsi="宋体" w:eastAsia="宋体"/>
          <w:b w:val="0"/>
          <w:i w:val="0"/>
          <w:color w:val="000000"/>
          <w:sz w:val="21"/>
        </w:rPr>
        <w:t xml:space="preserve"> 压缩至 </w:t>
      </w:r>
      <m:oMath>
        <m:r>
          <m:t xml:space="preserve">(</m:t>
        </m:r>
        <m:r>
          <m:t xml:space="preserve">0</m:t>
        </m:r>
        <m:r>
          <m:t xml:space="preserve">,</m:t>
        </m:r>
        <m:r>
          <m:t xml:space="preserve">1</m:t>
        </m:r>
        <m:r>
          <m:t xml:space="preserve">)</m:t>
        </m:r>
      </m:oMath>
      <w:r>
        <w:rPr>
          <w:rFonts w:ascii="宋体" w:hAnsi="宋体" w:eastAsia="宋体"/>
          <w:b w:val="0"/>
          <w:i w:val="0"/>
          <w:color w:val="000000"/>
          <w:sz w:val="21"/>
        </w:rPr>
        <w:t>：</w:t>
      </w:r>
    </w:p>
    <w:p>
      <w:pPr>
        <w:spacing w:line="360" w:lineRule="auto" w:before="200" w:after="200"/>
        <w:jc w:val="center"/>
      </w:pPr>
      <m:oMathPara>
        <m:oMath>
          <m:r>
            <m:t xml:space="preserve">P</m:t>
          </m:r>
          <m:r>
            <m:t xml:space="preserve">(</m:t>
          </m:r>
          <m:r>
            <m:t xml:space="preserve">Y</m:t>
          </m:r>
          <m:r>
            <m:t xml:space="preserve">=</m:t>
          </m:r>
          <m:r>
            <m:t xml:space="preserve">1</m:t>
          </m:r>
          <m:r>
            <m:t xml:space="preserve">∣</m:t>
          </m:r>
          <m:r>
            <m:t xml:space="preserve">𝐱</m:t>
          </m:r>
          <m:r>
            <m:t xml:space="preserve">)</m:t>
          </m:r>
          <m:r>
            <m:t xml:space="preserve">=</m:t>
          </m:r>
          <m:r>
            <m:t xml:space="preserve">σ</m:t>
          </m:r>
          <m:r>
            <m:t xml:space="preserve">(</m:t>
          </m:r>
          <m:r>
            <m:t xml:space="preserve">z</m:t>
          </m:r>
          <m:r>
            <m:t xml:space="preserve">)</m:t>
          </m:r>
          <m:r>
            <m:t xml:space="preserve">=</m:t>
          </m:r>
          <m:f>
            <m:num>
              <m:r>
                <m:t xml:space="preserve">1</m:t>
              </m:r>
            </m:num>
            <m:den>
              <m:r>
                <m:t xml:space="preserve">1</m:t>
              </m:r>
              <m:r>
                <m:t xml:space="preserve">+</m:t>
              </m:r>
              <m:sSup>
                <m:e>
                  <m:r>
                    <m:t xml:space="preserve">e</m:t>
                  </m:r>
                </m:e>
                <m:sup>
                  <m:r>
                    <m:t xml:space="preserve">−</m:t>
                  </m:r>
                  <m:r>
                    <m:t xml:space="preserve">z</m:t>
                  </m:r>
                </m:sup>
              </m:sSup>
            </m:den>
          </m:f>
        </m:oMath>
      </m:oMathPara>
    </w:p>
    <w:p>
      <w:pPr>
        <w:spacing w:line="360" w:lineRule="auto" w:before="0" w:after="0"/>
        <w:ind w:firstLine="420"/>
        <w:jc w:val="both"/>
      </w:pPr>
      <w:r>
        <w:rPr>
          <w:rFonts w:ascii="宋体" w:hAnsi="宋体" w:eastAsia="宋体"/>
          <w:b w:val="0"/>
          <w:i w:val="0"/>
          <w:color w:val="000000"/>
          <w:sz w:val="21"/>
        </w:rPr>
        <w:t xml:space="preserve">Sigmoid 函数具有优美的数学性质：当 </w:t>
      </w:r>
      <m:oMath>
        <m:r>
          <m:t xml:space="preserve">z</m:t>
        </m:r>
        <m:r>
          <m:t xml:space="preserve">→</m:t>
        </m:r>
        <m:r>
          <m:t xml:space="preserve">+</m:t>
        </m:r>
        <m:r>
          <m:t xml:space="preserve">∞</m:t>
        </m:r>
      </m:oMath>
      <w:r>
        <w:rPr>
          <w:rFonts w:ascii="宋体" w:hAnsi="宋体" w:eastAsia="宋体"/>
          <w:b w:val="0"/>
          <w:i w:val="0"/>
          <w:color w:val="000000"/>
          <w:sz w:val="21"/>
        </w:rPr>
        <w:t xml:space="preserve"> 时 </w:t>
      </w:r>
      <m:oMath>
        <m:r>
          <m:t xml:space="preserve">σ</m:t>
        </m:r>
        <m:r>
          <m:t xml:space="preserve">(</m:t>
        </m:r>
        <m:r>
          <m:t xml:space="preserve">z</m:t>
        </m:r>
        <m:r>
          <m:t xml:space="preserve">)</m:t>
        </m:r>
        <m:r>
          <m:t xml:space="preserve">→</m:t>
        </m:r>
        <m:r>
          <m:t xml:space="preserve">1</m:t>
        </m:r>
      </m:oMath>
      <w:r>
        <w:rPr>
          <w:rFonts w:ascii="宋体" w:hAnsi="宋体" w:eastAsia="宋体"/>
          <w:b w:val="0"/>
          <w:i w:val="0"/>
          <w:color w:val="000000"/>
          <w:sz w:val="21"/>
        </w:rPr>
        <w:t xml:space="preserve">，当 </w:t>
      </w:r>
      <m:oMath>
        <m:r>
          <m:t xml:space="preserve">z</m:t>
        </m:r>
        <m:r>
          <m:t xml:space="preserve">→</m:t>
        </m:r>
        <m:r>
          <m:t xml:space="preserve">−</m:t>
        </m:r>
        <m:r>
          <m:t xml:space="preserve">∞</m:t>
        </m:r>
      </m:oMath>
      <w:r>
        <w:rPr>
          <w:rFonts w:ascii="宋体" w:hAnsi="宋体" w:eastAsia="宋体"/>
          <w:b w:val="0"/>
          <w:i w:val="0"/>
          <w:color w:val="000000"/>
          <w:sz w:val="21"/>
        </w:rPr>
        <w:t xml:space="preserve"> 时 </w:t>
      </w:r>
      <m:oMath>
        <m:r>
          <m:t xml:space="preserve">σ</m:t>
        </m:r>
        <m:r>
          <m:t xml:space="preserve">(</m:t>
        </m:r>
        <m:r>
          <m:t xml:space="preserve">z</m:t>
        </m:r>
        <m:r>
          <m:t xml:space="preserve">)</m:t>
        </m:r>
        <m:r>
          <m:t xml:space="preserve">→</m:t>
        </m:r>
        <m:r>
          <m:t xml:space="preserve">0</m:t>
        </m:r>
      </m:oMath>
      <w:r>
        <w:rPr>
          <w:rFonts w:ascii="宋体" w:hAnsi="宋体" w:eastAsia="宋体"/>
          <w:b w:val="0"/>
          <w:i w:val="0"/>
          <w:color w:val="000000"/>
          <w:sz w:val="21"/>
        </w:rPr>
        <w:t xml:space="preserve">，且在 </w:t>
      </w:r>
      <m:oMath>
        <m:r>
          <m:t xml:space="preserve">z</m:t>
        </m:r>
        <m:r>
          <m:t xml:space="preserve">=</m:t>
        </m:r>
        <m:r>
          <m:t xml:space="preserve">0</m:t>
        </m:r>
      </m:oMath>
      <w:r>
        <w:rPr>
          <w:rFonts w:ascii="宋体" w:hAnsi="宋体" w:eastAsia="宋体"/>
          <w:b w:val="0"/>
          <w:i w:val="0"/>
          <w:color w:val="000000"/>
          <w:sz w:val="21"/>
        </w:rPr>
        <w:t xml:space="preserve"> 处取值为 </w:t>
      </w:r>
      <m:oMath>
        <m:r>
          <m:t xml:space="preserve">0.5</m:t>
        </m:r>
      </m:oMath>
      <w:r>
        <w:rPr>
          <w:rFonts w:ascii="宋体" w:hAnsi="宋体" w:eastAsia="宋体"/>
          <w:b w:val="0"/>
          <w:i w:val="0"/>
          <w:color w:val="000000"/>
          <w:sz w:val="21"/>
        </w:rPr>
        <w:t xml:space="preserve">。这一特性使得模型输出可以被自然地解释为"正类发生的概率"。决策规则为：若 </w:t>
      </w:r>
      <m:oMath>
        <m:r>
          <m:t xml:space="preserve">P</m:t>
        </m:r>
        <m:r>
          <m:t xml:space="preserve">(</m:t>
        </m:r>
        <m:r>
          <m:t xml:space="preserve">Y</m:t>
        </m:r>
        <m:r>
          <m:t xml:space="preserve">=</m:t>
        </m:r>
        <m:r>
          <m:t xml:space="preserve">1</m:t>
        </m:r>
        <m:r>
          <m:t xml:space="preserve">∣</m:t>
        </m:r>
        <m:r>
          <m:t xml:space="preserve">𝐱</m:t>
        </m:r>
        <m:r>
          <m:t xml:space="preserve">)</m:t>
        </m:r>
        <m:r>
          <m:t xml:space="preserve">&gt;</m:t>
        </m:r>
        <m:r>
          <m:t xml:space="preserve">τ</m:t>
        </m:r>
      </m:oMath>
      <w:r>
        <w:rPr>
          <w:rFonts w:ascii="宋体" w:hAnsi="宋体" w:eastAsia="宋体"/>
          <w:b w:val="0"/>
          <w:i w:val="0"/>
          <w:color w:val="000000"/>
          <w:sz w:val="21"/>
        </w:rPr>
        <w:t xml:space="preserve">（通常取阈值 </w:t>
      </w:r>
      <m:oMath>
        <m:r>
          <m:t xml:space="preserve">τ</m:t>
        </m:r>
        <m:r>
          <m:t xml:space="preserve">=</m:t>
        </m:r>
        <m:r>
          <m:t xml:space="preserve">0.5</m:t>
        </m:r>
      </m:oMath>
      <w:r>
        <w:rPr>
          <w:rFonts w:ascii="宋体" w:hAnsi="宋体" w:eastAsia="宋体"/>
          <w:b w:val="0"/>
          <w:i w:val="0"/>
          <w:color w:val="000000"/>
          <w:sz w:val="21"/>
        </w:rPr>
        <w:t>），则预测为正类；否则预测为负类。</w:t>
      </w:r>
    </w:p>
    <w:p>
      <w:pPr>
        <w:spacing w:line="360" w:lineRule="auto" w:before="0" w:after="0"/>
        <w:ind w:firstLine="420"/>
        <w:jc w:val="both"/>
      </w:pPr>
      <w:r>
        <w:rPr>
          <w:rFonts w:ascii="宋体" w:hAnsi="宋体" w:eastAsia="宋体"/>
          <w:b w:val="0"/>
          <w:i w:val="0"/>
          <w:color w:val="000000"/>
          <w:sz w:val="21"/>
        </w:rPr>
        <w:t xml:space="preserve">参数估计采用极大似然估计法（Maximum Likelihood Estimation, MLE）。对于独立同分布的样本集 </w:t>
      </w:r>
      <m:oMath>
        <m:r>
          <m:t xml:space="preserve">{</m:t>
        </m:r>
        <m:r>
          <m:t xml:space="preserve">(</m:t>
        </m:r>
        <m:sSub>
          <m:e>
            <m:r>
              <m:t xml:space="preserve">𝐱</m:t>
            </m:r>
          </m:e>
          <m:sub>
            <m:r>
              <m:t xml:space="preserve">i</m:t>
            </m:r>
          </m:sub>
        </m:sSub>
        <m:r>
          <m:t xml:space="preserve">,</m:t>
        </m:r>
        <m:sSub>
          <m:e>
            <m:r>
              <m:t xml:space="preserve">y</m:t>
            </m:r>
          </m:e>
          <m:sub>
            <m:r>
              <m:t xml:space="preserve">i</m:t>
            </m:r>
          </m:sub>
        </m:sSub>
        <m:r>
          <m:t xml:space="preserve">)</m:t>
        </m:r>
        <m:sSubSup>
          <m:e>
            <m:r>
              <m:t xml:space="preserve">}</m:t>
            </m:r>
          </m:e>
          <m:sub>
            <m:r>
              <m:t xml:space="preserve">i</m:t>
            </m:r>
            <m:r>
              <m:t xml:space="preserve">=</m:t>
            </m:r>
            <m:r>
              <m:t xml:space="preserve">1</m:t>
            </m:r>
          </m:sub>
          <m:sup>
            <m:r>
              <m:t xml:space="preserve">n</m:t>
            </m:r>
          </m:sup>
        </m:sSubSup>
      </m:oMath>
      <w:r>
        <w:rPr>
          <w:rFonts w:ascii="宋体" w:hAnsi="宋体" w:eastAsia="宋体"/>
          <w:b w:val="0"/>
          <w:i w:val="0"/>
          <w:color w:val="000000"/>
          <w:sz w:val="21"/>
        </w:rPr>
        <w:t>，对数似然函数为：</w:t>
      </w:r>
    </w:p>
    <w:p>
      <w:pPr>
        <w:spacing w:line="360" w:lineRule="auto" w:before="200" w:after="200"/>
        <w:jc w:val="center"/>
      </w:pPr>
      <m:oMathPara>
        <m:oMath>
          <m:r>
            <m:t xml:space="preserve">ℓ</m:t>
          </m:r>
          <m:r>
            <m:t xml:space="preserve">(</m:t>
          </m:r>
          <m:r>
            <m:rPr>
              <m:b/>
              <m:i/>
            </m:rPr>
            <m:t xml:space="preserve">β</m:t>
          </m:r>
          <m:r>
            <m:t xml:space="preserve">)</m:t>
          </m:r>
          <m:r>
            <m:t xml:space="preserve">=</m:t>
          </m:r>
          <m:nary>
            <m:naryPr>
              <m:chr m:val="∑"/>
              <m:limLoc m:val="undOvr"/>
            </m:naryPr>
            <m:sub>
              <m:r>
                <m:t xml:space="preserve">i</m:t>
              </m:r>
              <m:r>
                <m:t xml:space="preserve">=</m:t>
              </m:r>
              <m:r>
                <m:t xml:space="preserve">1</m:t>
              </m:r>
            </m:sub>
            <m:sup>
              <m:r>
                <m:t xml:space="preserve">n</m:t>
              </m:r>
            </m:sup>
            <m:e>
              <m:r>
                <m:t/>
              </m:r>
            </m:e>
          </m:nary>
          <m:r>
            <m:t xml:space="preserve">[</m:t>
          </m:r>
          <m:sSub>
            <m:e>
              <m:r>
                <m:t xml:space="preserve">y</m:t>
              </m:r>
            </m:e>
            <m:sub>
              <m:r>
                <m:t xml:space="preserve">i</m:t>
              </m:r>
            </m:sub>
          </m:sSub>
          <m:r>
            <m:t xml:space="preserve">log</m:t>
          </m:r>
          <m:r>
            <m:t xml:space="preserve">σ</m:t>
          </m:r>
          <m:r>
            <m:t xml:space="preserve">(</m:t>
          </m:r>
          <m:sSup>
            <m:e>
              <m:r>
                <m:rPr>
                  <m:b/>
                  <m:i/>
                </m:rPr>
                <m:t xml:space="preserve">β</m:t>
              </m:r>
            </m:e>
            <m:sup>
              <m:r>
                <m:t xml:space="preserve">⊤</m:t>
              </m:r>
            </m:sup>
          </m:sSup>
          <m:sSub>
            <m:e>
              <m:acc>
                <m:accPr>
                  <m:chr m:val="̃"/>
                </m:accPr>
                <m:e>
                  <m:r>
                    <m:t xml:space="preserve">𝐱</m:t>
                  </m:r>
                </m:e>
              </m:acc>
            </m:e>
            <m:sub>
              <m:r>
                <m:t xml:space="preserve">i</m:t>
              </m:r>
            </m:sub>
          </m:sSub>
          <m:r>
            <m:t xml:space="preserve">)</m:t>
          </m:r>
          <m:r>
            <m:t xml:space="preserve">+</m:t>
          </m:r>
          <m:r>
            <m:t xml:space="preserve">(</m:t>
          </m:r>
          <m:r>
            <m:t xml:space="preserve">1</m:t>
          </m:r>
          <m:r>
            <m:t xml:space="preserve">−</m:t>
          </m:r>
          <m:sSub>
            <m:e>
              <m:r>
                <m:t xml:space="preserve">y</m:t>
              </m:r>
            </m:e>
            <m:sub>
              <m:r>
                <m:t xml:space="preserve">i</m:t>
              </m:r>
            </m:sub>
          </m:sSub>
          <m:r>
            <m:t xml:space="preserve">)</m:t>
          </m:r>
          <m:r>
            <m:t xml:space="preserve">log</m:t>
          </m:r>
          <m:r>
            <m:t xml:space="preserve">(</m:t>
          </m:r>
          <m:r>
            <m:t xml:space="preserve">1</m:t>
          </m:r>
          <m:r>
            <m:t xml:space="preserve">−</m:t>
          </m:r>
          <m:r>
            <m:t xml:space="preserve">σ</m:t>
          </m:r>
          <m:r>
            <m:t xml:space="preserve">(</m:t>
          </m:r>
          <m:sSup>
            <m:e>
              <m:r>
                <m:rPr>
                  <m:b/>
                  <m:i/>
                </m:rPr>
                <m:t xml:space="preserve">β</m:t>
              </m:r>
            </m:e>
            <m:sup>
              <m:r>
                <m:t xml:space="preserve">⊤</m:t>
              </m:r>
            </m:sup>
          </m:sSup>
          <m:sSub>
            <m:e>
              <m:acc>
                <m:accPr>
                  <m:chr m:val="̃"/>
                </m:accPr>
                <m:e>
                  <m:r>
                    <m:t xml:space="preserve">𝐱</m:t>
                  </m:r>
                </m:e>
              </m:acc>
            </m:e>
            <m:sub>
              <m:r>
                <m:t xml:space="preserve">i</m:t>
              </m:r>
            </m:sub>
          </m:sSub>
          <m:r>
            <m:t xml:space="preserve">)</m:t>
          </m:r>
          <m:r>
            <m:t xml:space="preserve">)</m:t>
          </m:r>
          <m:r>
            <m:t xml:space="preserve">]</m:t>
          </m:r>
        </m:oMath>
      </m:oMathPara>
    </w:p>
    <w:p>
      <w:pPr>
        <w:spacing w:line="360" w:lineRule="auto" w:before="0" w:after="0"/>
        <w:ind w:firstLine="420"/>
        <w:jc w:val="both"/>
      </w:pPr>
      <w:r>
        <w:rPr>
          <w:rFonts w:ascii="宋体" w:hAnsi="宋体" w:eastAsia="宋体"/>
          <w:b w:val="0"/>
          <w:i w:val="0"/>
          <w:color w:val="000000"/>
          <w:sz w:val="21"/>
        </w:rPr>
        <w:t xml:space="preserve">该函数关于 </w:t>
      </w:r>
      <m:oMath>
        <m:r>
          <m:rPr>
            <m:b/>
            <m:i/>
          </m:rPr>
          <m:t xml:space="preserve">β</m:t>
        </m:r>
      </m:oMath>
      <w:r>
        <w:rPr>
          <w:rFonts w:ascii="宋体" w:hAnsi="宋体" w:eastAsia="宋体"/>
          <w:b w:val="0"/>
          <w:i w:val="0"/>
          <w:color w:val="000000"/>
          <w:sz w:val="21"/>
        </w:rPr>
        <w:t xml:space="preserve"> 是凸的，不存在解析解，需通过梯度下降或牛顿-拉弗森迭代法求解。在金融风控实践中，逻辑回归因其参数可解释性强（每个系数 </w:t>
      </w:r>
      <m:oMath>
        <m:sSub>
          <m:e>
            <m:r>
              <m:t xml:space="preserve">β</m:t>
            </m:r>
          </m:e>
          <m:sub>
            <m:r>
              <m:t xml:space="preserve">j</m:t>
            </m:r>
          </m:sub>
        </m:sSub>
      </m:oMath>
      <w:r>
        <w:rPr>
          <w:rFonts w:ascii="宋体" w:hAnsi="宋体" w:eastAsia="宋体"/>
          <w:b w:val="0"/>
          <w:i w:val="0"/>
          <w:color w:val="000000"/>
          <w:sz w:val="21"/>
        </w:rPr>
        <w:t xml:space="preserve"> 反映了对应特征对正类发生几率的边际贡献方向和大小）、训练效率高（适用于百万级样本）、输出天然为概率（可直接用于计算期望损失）等优势而长期占据主流地位。</w:t>
      </w:r>
    </w:p>
    <w:p>
      <w:pPr>
        <w:spacing w:line="360" w:lineRule="auto" w:before="120" w:after="120"/>
        <w:jc w:val="left"/>
      </w:pPr>
      <w:r>
        <w:rPr>
          <w:rFonts w:ascii="宋体" w:hAnsi="宋体" w:eastAsia="宋体"/>
          <w:b/>
          <w:i w:val="0"/>
          <w:color w:val="000000"/>
          <w:sz w:val="24"/>
        </w:rPr>
        <w:t>1.2 决策树（Decision Tree）</w:t>
      </w:r>
    </w:p>
    <w:p>
      <w:pPr>
        <w:spacing w:line="360" w:lineRule="auto" w:before="0" w:after="0"/>
        <w:ind w:firstLine="420"/>
        <w:jc w:val="both"/>
      </w:pPr>
      <w:r>
        <w:rPr>
          <w:rFonts w:ascii="宋体" w:hAnsi="宋体" w:eastAsia="宋体"/>
          <w:b w:val="0"/>
          <w:i w:val="0"/>
          <w:color w:val="000000"/>
          <w:sz w:val="21"/>
        </w:rPr>
        <w:t xml:space="preserve">决策树是一种基于规则的非参数学习方法，其核心思想是通过递归地对特征空间进行划分，构建一棵树状决策结构。每个内部节点对应一个特征上的分裂条件（如"特征 </w:t>
      </w:r>
      <m:oMath>
        <m:sSub>
          <m:e>
            <m:r>
              <m:t xml:space="preserve">x</m:t>
            </m:r>
          </m:e>
          <m:sub>
            <m:r>
              <m:t xml:space="preserve">j</m:t>
            </m:r>
          </m:sub>
        </m:sSub>
        <m:r>
          <m:t xml:space="preserve">≤</m:t>
        </m:r>
        <m:r>
          <m:t xml:space="preserve">t</m:t>
        </m:r>
      </m:oMath>
      <w:r>
        <w:rPr>
          <w:rFonts w:ascii="宋体" w:hAnsi="宋体" w:eastAsia="宋体"/>
          <w:b w:val="0"/>
          <w:i w:val="0"/>
          <w:color w:val="000000"/>
          <w:sz w:val="21"/>
        </w:rPr>
        <w:t>"），每个叶节点代表一个类别标签或概率分布。从根节点到叶节点的路径即构成了一条完整的分类规则。</w:t>
      </w:r>
    </w:p>
    <w:p>
      <w:pPr>
        <w:spacing w:line="360" w:lineRule="auto" w:before="0" w:after="0"/>
        <w:ind w:firstLine="420"/>
        <w:jc w:val="both"/>
      </w:pPr>
      <w:r>
        <w:rPr>
          <w:rFonts w:ascii="宋体" w:hAnsi="宋体" w:eastAsia="宋体"/>
          <w:b w:val="0"/>
          <w:i w:val="0"/>
          <w:color w:val="000000"/>
          <w:sz w:val="21"/>
        </w:rPr>
        <w:t xml:space="preserve">决策树的训练过程本质上是贪心式的特征选择与阈值优化过程。对于当前节点所包含的数据子集 </w:t>
      </w:r>
      <m:oMath>
        <m:r>
          <m:t xml:space="preserve">D</m:t>
        </m:r>
      </m:oMath>
      <w:r>
        <w:rPr>
          <w:rFonts w:ascii="宋体" w:hAnsi="宋体" w:eastAsia="宋体"/>
          <w:b w:val="0"/>
          <w:i w:val="0"/>
          <w:color w:val="000000"/>
          <w:sz w:val="21"/>
        </w:rPr>
        <w:t>，算法遍历所有特征和所有可能的分裂点，选取使节点不纯度下降最大的方案作为最优分裂。常用的不纯度度量包括信息增益（Information Gain）、基尼不纯度（Gini Impurity）和误分类率。其中基尼不纯度定义为：</w:t>
      </w:r>
    </w:p>
    <w:p>
      <w:pPr>
        <w:spacing w:line="360" w:lineRule="auto" w:before="200" w:after="200"/>
        <w:jc w:val="center"/>
      </w:pPr>
      <m:oMathPara>
        <m:oMath>
          <m:r>
            <m:t xml:space="preserve">G</m:t>
          </m:r>
          <m:r>
            <m:t xml:space="preserve">(</m:t>
          </m:r>
          <m:r>
            <m:t xml:space="preserve">D</m:t>
          </m:r>
          <m:r>
            <m:t xml:space="preserve">)</m:t>
          </m:r>
          <m:r>
            <m:t xml:space="preserve">=</m:t>
          </m:r>
          <m:r>
            <m:t xml:space="preserve">1</m:t>
          </m:r>
          <m:r>
            <m:t xml:space="preserve">−</m:t>
          </m:r>
          <m:nary>
            <m:naryPr>
              <m:chr m:val="∑"/>
              <m:limLoc m:val="undOvr"/>
            </m:naryPr>
            <m:sub>
              <m:r>
                <m:t xml:space="preserve">k</m:t>
              </m:r>
              <m:r>
                <m:t xml:space="preserve">=</m:t>
              </m:r>
              <m:r>
                <m:t xml:space="preserve">1</m:t>
              </m:r>
            </m:sub>
            <m:sup>
              <m:r>
                <m:t xml:space="preserve">K</m:t>
              </m:r>
            </m:sup>
            <m:e>
              <m:r>
                <m:t/>
              </m:r>
            </m:e>
          </m:nary>
          <m:sSubSup>
            <m:e>
              <m:r>
                <m:t xml:space="preserve">p</m:t>
              </m:r>
            </m:e>
            <m:sub>
              <m:r>
                <m:t xml:space="preserve">k</m:t>
              </m:r>
            </m:sub>
            <m:sup>
              <m:r>
                <m:t xml:space="preserve">2</m:t>
              </m:r>
            </m:sup>
          </m:sSubSup>
        </m:oMath>
      </m:oMathPara>
    </w:p>
    <w:p>
      <w:pPr>
        <w:spacing w:line="360" w:lineRule="auto" w:before="0" w:after="0"/>
        <w:ind w:firstLine="420"/>
        <w:jc w:val="both"/>
      </w:pPr>
      <w:r>
        <w:rPr>
          <w:rFonts w:ascii="宋体" w:hAnsi="宋体" w:eastAsia="宋体"/>
          <w:b w:val="0"/>
          <w:i w:val="0"/>
          <w:color w:val="000000"/>
          <w:sz w:val="21"/>
        </w:rPr>
        <w:t xml:space="preserve">其中 </w:t>
      </w:r>
      <m:oMath>
        <m:r>
          <m:t xml:space="preserve">K</m:t>
        </m:r>
      </m:oMath>
      <w:r>
        <w:rPr>
          <w:rFonts w:ascii="宋体" w:hAnsi="宋体" w:eastAsia="宋体"/>
          <w:b w:val="0"/>
          <w:i w:val="0"/>
          <w:color w:val="000000"/>
          <w:sz w:val="21"/>
        </w:rPr>
        <w:t xml:space="preserve"> 为类别数，</w:t>
      </w:r>
      <m:oMath>
        <m:sSub>
          <m:e>
            <m:r>
              <m:t xml:space="preserve">p</m:t>
            </m:r>
          </m:e>
          <m:sub>
            <m:r>
              <m:t xml:space="preserve">k</m:t>
            </m:r>
          </m:sub>
        </m:sSub>
      </m:oMath>
      <w:r>
        <w:rPr>
          <w:rFonts w:ascii="宋体" w:hAnsi="宋体" w:eastAsia="宋体"/>
          <w:b w:val="0"/>
          <w:i w:val="0"/>
          <w:color w:val="000000"/>
          <w:sz w:val="21"/>
        </w:rPr>
        <w:t xml:space="preserve"> 为数据子集 </w:t>
      </w:r>
      <m:oMath>
        <m:r>
          <m:t xml:space="preserve">D</m:t>
        </m:r>
      </m:oMath>
      <w:r>
        <w:rPr>
          <w:rFonts w:ascii="宋体" w:hAnsi="宋体" w:eastAsia="宋体"/>
          <w:b w:val="0"/>
          <w:i w:val="0"/>
          <w:color w:val="000000"/>
          <w:sz w:val="21"/>
        </w:rPr>
        <w:t xml:space="preserve"> 中属于第 </w:t>
      </w:r>
      <m:oMath>
        <m:r>
          <m:t xml:space="preserve">k</m:t>
        </m:r>
      </m:oMath>
      <w:r>
        <w:rPr>
          <w:rFonts w:ascii="宋体" w:hAnsi="宋体" w:eastAsia="宋体"/>
          <w:b w:val="0"/>
          <w:i w:val="0"/>
          <w:color w:val="000000"/>
          <w:sz w:val="21"/>
        </w:rPr>
        <w:t xml:space="preserve"> 类样本的比例。当所有样本属于同一类时 </w:t>
      </w:r>
      <m:oMath>
        <m:r>
          <m:t xml:space="preserve">G</m:t>
        </m:r>
        <m:r>
          <m:t xml:space="preserve">=</m:t>
        </m:r>
        <m:r>
          <m:t xml:space="preserve">0</m:t>
        </m:r>
      </m:oMath>
      <w:r>
        <w:rPr>
          <w:rFonts w:ascii="宋体" w:hAnsi="宋体" w:eastAsia="宋体"/>
          <w:b w:val="0"/>
          <w:i w:val="0"/>
          <w:color w:val="000000"/>
          <w:sz w:val="21"/>
        </w:rPr>
        <w:t xml:space="preserve">（最纯净）；当各类均匀分布时 </w:t>
      </w:r>
      <m:oMath>
        <m:r>
          <m:t xml:space="preserve">G</m:t>
        </m:r>
      </m:oMath>
      <w:r>
        <w:rPr>
          <w:rFonts w:ascii="宋体" w:hAnsi="宋体" w:eastAsia="宋体"/>
          <w:b w:val="0"/>
          <w:i w:val="0"/>
          <w:color w:val="000000"/>
          <w:sz w:val="21"/>
        </w:rPr>
        <w:t xml:space="preserve"> 取最大值（最混乱）。分裂准则为选择使得父节点与子节点加权基尼不纯度之差最大化的特征与阈值：</w:t>
      </w:r>
    </w:p>
    <w:p>
      <w:pPr>
        <w:spacing w:line="360" w:lineRule="auto" w:before="200" w:after="200"/>
        <w:jc w:val="center"/>
      </w:pPr>
      <m:oMathPara>
        <m:oMath>
          <m:r>
            <m:t xml:space="preserve">Δ</m:t>
          </m:r>
          <m:r>
            <m:t xml:space="preserve">G</m:t>
          </m:r>
          <m:r>
            <m:t xml:space="preserve">=</m:t>
          </m:r>
          <m:r>
            <m:t xml:space="preserve">G</m:t>
          </m:r>
          <m:r>
            <m:t xml:space="preserve">(</m:t>
          </m:r>
          <m:r>
            <m:t xml:space="preserve">D</m:t>
          </m:r>
          <m:r>
            <m:t xml:space="preserve">)</m:t>
          </m:r>
          <m:r>
            <m:t xml:space="preserve">−</m:t>
          </m:r>
          <m:f>
            <m:num>
              <m:r>
                <m:t xml:space="preserve">|</m:t>
              </m:r>
              <m:sSub>
                <m:e>
                  <m:r>
                    <m:t xml:space="preserve">D</m:t>
                  </m:r>
                </m:e>
                <m:sub>
                  <m:r>
                    <m:t xml:space="preserve">L</m:t>
                  </m:r>
                </m:sub>
              </m:sSub>
              <m:r>
                <m:t xml:space="preserve">|</m:t>
              </m:r>
            </m:num>
            <m:den>
              <m:r>
                <m:t xml:space="preserve">|</m:t>
              </m:r>
              <m:r>
                <m:t xml:space="preserve">D</m:t>
              </m:r>
              <m:r>
                <m:t xml:space="preserve">|</m:t>
              </m:r>
            </m:den>
          </m:f>
          <m:r>
            <m:t xml:space="preserve">G</m:t>
          </m:r>
          <m:r>
            <m:t xml:space="preserve">(</m:t>
          </m:r>
          <m:sSub>
            <m:e>
              <m:r>
                <m:t xml:space="preserve">D</m:t>
              </m:r>
            </m:e>
            <m:sub>
              <m:r>
                <m:t xml:space="preserve">L</m:t>
              </m:r>
            </m:sub>
          </m:sSub>
          <m:r>
            <m:t xml:space="preserve">)</m:t>
          </m:r>
          <m:r>
            <m:t xml:space="preserve">−</m:t>
          </m:r>
          <m:f>
            <m:num>
              <m:r>
                <m:t xml:space="preserve">|</m:t>
              </m:r>
              <m:sSub>
                <m:e>
                  <m:r>
                    <m:t xml:space="preserve">D</m:t>
                  </m:r>
                </m:e>
                <m:sub>
                  <m:r>
                    <m:t xml:space="preserve">R</m:t>
                  </m:r>
                </m:sub>
              </m:sSub>
              <m:r>
                <m:t xml:space="preserve">|</m:t>
              </m:r>
            </m:num>
            <m:den>
              <m:r>
                <m:t xml:space="preserve">|</m:t>
              </m:r>
              <m:r>
                <m:t xml:space="preserve">D</m:t>
              </m:r>
              <m:r>
                <m:t xml:space="preserve">|</m:t>
              </m:r>
            </m:den>
          </m:f>
          <m:r>
            <m:t xml:space="preserve">G</m:t>
          </m:r>
          <m:r>
            <m:t xml:space="preserve">(</m:t>
          </m:r>
          <m:sSub>
            <m:e>
              <m:r>
                <m:t xml:space="preserve">D</m:t>
              </m:r>
            </m:e>
            <m:sub>
              <m:r>
                <m:t xml:space="preserve">R</m:t>
              </m:r>
            </m:sub>
          </m:sSub>
          <m:r>
            <m:t xml:space="preserve">)</m:t>
          </m:r>
        </m:oMath>
      </m:oMathPara>
    </w:p>
    <w:p>
      <w:pPr>
        <w:spacing w:line="360" w:lineRule="auto" w:before="0" w:after="0"/>
        <w:ind w:firstLine="420"/>
        <w:jc w:val="both"/>
      </w:pPr>
      <w:r>
        <w:rPr>
          <w:rFonts w:ascii="宋体" w:hAnsi="宋体" w:eastAsia="宋体"/>
          <w:b w:val="0"/>
          <w:i w:val="0"/>
          <w:color w:val="000000"/>
          <w:sz w:val="21"/>
        </w:rPr>
        <w:t xml:space="preserve">其中 </w:t>
      </w:r>
      <m:oMath>
        <m:sSub>
          <m:e>
            <m:r>
              <m:t xml:space="preserve">D</m:t>
            </m:r>
          </m:e>
          <m:sub>
            <m:r>
              <m:t xml:space="preserve">L</m:t>
            </m:r>
          </m:sub>
        </m:sSub>
      </m:oMath>
      <w:r>
        <w:rPr>
          <w:rFonts w:ascii="宋体" w:hAnsi="宋体" w:eastAsia="宋体"/>
          <w:b w:val="0"/>
          <w:i w:val="0"/>
          <w:color w:val="000000"/>
          <w:sz w:val="21"/>
        </w:rPr>
        <w:t xml:space="preserve"> 和 </w:t>
      </w:r>
      <m:oMath>
        <m:sSub>
          <m:e>
            <m:r>
              <m:t xml:space="preserve">D</m:t>
            </m:r>
          </m:e>
          <m:sub>
            <m:r>
              <m:t xml:space="preserve">R</m:t>
            </m:r>
          </m:sub>
        </m:sSub>
      </m:oMath>
      <w:r>
        <w:rPr>
          <w:rFonts w:ascii="宋体" w:hAnsi="宋体" w:eastAsia="宋体"/>
          <w:b w:val="0"/>
          <w:i w:val="0"/>
          <w:color w:val="000000"/>
          <w:sz w:val="21"/>
        </w:rPr>
        <w:t xml:space="preserve"> 分别是左、右子节点包含的数据集。</w:t>
      </w:r>
    </w:p>
    <w:p>
      <w:pPr>
        <w:spacing w:line="360" w:lineRule="auto" w:before="0" w:after="0"/>
        <w:ind w:firstLine="420"/>
        <w:jc w:val="both"/>
      </w:pPr>
      <w:r>
        <w:rPr>
          <w:rFonts w:ascii="宋体" w:hAnsi="宋体" w:eastAsia="宋体"/>
          <w:b w:val="0"/>
          <w:i w:val="0"/>
          <w:color w:val="000000"/>
          <w:sz w:val="21"/>
        </w:rPr>
        <w:t>决策树的优势在于模型可解释性强——整棵树可以转化为一系列易于人类理解的 if-then 规则链；无需特征预处理——对缺失值和非数值型特征具有天然容错性；以及能够捕捉非线性交互关系——通过多层级联分裂自动发现特征间的复杂组合模式。然而，单棵决策树的弱点也十分明显：对训练数据的微小扰动高度敏感（方差大），容易过拟合，且预测边界呈阶梯状不够平滑。这些缺陷正是随机森林算法所要解决的核心问题。</w:t>
      </w:r>
    </w:p>
    <w:p>
      <w:pPr>
        <w:spacing w:line="360" w:lineRule="auto" w:before="120" w:after="120"/>
        <w:jc w:val="left"/>
      </w:pPr>
      <w:r>
        <w:rPr>
          <w:rFonts w:ascii="宋体" w:hAnsi="宋体" w:eastAsia="宋体"/>
          <w:b/>
          <w:i w:val="0"/>
          <w:color w:val="000000"/>
          <w:sz w:val="24"/>
        </w:rPr>
        <w:t>1.3 随机森林（Random Forest）</w:t>
      </w:r>
    </w:p>
    <w:p>
      <w:pPr>
        <w:spacing w:line="360" w:lineRule="auto" w:before="0" w:after="0"/>
        <w:ind w:firstLine="420"/>
        <w:jc w:val="both"/>
      </w:pPr>
      <w:r>
        <w:rPr>
          <w:rFonts w:ascii="宋体" w:hAnsi="宋体" w:eastAsia="宋体"/>
          <w:b w:val="0"/>
          <w:i w:val="0"/>
          <w:color w:val="000000"/>
          <w:sz w:val="21"/>
        </w:rPr>
        <w:t>随机森林由 Leo Breiman 于 2001 年提出，是一种基于 Bagging（Bootstrap Aggregating）思想的集成学习方法。它通过对原始数据集进行有放回抽样（Bootstrap Sampling）构建多个不同的训练子集，在每个子集上独立训练一棵决策树，最终以投票方式（分类任务）或平均方式（回归任务）汇总各树的预测结果。</w:t>
      </w:r>
    </w:p>
    <w:p>
      <w:pPr>
        <w:spacing w:line="360" w:lineRule="auto" w:before="0" w:after="0"/>
        <w:ind w:firstLine="420"/>
        <w:jc w:val="both"/>
      </w:pPr>
      <w:r>
        <w:rPr>
          <w:rFonts w:ascii="宋体" w:hAnsi="宋体" w:eastAsia="宋体"/>
          <w:b w:val="0"/>
          <w:i w:val="0"/>
          <w:color w:val="000000"/>
          <w:sz w:val="21"/>
        </w:rPr>
        <w:t xml:space="preserve">随机森林引入了两层随机化机制来增强模型多样性并降低过拟合风险。第一层是样本随机性：每棵树使用 Bootstrap 抽样得到的约 63.2% 唯一样本进行训练，剩余约 36.8% 样本称为袋外（Out-of-Bag, OOB）数据，可用于无偏估计模型的泛化误差。第二层是特征随机性：在每次节点分裂时，不是从全部 </w:t>
      </w:r>
      <m:oMath>
        <m:r>
          <m:t xml:space="preserve">d</m:t>
        </m:r>
      </m:oMath>
      <w:r>
        <w:rPr>
          <w:rFonts w:ascii="宋体" w:hAnsi="宋体" w:eastAsia="宋体"/>
          <w:b w:val="0"/>
          <w:i w:val="0"/>
          <w:color w:val="000000"/>
          <w:sz w:val="21"/>
        </w:rPr>
        <w:t xml:space="preserve"> 个特征中寻找最优分裂，而是仅从随机选取的 </w:t>
      </w:r>
      <m:oMath>
        <m:sSub>
          <m:e>
            <m:r>
              <m:t xml:space="preserve">m</m:t>
            </m:r>
          </m:e>
          <m:sub>
            <m:r>
              <m:t xml:space="preserve">t</m:t>
            </m:r>
            <m:r>
              <m:t xml:space="preserve">r</m:t>
            </m:r>
            <m:r>
              <m:t xml:space="preserve">y</m:t>
            </m:r>
          </m:sub>
        </m:sSub>
      </m:oMath>
      <w:r>
        <w:rPr>
          <w:rFonts w:ascii="宋体" w:hAnsi="宋体" w:eastAsia="宋体"/>
          <w:b w:val="0"/>
          <w:i w:val="0"/>
          <w:color w:val="000000"/>
          <w:sz w:val="21"/>
        </w:rPr>
        <w:t xml:space="preserve"> 个候选特征中择优（通常取 </w:t>
      </w:r>
      <m:oMath>
        <m:sSub>
          <m:e>
            <m:r>
              <m:t xml:space="preserve">m</m:t>
            </m:r>
          </m:e>
          <m:sub>
            <m:r>
              <m:t xml:space="preserve">t</m:t>
            </m:r>
            <m:r>
              <m:t xml:space="preserve">r</m:t>
            </m:r>
            <m:r>
              <m:t xml:space="preserve">y</m:t>
            </m:r>
          </m:sub>
        </m:sSub>
        <m:r>
          <m:t xml:space="preserve">=</m:t>
        </m:r>
        <m:r>
          <m:t xml:space="preserve">⌊</m:t>
        </m:r>
        <m:r>
          <m:t xml:space="preserve">d</m:t>
        </m:r>
        <m:r>
          <m:t xml:space="preserve">⌋</m:t>
        </m:r>
      </m:oMath>
      <w:r>
        <w:rPr>
          <w:rFonts w:ascii="宋体" w:hAnsi="宋体" w:eastAsia="宋体"/>
          <w:b w:val="0"/>
          <w:i w:val="0"/>
          <w:color w:val="000000"/>
          <w:sz w:val="21"/>
        </w:rPr>
        <w:t>）。这一机制有效降低了树之间的相关性，使集成效果更加显著。</w:t>
      </w:r>
    </w:p>
    <w:p>
      <w:pPr>
        <w:spacing w:line="360" w:lineRule="auto" w:before="0" w:after="0"/>
        <w:ind w:firstLine="420"/>
        <w:jc w:val="both"/>
      </w:pPr>
      <w:r>
        <w:rPr>
          <w:rFonts w:ascii="宋体" w:hAnsi="宋体" w:eastAsia="宋体"/>
          <w:b w:val="0"/>
          <w:i w:val="0"/>
          <w:color w:val="000000"/>
          <w:sz w:val="21"/>
        </w:rPr>
        <w:t xml:space="preserve">对于 </w:t>
      </w:r>
      <m:oMath>
        <m:r>
          <m:t xml:space="preserve">B</m:t>
        </m:r>
      </m:oMath>
      <w:r>
        <w:rPr>
          <w:rFonts w:ascii="宋体" w:hAnsi="宋体" w:eastAsia="宋体"/>
          <w:b w:val="0"/>
          <w:i w:val="0"/>
          <w:color w:val="000000"/>
          <w:sz w:val="21"/>
        </w:rPr>
        <w:t xml:space="preserve"> 棵独立同分布的树分类器 </w:t>
      </w:r>
      <m:oMath>
        <m:sSub>
          <m:e>
            <m:r>
              <m:t xml:space="preserve">h</m:t>
            </m:r>
          </m:e>
          <m:sub>
            <m:r>
              <m:t xml:space="preserve">b</m:t>
            </m:r>
          </m:sub>
        </m:sSub>
        <m:r>
          <m:t xml:space="preserve">(</m:t>
        </m:r>
        <m:r>
          <m:t xml:space="preserve">x</m:t>
        </m:r>
        <m:r>
          <m:t xml:space="preserve">)</m:t>
        </m:r>
      </m:oMath>
      <w:r>
        <w:rPr>
          <w:rFonts w:ascii="宋体" w:hAnsi="宋体" w:eastAsia="宋体"/>
          <w:b w:val="0"/>
          <w:i w:val="0"/>
          <w:color w:val="000000"/>
          <w:sz w:val="21"/>
        </w:rPr>
        <w:t xml:space="preserve">（每棵树的准确率为 </w:t>
      </w:r>
      <m:oMath>
        <m:r>
          <m:t xml:space="preserve">p</m:t>
        </m:r>
      </m:oMath>
      <w:r>
        <w:rPr>
          <w:rFonts w:ascii="宋体" w:hAnsi="宋体" w:eastAsia="宋体"/>
          <w:b w:val="0"/>
          <w:i w:val="0"/>
          <w:color w:val="000000"/>
          <w:sz w:val="21"/>
        </w:rPr>
        <w:t>），多数投票集成后的准确率为：</w:t>
      </w:r>
    </w:p>
    <w:p>
      <w:pPr>
        <w:spacing w:line="360" w:lineRule="auto" w:before="200" w:after="200"/>
        <w:jc w:val="center"/>
      </w:pPr>
      <m:oMathPara>
        <m:oMath>
          <m:r>
            <m:t xml:space="preserve">P</m:t>
          </m:r>
          <m:r>
            <m:t xml:space="preserve">(</m:t>
          </m:r>
          <m:r>
            <m:t xml:space="preserve">majority correct</m:t>
          </m:r>
          <m:r>
            <m:t xml:space="preserve">)</m:t>
          </m:r>
          <m:r>
            <m:t xml:space="preserve">=</m:t>
          </m:r>
          <m:nary>
            <m:naryPr>
              <m:chr m:val="∑"/>
              <m:limLoc m:val="undOvr"/>
            </m:naryPr>
            <m:sub>
              <m:r>
                <m:t xml:space="preserve">k</m:t>
              </m:r>
              <m:r>
                <m:t xml:space="preserve">=</m:t>
              </m:r>
              <m:r>
                <m:t xml:space="preserve">⌈</m:t>
              </m:r>
              <m:r>
                <m:t xml:space="preserve">B</m:t>
              </m:r>
              <m:r>
                <m:t xml:space="preserve">/</m:t>
              </m:r>
              <m:r>
                <m:t xml:space="preserve">2</m:t>
              </m:r>
              <m:r>
                <m:t xml:space="preserve">⌉</m:t>
              </m:r>
            </m:sub>
            <m:sup>
              <m:r>
                <m:t xml:space="preserve">B</m:t>
              </m:r>
            </m:sup>
            <m:e>
              <m:r>
                <m:t/>
              </m:r>
            </m:e>
          </m:nary>
          <m:r>
            <m:t xml:space="preserve">(</m:t>
          </m:r>
          <m:f>
            <m:num>
              <m:r>
                <m:t xml:space="preserve">B</m:t>
              </m:r>
            </m:num>
            <m:den>
              <m:r>
                <m:t xml:space="preserve">k</m:t>
              </m:r>
            </m:den>
          </m:f>
          <m:r>
            <m:t xml:space="preserve">)</m:t>
          </m:r>
          <m:sSup>
            <m:e>
              <m:r>
                <m:t xml:space="preserve">p</m:t>
              </m:r>
            </m:e>
            <m:sup>
              <m:r>
                <m:t xml:space="preserve">k</m:t>
              </m:r>
            </m:sup>
          </m:sSup>
          <m:r>
            <m:t xml:space="preserve">(</m:t>
          </m:r>
          <m:r>
            <m:t xml:space="preserve">1</m:t>
          </m:r>
          <m:r>
            <m:t xml:space="preserve">−</m:t>
          </m:r>
          <m:r>
            <m:t xml:space="preserve">p</m:t>
          </m:r>
          <m:sSup>
            <m:e>
              <m:r>
                <m:t xml:space="preserve">)</m:t>
              </m:r>
            </m:e>
            <m:sup>
              <m:r>
                <m:t xml:space="preserve">B</m:t>
              </m:r>
              <m:r>
                <m:t xml:space="preserve">−</m:t>
              </m:r>
              <m:r>
                <m:t xml:space="preserve">k</m:t>
              </m:r>
            </m:sup>
          </m:sSup>
        </m:oMath>
      </m:oMathPara>
    </w:p>
    <w:p>
      <w:pPr>
        <w:spacing w:line="360" w:lineRule="auto" w:before="0" w:after="0"/>
        <w:ind w:firstLine="420"/>
        <w:jc w:val="both"/>
      </w:pPr>
      <w:r>
        <w:rPr>
          <w:rFonts w:ascii="宋体" w:hAnsi="宋体" w:eastAsia="宋体"/>
          <w:b w:val="0"/>
          <w:i w:val="0"/>
          <w:color w:val="000000"/>
          <w:sz w:val="21"/>
        </w:rPr>
        <w:t xml:space="preserve">当 </w:t>
      </w:r>
      <m:oMath>
        <m:r>
          <m:t xml:space="preserve">p</m:t>
        </m:r>
        <m:r>
          <m:t xml:space="preserve">&gt;</m:t>
        </m:r>
        <m:r>
          <m:t xml:space="preserve">0.5</m:t>
        </m:r>
      </m:oMath>
      <w:r>
        <w:rPr>
          <w:rFonts w:ascii="宋体" w:hAnsi="宋体" w:eastAsia="宋体"/>
          <w:b w:val="0"/>
          <w:i w:val="0"/>
          <w:color w:val="000000"/>
          <w:sz w:val="21"/>
        </w:rPr>
        <w:t xml:space="preserve"> 时，随着 </w:t>
      </w:r>
      <m:oMath>
        <m:r>
          <m:t xml:space="preserve">B</m:t>
        </m:r>
      </m:oMath>
      <w:r>
        <w:rPr>
          <w:rFonts w:ascii="宋体" w:hAnsi="宋体" w:eastAsia="宋体"/>
          <w:b w:val="0"/>
          <w:i w:val="0"/>
          <w:color w:val="000000"/>
          <w:sz w:val="21"/>
        </w:rPr>
        <w:t xml:space="preserve"> 的增大，多数投票的正确概率将趋近于 1。这就是著名的"弱学习器集成出强泛化能力"的理论保证。</w:t>
      </w:r>
    </w:p>
    <w:p>
      <w:pPr>
        <w:spacing w:line="360" w:lineRule="auto" w:before="0" w:after="0"/>
        <w:ind w:firstLine="420"/>
        <w:jc w:val="both"/>
      </w:pPr>
      <w:r>
        <w:rPr>
          <w:rFonts w:ascii="宋体" w:hAnsi="宋体" w:eastAsia="宋体"/>
          <w:b w:val="0"/>
          <w:i w:val="0"/>
          <w:color w:val="000000"/>
          <w:sz w:val="21"/>
        </w:rPr>
        <w:t>随机森林在金融量化场景中具有独特的应用价值：其一，OOB 估计提供了免费的交叉验证替代方案，无需额外留出验证集；其二，基于特征重要性的排序结果可用于金融因子筛选和高维特征降维；其三，对异常值和噪声具有较强的鲁棒性，适合处理金融数据中常见的离群点和缺失值问题。</w:t>
      </w:r>
    </w:p>
    <w:p>
      <w:pPr>
        <w:spacing w:line="360" w:lineRule="auto" w:before="120" w:after="120"/>
        <w:jc w:val="left"/>
      </w:pPr>
      <w:r>
        <w:rPr>
          <w:rFonts w:ascii="宋体" w:hAnsi="宋体" w:eastAsia="宋体"/>
          <w:b/>
          <w:i w:val="0"/>
          <w:color w:val="000000"/>
          <w:sz w:val="28"/>
        </w:rPr>
        <w:t>2. 模型评估指标解析</w:t>
      </w:r>
    </w:p>
    <w:p>
      <w:pPr>
        <w:spacing w:line="360" w:lineRule="auto" w:before="0" w:after="0"/>
        <w:ind w:firstLine="420"/>
        <w:jc w:val="both"/>
      </w:pPr>
      <w:r>
        <w:rPr>
          <w:rFonts w:ascii="宋体" w:hAnsi="宋体" w:eastAsia="宋体"/>
          <w:b w:val="0"/>
          <w:i w:val="0"/>
          <w:color w:val="000000"/>
          <w:sz w:val="21"/>
        </w:rPr>
        <w:t>在二分类问题中，单一准确率指标往往无法全面反映模型性能——特别是在正负类样本严重不平衡的场景下（如欺诈检测中正常交易占绝大多数）。因此需要引入混淆矩阵、精确率/召回率/F1 分数以及 ROC/AUC 等更精细的评估工具。</w:t>
      </w:r>
    </w:p>
    <w:p>
      <w:pPr>
        <w:spacing w:line="360" w:lineRule="auto" w:before="120" w:after="120"/>
        <w:jc w:val="left"/>
      </w:pPr>
      <w:r>
        <w:rPr>
          <w:rFonts w:ascii="宋体" w:hAnsi="宋体" w:eastAsia="宋体"/>
          <w:b/>
          <w:i w:val="0"/>
          <w:color w:val="000000"/>
          <w:sz w:val="24"/>
        </w:rPr>
        <w:t>2.1 混淆矩阵（Confusion Matrix）</w:t>
      </w:r>
    </w:p>
    <w:p>
      <w:pPr>
        <w:spacing w:line="360" w:lineRule="auto" w:before="0" w:after="0"/>
        <w:ind w:firstLine="420"/>
        <w:jc w:val="both"/>
      </w:pPr>
      <w:r>
        <w:rPr>
          <w:rFonts w:ascii="宋体" w:hAnsi="宋体" w:eastAsia="宋体"/>
          <w:b w:val="0"/>
          <w:i w:val="0"/>
          <w:color w:val="000000"/>
          <w:sz w:val="21"/>
        </w:rPr>
        <w:t xml:space="preserve">混淆矩阵是一个 </w:t>
      </w:r>
      <m:oMath>
        <m:r>
          <m:t xml:space="preserve">2</m:t>
        </m:r>
        <m:r>
          <m:t xml:space="preserve">×</m:t>
        </m:r>
        <m:r>
          <m:t xml:space="preserve">2</m:t>
        </m:r>
      </m:oMath>
      <w:r>
        <w:rPr>
          <w:rFonts w:ascii="宋体" w:hAnsi="宋体" w:eastAsia="宋体"/>
          <w:b w:val="0"/>
          <w:i w:val="0"/>
          <w:color w:val="000000"/>
          <w:sz w:val="21"/>
        </w:rPr>
        <w:t xml:space="preserve"> 的表格，系统性地记录了模型预测结果与真实标签之间的对应关系：</w:t>
      </w:r>
    </w:p>
    <w:tbl>
      <w:tblPr>
        <w:tblStyle w:val="TableGrid"/>
        <w:tblW w:type="auto" w:w="9072"/>
        <w:jc w:val="center"/>
        <w:tblLook w:firstColumn="1" w:firstRow="1" w:lastColumn="0" w:lastRow="0" w:noHBand="0" w:noVBand="1" w:val="04A0"/>
      </w:tblPr>
      <w:tblGrid>
        <w:gridCol w:w="3024"/>
        <w:gridCol w:w="3024"/>
        <w:gridCol w:w="3024"/>
      </w:tblGrid>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预测为负类 (0)</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预测为正类 (1)</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真实为负类 (0)</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TN（真阴性）</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FP（假阳性）</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真实为正类 (1)</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FN（假阴性）</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TP（真阳性）</w:t>
            </w:r>
          </w:p>
        </w:tc>
      </w:tr>
    </w:tbl>
    <w:p/>
    <w:p>
      <w:pPr>
        <w:spacing w:line="360" w:lineRule="auto" w:before="0" w:after="0"/>
        <w:ind w:firstLine="420"/>
        <w:jc w:val="both"/>
      </w:pPr>
      <w:r>
        <w:rPr>
          <w:rFonts w:ascii="宋体" w:hAnsi="宋体" w:eastAsia="宋体"/>
          <w:b w:val="0"/>
          <w:i w:val="0"/>
          <w:color w:val="000000"/>
          <w:sz w:val="21"/>
        </w:rPr>
        <w:t>四个象限的含义如下：</w:t>
      </w:r>
    </w:p>
    <w:p>
      <w:pPr>
        <w:spacing w:line="360" w:lineRule="auto" w:before="0" w:after="0"/>
        <w:ind w:firstLine="420"/>
        <w:jc w:val="both"/>
      </w:pPr>
      <w:r>
        <w:rPr>
          <w:rFonts w:ascii="宋体" w:hAnsi="宋体" w:eastAsia="宋体"/>
          <w:b w:val="0"/>
          <w:i w:val="0"/>
          <w:color w:val="000000"/>
          <w:sz w:val="21"/>
        </w:rPr>
        <w:t>- TP（True Positive）：实际为正类且被正确预测为正类的样本数——例如信用评估中将违约客户正确标记为高风险。</w:t>
      </w:r>
    </w:p>
    <w:p>
      <w:pPr>
        <w:spacing w:line="360" w:lineRule="auto" w:before="0" w:after="0"/>
        <w:ind w:firstLine="420"/>
        <w:jc w:val="both"/>
      </w:pPr>
      <w:r>
        <w:rPr>
          <w:rFonts w:ascii="宋体" w:hAnsi="宋体" w:eastAsia="宋体"/>
          <w:b w:val="0"/>
          <w:i w:val="0"/>
          <w:color w:val="000000"/>
          <w:sz w:val="21"/>
        </w:rPr>
        <w:t>- TN（True Negative）：实际为负类且被正确预测为负类的样本数——将正常客户正确识别为低风险。</w:t>
      </w:r>
    </w:p>
    <w:p>
      <w:pPr>
        <w:spacing w:line="360" w:lineRule="auto" w:before="0" w:after="0"/>
        <w:ind w:firstLine="420"/>
        <w:jc w:val="both"/>
      </w:pPr>
      <w:r>
        <w:rPr>
          <w:rFonts w:ascii="宋体" w:hAnsi="宋体" w:eastAsia="宋体"/>
          <w:b w:val="0"/>
          <w:i w:val="0"/>
          <w:color w:val="000000"/>
          <w:sz w:val="21"/>
        </w:rPr>
        <w:t>- FP（False Positive）：实际为负类但被错误预测为正类的样本数——将正常客户误判为违约者（又称第一类错误、Type-I Error）。在金融风控场景中，这意味着拒绝了本应获批的正常客户，造成业务机会损失。</w:t>
      </w:r>
    </w:p>
    <w:p>
      <w:pPr>
        <w:spacing w:line="360" w:lineRule="auto" w:before="0" w:after="0"/>
        <w:ind w:firstLine="420"/>
        <w:jc w:val="both"/>
      </w:pPr>
      <w:r>
        <w:rPr>
          <w:rFonts w:ascii="宋体" w:hAnsi="宋体" w:eastAsia="宋体"/>
          <w:b w:val="0"/>
          <w:i w:val="0"/>
          <w:color w:val="000000"/>
          <w:sz w:val="21"/>
        </w:rPr>
        <w:t>- FN（False Negative）：实际为正类但被错误预测为负类的样本数——将违约客户漏判为正常（又称第二类错误、Type-II Error）。这可能导致银行承担坏账损失，通常代价远高于 FP。</w:t>
      </w:r>
    </w:p>
    <w:p>
      <w:pPr>
        <w:spacing w:line="360" w:lineRule="auto" w:before="0" w:after="0"/>
        <w:ind w:firstLine="420"/>
        <w:jc w:val="both"/>
      </w:pPr>
      <w:r>
        <w:rPr>
          <w:rFonts w:ascii="宋体" w:hAnsi="宋体" w:eastAsia="宋体"/>
          <w:b w:val="0"/>
          <w:i w:val="0"/>
          <w:color w:val="000000"/>
          <w:sz w:val="21"/>
        </w:rPr>
        <w:t>基于混淆矩阵可以派生出多个衍生指标：</w:t>
      </w:r>
    </w:p>
    <w:p>
      <w:pPr>
        <w:spacing w:line="360" w:lineRule="auto" w:before="0" w:after="0"/>
        <w:ind w:firstLine="420"/>
        <w:jc w:val="both"/>
      </w:pPr>
      <w:r>
        <w:rPr>
          <w:rFonts w:ascii="宋体" w:hAnsi="宋体" w:eastAsia="宋体"/>
          <w:b w:val="0"/>
          <w:i w:val="0"/>
          <w:color w:val="000000"/>
          <w:sz w:val="21"/>
        </w:rPr>
        <w:t xml:space="preserve">- 准确率 Accuracy = </w:t>
      </w:r>
      <m:oMath>
        <m:r>
          <m:t xml:space="preserve">(</m:t>
        </m:r>
        <m:r>
          <m:t xml:space="preserve">T</m:t>
        </m:r>
        <m:r>
          <m:t xml:space="preserve">P</m:t>
        </m:r>
        <m:r>
          <m:t xml:space="preserve">+</m:t>
        </m:r>
        <m:r>
          <m:t xml:space="preserve">T</m:t>
        </m:r>
        <m:r>
          <m:t xml:space="preserve">N</m:t>
        </m:r>
        <m:r>
          <m:t xml:space="preserve">)</m:t>
        </m:r>
        <m:r>
          <m:t xml:space="preserve">/</m:t>
        </m:r>
        <m:r>
          <m:t xml:space="preserve">(</m:t>
        </m:r>
        <m:r>
          <m:t xml:space="preserve">T</m:t>
        </m:r>
        <m:r>
          <m:t xml:space="preserve">P</m:t>
        </m:r>
        <m:r>
          <m:t xml:space="preserve">+</m:t>
        </m:r>
        <m:r>
          <m:t xml:space="preserve">T</m:t>
        </m:r>
        <m:r>
          <m:t xml:space="preserve">N</m:t>
        </m:r>
        <m:r>
          <m:t xml:space="preserve">+</m:t>
        </m:r>
        <m:r>
          <m:t xml:space="preserve">F</m:t>
        </m:r>
        <m:r>
          <m:t xml:space="preserve">P</m:t>
        </m:r>
        <m:r>
          <m:t xml:space="preserve">+</m:t>
        </m:r>
        <m:r>
          <m:t xml:space="preserve">F</m:t>
        </m:r>
        <m:r>
          <m:t xml:space="preserve">N</m:t>
        </m:r>
        <m:r>
          <m:t xml:space="preserve">)</m:t>
        </m:r>
      </m:oMath>
      <w:r>
        <w:rPr>
          <w:rFonts w:ascii="宋体" w:hAnsi="宋体" w:eastAsia="宋体"/>
          <w:b w:val="0"/>
          <w:i w:val="0"/>
          <w:color w:val="000000"/>
          <w:sz w:val="21"/>
        </w:rPr>
        <w:t xml:space="preserve"> —— 全局预测正确的比例</w:t>
      </w:r>
    </w:p>
    <w:p>
      <w:pPr>
        <w:spacing w:line="360" w:lineRule="auto" w:before="0" w:after="0"/>
        <w:ind w:firstLine="420"/>
        <w:jc w:val="both"/>
      </w:pPr>
      <w:r>
        <w:rPr>
          <w:rFonts w:ascii="宋体" w:hAnsi="宋体" w:eastAsia="宋体"/>
          <w:b w:val="0"/>
          <w:i w:val="0"/>
          <w:color w:val="000000"/>
          <w:sz w:val="21"/>
        </w:rPr>
        <w:t xml:space="preserve">- 精确率 Precision = </w:t>
      </w:r>
      <m:oMath>
        <m:r>
          <m:t xml:space="preserve">T</m:t>
        </m:r>
        <m:r>
          <m:t xml:space="preserve">P</m:t>
        </m:r>
        <m:r>
          <m:t xml:space="preserve">/</m:t>
        </m:r>
        <m:r>
          <m:t xml:space="preserve">(</m:t>
        </m:r>
        <m:r>
          <m:t xml:space="preserve">T</m:t>
        </m:r>
        <m:r>
          <m:t xml:space="preserve">P</m:t>
        </m:r>
        <m:r>
          <m:t xml:space="preserve">+</m:t>
        </m:r>
        <m:r>
          <m:t xml:space="preserve">F</m:t>
        </m:r>
        <m:r>
          <m:t xml:space="preserve">P</m:t>
        </m:r>
        <m:r>
          <m:t xml:space="preserve">)</m:t>
        </m:r>
      </m:oMath>
      <w:r>
        <w:rPr>
          <w:rFonts w:ascii="宋体" w:hAnsi="宋体" w:eastAsia="宋体"/>
          <w:b w:val="0"/>
          <w:i w:val="0"/>
          <w:color w:val="000000"/>
          <w:sz w:val="21"/>
        </w:rPr>
        <w:t xml:space="preserve"> —— 在预测为正类的样本中真正为正类的比例</w:t>
      </w:r>
    </w:p>
    <w:p>
      <w:pPr>
        <w:spacing w:line="360" w:lineRule="auto" w:before="0" w:after="0"/>
        <w:ind w:firstLine="420"/>
        <w:jc w:val="both"/>
      </w:pPr>
      <w:r>
        <w:rPr>
          <w:rFonts w:ascii="宋体" w:hAnsi="宋体" w:eastAsia="宋体"/>
          <w:b w:val="0"/>
          <w:i w:val="0"/>
          <w:color w:val="000000"/>
          <w:sz w:val="21"/>
        </w:rPr>
        <w:t xml:space="preserve">- 召回率 Recall / TPR = </w:t>
      </w:r>
      <m:oMath>
        <m:r>
          <m:t xml:space="preserve">T</m:t>
        </m:r>
        <m:r>
          <m:t xml:space="preserve">P</m:t>
        </m:r>
        <m:r>
          <m:t xml:space="preserve">/</m:t>
        </m:r>
        <m:r>
          <m:t xml:space="preserve">(</m:t>
        </m:r>
        <m:r>
          <m:t xml:space="preserve">T</m:t>
        </m:r>
        <m:r>
          <m:t xml:space="preserve">P</m:t>
        </m:r>
        <m:r>
          <m:t xml:space="preserve">+</m:t>
        </m:r>
        <m:r>
          <m:t xml:space="preserve">F</m:t>
        </m:r>
        <m:r>
          <m:t xml:space="preserve">N</m:t>
        </m:r>
        <m:r>
          <m:t xml:space="preserve">)</m:t>
        </m:r>
      </m:oMath>
      <w:r>
        <w:rPr>
          <w:rFonts w:ascii="宋体" w:hAnsi="宋体" w:eastAsia="宋体"/>
          <w:b w:val="0"/>
          <w:i w:val="0"/>
          <w:color w:val="000000"/>
          <w:sz w:val="21"/>
        </w:rPr>
        <w:t xml:space="preserve"> —— 实际为正类的样本中被成功检出的比例</w:t>
      </w:r>
    </w:p>
    <w:p>
      <w:pPr>
        <w:spacing w:line="360" w:lineRule="auto" w:before="0" w:after="0"/>
        <w:ind w:firstLine="420"/>
        <w:jc w:val="both"/>
      </w:pPr>
      <w:r>
        <w:rPr>
          <w:rFonts w:ascii="宋体" w:hAnsi="宋体" w:eastAsia="宋体"/>
          <w:b w:val="0"/>
          <w:i w:val="0"/>
          <w:color w:val="000000"/>
          <w:sz w:val="21"/>
        </w:rPr>
        <w:t xml:space="preserve">- F1 分数 = </w:t>
      </w:r>
      <m:oMath>
        <m:r>
          <m:t xml:space="preserve">2</m:t>
        </m:r>
        <m:r>
          <m:t xml:space="preserve">·</m:t>
        </m:r>
        <m:r>
          <m:t xml:space="preserve">P</m:t>
        </m:r>
        <m:r>
          <m:t xml:space="preserve">·</m:t>
        </m:r>
        <m:r>
          <m:t xml:space="preserve">R</m:t>
        </m:r>
        <m:r>
          <m:t xml:space="preserve">/</m:t>
        </m:r>
        <m:r>
          <m:t xml:space="preserve">(</m:t>
        </m:r>
        <m:r>
          <m:t xml:space="preserve">P</m:t>
        </m:r>
        <m:r>
          <m:t xml:space="preserve">+</m:t>
        </m:r>
        <m:r>
          <m:t xml:space="preserve">R</m:t>
        </m:r>
        <m:r>
          <m:t xml:space="preserve">)</m:t>
        </m:r>
      </m:oMath>
      <w:r>
        <w:rPr>
          <w:rFonts w:ascii="宋体" w:hAnsi="宋体" w:eastAsia="宋体"/>
          <w:b w:val="0"/>
          <w:i w:val="0"/>
          <w:color w:val="000000"/>
          <w:sz w:val="21"/>
        </w:rPr>
        <w:t xml:space="preserve"> —— 精确率和召回率的调和平均值</w:t>
      </w:r>
    </w:p>
    <w:p>
      <w:pPr>
        <w:spacing w:line="360" w:lineRule="auto" w:before="120" w:after="120"/>
        <w:jc w:val="left"/>
      </w:pPr>
      <w:r>
        <w:rPr>
          <w:rFonts w:ascii="宋体" w:hAnsi="宋体" w:eastAsia="宋体"/>
          <w:b/>
          <w:i w:val="0"/>
          <w:color w:val="000000"/>
          <w:sz w:val="24"/>
        </w:rPr>
        <w:t>2.2 AUC（Area Under Curve）</w:t>
      </w:r>
    </w:p>
    <w:p>
      <w:pPr>
        <w:spacing w:line="360" w:lineRule="auto" w:before="0" w:after="0"/>
        <w:ind w:firstLine="420"/>
        <w:jc w:val="both"/>
      </w:pPr>
      <w:r>
        <w:rPr>
          <w:rFonts w:ascii="宋体" w:hAnsi="宋体" w:eastAsia="宋体"/>
          <w:b w:val="0"/>
          <w:i w:val="0"/>
          <w:color w:val="000000"/>
          <w:sz w:val="21"/>
        </w:rPr>
        <w:t>AUC 是 ROC 曲线下面积（Area Under the Receiver Operating Characteristic Curve）的缩写。它是一个介于 0 到 1 之间的标量指标，衡量的是模型在不同分类阈值下的整体区分能力。AUC 的核心优势在于它是阈值无关（threshold-independent）的——不依赖于具体的决策截断值，因此能更稳定地反映模型本身的鉴别质量。</w:t>
      </w:r>
    </w:p>
    <w:p>
      <w:pPr>
        <w:spacing w:line="360" w:lineRule="auto" w:before="0" w:after="0"/>
        <w:ind w:firstLine="420"/>
        <w:jc w:val="both"/>
      </w:pPr>
      <w:r>
        <w:rPr>
          <w:rFonts w:ascii="宋体" w:hAnsi="宋体" w:eastAsia="宋体"/>
          <w:b w:val="0"/>
          <w:i w:val="0"/>
          <w:color w:val="000000"/>
          <w:sz w:val="21"/>
        </w:rPr>
        <w:t>AUC 具有一个直观的概率解释：若从正类样本集中随机抽取一个样本，从负类样本集中也随机抽取一个样本，则 AUC 值恰好等于"模型给正类样本打出的分数高于负类样本"的概率。换言之：</w:t>
      </w:r>
    </w:p>
    <w:p>
      <w:pPr>
        <w:spacing w:line="360" w:lineRule="auto" w:before="200" w:after="200"/>
        <w:jc w:val="center"/>
      </w:pPr>
      <m:oMathPara>
        <m:oMath>
          <m:r>
            <m:t xml:space="preserve">AUC</m:t>
          </m:r>
          <m:r>
            <m:t xml:space="preserve">=</m:t>
          </m:r>
          <m:r>
            <m:t xml:space="preserve">P</m:t>
          </m:r>
          <m:r>
            <m:t xml:space="preserve">(</m:t>
          </m:r>
          <m:r>
            <m:t xml:space="preserve">f</m:t>
          </m:r>
          <m:r>
            <m:t xml:space="preserve">(</m:t>
          </m:r>
          <m:sSub>
            <m:e>
              <m:r>
                <m:t xml:space="preserve">𝐱</m:t>
              </m:r>
            </m:e>
            <m:sub>
              <m:r>
                <m:t xml:space="preserve">pos</m:t>
              </m:r>
            </m:sub>
          </m:sSub>
          <m:r>
            <m:t xml:space="preserve">)</m:t>
          </m:r>
          <m:r>
            <m:t xml:space="preserve">&gt;</m:t>
          </m:r>
          <m:r>
            <m:t xml:space="preserve">f</m:t>
          </m:r>
          <m:r>
            <m:t xml:space="preserve">(</m:t>
          </m:r>
          <m:sSub>
            <m:e>
              <m:r>
                <m:t xml:space="preserve">𝐱</m:t>
              </m:r>
            </m:e>
            <m:sub>
              <m:r>
                <m:t xml:space="preserve">neg</m:t>
              </m:r>
            </m:sub>
          </m:sSub>
          <m:r>
            <m:t xml:space="preserve">)</m:t>
          </m:r>
          <m:r>
            <m:t xml:space="preserve">)</m:t>
          </m:r>
        </m:oMath>
      </m:oMathPara>
    </w:p>
    <w:p>
      <w:pPr>
        <w:spacing w:line="360" w:lineRule="auto" w:before="0" w:after="0"/>
        <w:ind w:firstLine="420"/>
        <w:jc w:val="both"/>
      </w:pPr>
      <w:r>
        <w:rPr>
          <w:rFonts w:ascii="宋体" w:hAnsi="宋体" w:eastAsia="宋体"/>
          <w:b w:val="0"/>
          <w:i w:val="0"/>
          <w:color w:val="000000"/>
          <w:sz w:val="21"/>
        </w:rPr>
        <w:t>AUC 的判定标准如下：</w:t>
      </w:r>
      <m:oMath>
        <m:r>
          <m:t xml:space="preserve">A</m:t>
        </m:r>
        <m:r>
          <m:t xml:space="preserve">U</m:t>
        </m:r>
        <m:r>
          <m:t xml:space="preserve">C</m:t>
        </m:r>
        <m:r>
          <m:t xml:space="preserve">=</m:t>
        </m:r>
        <m:r>
          <m:t xml:space="preserve">0.5</m:t>
        </m:r>
      </m:oMath>
      <w:r>
        <w:rPr>
          <w:rFonts w:ascii="宋体" w:hAnsi="宋体" w:eastAsia="宋体"/>
          <w:b w:val="0"/>
          <w:i w:val="0"/>
          <w:color w:val="000000"/>
          <w:sz w:val="21"/>
        </w:rPr>
        <w:t xml:space="preserve"> 表示模型等同于随机猜测；</w:t>
      </w:r>
      <m:oMath>
        <m:r>
          <m:t xml:space="preserve">0.5</m:t>
        </m:r>
        <m:r>
          <m:t xml:space="preserve">&lt;</m:t>
        </m:r>
        <m:r>
          <m:t xml:space="preserve">A</m:t>
        </m:r>
        <m:r>
          <m:t xml:space="preserve">U</m:t>
        </m:r>
        <m:r>
          <m:t xml:space="preserve">C</m:t>
        </m:r>
        <m:r>
          <m:t xml:space="preserve">&lt;</m:t>
        </m:r>
        <m:r>
          <m:t xml:space="preserve">0.7</m:t>
        </m:r>
      </m:oMath>
      <w:r>
        <w:rPr>
          <w:rFonts w:ascii="宋体" w:hAnsi="宋体" w:eastAsia="宋体"/>
          <w:b w:val="0"/>
          <w:i w:val="0"/>
          <w:color w:val="000000"/>
          <w:sz w:val="21"/>
        </w:rPr>
        <w:t xml:space="preserve"> 表示模型具有一定区分力但较弱；</w:t>
      </w:r>
      <m:oMath>
        <m:r>
          <m:t xml:space="preserve">0.7</m:t>
        </m:r>
        <m:r>
          <m:t xml:space="preserve">≤</m:t>
        </m:r>
        <m:r>
          <m:t xml:space="preserve">A</m:t>
        </m:r>
        <m:r>
          <m:t xml:space="preserve">U</m:t>
        </m:r>
        <m:r>
          <m:t xml:space="preserve">C</m:t>
        </m:r>
        <m:r>
          <m:t xml:space="preserve">&lt;</m:t>
        </m:r>
        <m:r>
          <m:t xml:space="preserve">0.9</m:t>
        </m:r>
      </m:oMath>
      <w:r>
        <w:rPr>
          <w:rFonts w:ascii="宋体" w:hAnsi="宋体" w:eastAsia="宋体"/>
          <w:b w:val="0"/>
          <w:i w:val="0"/>
          <w:color w:val="000000"/>
          <w:sz w:val="21"/>
        </w:rPr>
        <w:t xml:space="preserve"> 表示模型具有良好的区分能力；</w:t>
      </w:r>
      <m:oMath>
        <m:r>
          <m:t xml:space="preserve">A</m:t>
        </m:r>
        <m:r>
          <m:t xml:space="preserve">U</m:t>
        </m:r>
        <m:r>
          <m:t xml:space="preserve">C</m:t>
        </m:r>
        <m:r>
          <m:t xml:space="preserve">≥</m:t>
        </m:r>
        <m:r>
          <m:t xml:space="preserve">0.9</m:t>
        </m:r>
      </m:oMath>
      <w:r>
        <w:rPr>
          <w:rFonts w:ascii="宋体" w:hAnsi="宋体" w:eastAsia="宋体"/>
          <w:b w:val="0"/>
          <w:i w:val="0"/>
          <w:color w:val="000000"/>
          <w:sz w:val="21"/>
        </w:rPr>
        <w:t xml:space="preserve"> 表示模型区分力优异。在实际金融风控系统中，通常要求 AUC 达到 0.75 以上方可投入生产环境。</w:t>
      </w:r>
    </w:p>
    <w:p>
      <w:pPr>
        <w:spacing w:line="360" w:lineRule="auto" w:before="120" w:after="120"/>
        <w:jc w:val="left"/>
      </w:pPr>
      <w:r>
        <w:rPr>
          <w:rFonts w:ascii="宋体" w:hAnsi="宋体" w:eastAsia="宋体"/>
          <w:b/>
          <w:i w:val="0"/>
          <w:color w:val="000000"/>
          <w:sz w:val="24"/>
        </w:rPr>
        <w:t>2.3 ROC 曲线（Receiver Operating Characteristic）</w:t>
      </w:r>
    </w:p>
    <w:p>
      <w:pPr>
        <w:spacing w:line="360" w:lineRule="auto" w:before="0" w:after="0"/>
        <w:ind w:firstLine="420"/>
        <w:jc w:val="both"/>
      </w:pPr>
      <w:r>
        <w:rPr>
          <w:rFonts w:ascii="宋体" w:hAnsi="宋体" w:eastAsia="宋体"/>
          <w:b w:val="0"/>
          <w:i w:val="0"/>
          <w:color w:val="000000"/>
          <w:sz w:val="21"/>
        </w:rPr>
        <w:t>ROC 曲线是以假正率 FPR 为横轴、真正率 TPR 为纵轴绘制的二维曲线，描述了模型在不同分类阈值下的灵敏度和特异度权衡关系。具体绘制过程如下：</w:t>
      </w:r>
    </w:p>
    <w:p>
      <w:pPr>
        <w:spacing w:line="360" w:lineRule="auto" w:before="0" w:after="0"/>
        <w:ind w:firstLine="420"/>
        <w:jc w:val="both"/>
      </w:pPr>
      <w:r>
        <w:rPr>
          <w:rFonts w:ascii="宋体" w:hAnsi="宋体" w:eastAsia="宋体"/>
          <w:b w:val="0"/>
          <w:i w:val="0"/>
          <w:color w:val="000000"/>
          <w:sz w:val="21"/>
        </w:rPr>
        <w:t>1. 将模型输出的概率得分按降序排列作为候选阈值序列。</w:t>
      </w:r>
    </w:p>
    <w:p>
      <w:pPr>
        <w:spacing w:line="360" w:lineRule="auto" w:before="0" w:after="0"/>
        <w:ind w:firstLine="420"/>
        <w:jc w:val="both"/>
      </w:pPr>
      <w:r>
        <w:rPr>
          <w:rFonts w:ascii="宋体" w:hAnsi="宋体" w:eastAsia="宋体"/>
          <w:b w:val="0"/>
          <w:i w:val="0"/>
          <w:color w:val="000000"/>
          <w:sz w:val="21"/>
        </w:rPr>
        <w:t xml:space="preserve">2. 对于每一个阈值 </w:t>
      </w:r>
      <m:oMath>
        <m:r>
          <m:t xml:space="preserve">τ</m:t>
        </m:r>
      </m:oMath>
      <w:r>
        <w:rPr>
          <w:rFonts w:ascii="宋体" w:hAnsi="宋体" w:eastAsia="宋体"/>
          <w:b w:val="0"/>
          <w:i w:val="0"/>
          <w:color w:val="000000"/>
          <w:sz w:val="21"/>
        </w:rPr>
        <w:t xml:space="preserve">，将得分 </w:t>
      </w:r>
      <m:oMath>
        <m:r>
          <m:t xml:space="preserve">≥</m:t>
        </m:r>
        <m:r>
          <m:t xml:space="preserve">τ</m:t>
        </m:r>
      </m:oMath>
      <w:r>
        <w:rPr>
          <w:rFonts w:ascii="宋体" w:hAnsi="宋体" w:eastAsia="宋体"/>
          <w:b w:val="0"/>
          <w:i w:val="0"/>
          <w:color w:val="000000"/>
          <w:sz w:val="21"/>
        </w:rPr>
        <w:t xml:space="preserve"> 的样本预测为正类，其余预测为负类。</w:t>
      </w:r>
    </w:p>
    <w:p>
      <w:pPr>
        <w:spacing w:line="360" w:lineRule="auto" w:before="0" w:after="0"/>
        <w:ind w:firstLine="420"/>
        <w:jc w:val="both"/>
      </w:pPr>
      <w:r>
        <w:rPr>
          <w:rFonts w:ascii="宋体" w:hAnsi="宋体" w:eastAsia="宋体"/>
          <w:b w:val="0"/>
          <w:i w:val="0"/>
          <w:color w:val="000000"/>
          <w:sz w:val="21"/>
        </w:rPr>
        <w:t xml:space="preserve">3. 计算对应的 </w:t>
      </w:r>
      <m:oMath>
        <m:r>
          <m:t xml:space="preserve">(</m:t>
        </m:r>
        <m:r>
          <m:t xml:space="preserve">F</m:t>
        </m:r>
        <m:r>
          <m:t xml:space="preserve">P</m:t>
        </m:r>
        <m:r>
          <m:t xml:space="preserve">R</m:t>
        </m:r>
        <m:r>
          <m:t xml:space="preserve">,</m:t>
        </m:r>
        <m:r>
          <m:t xml:space="preserve">T</m:t>
        </m:r>
        <m:r>
          <m:t xml:space="preserve">P</m:t>
        </m:r>
        <m:r>
          <m:t xml:space="preserve">R</m:t>
        </m:r>
        <m:r>
          <m:t xml:space="preserve">)</m:t>
        </m:r>
      </m:oMath>
      <w:r>
        <w:rPr>
          <w:rFonts w:ascii="宋体" w:hAnsi="宋体" w:eastAsia="宋体"/>
          <w:b w:val="0"/>
          <w:i w:val="0"/>
          <w:color w:val="000000"/>
          <w:sz w:val="21"/>
        </w:rPr>
        <w:t xml:space="preserve"> 坐标点并在坐标系中标出。</w:t>
      </w:r>
    </w:p>
    <w:p>
      <w:pPr>
        <w:spacing w:line="360" w:lineRule="auto" w:before="0" w:after="0"/>
        <w:ind w:firstLine="420"/>
        <w:jc w:val="both"/>
      </w:pPr>
      <w:r>
        <w:rPr>
          <w:rFonts w:ascii="宋体" w:hAnsi="宋体" w:eastAsia="宋体"/>
          <w:b w:val="0"/>
          <w:i w:val="0"/>
          <w:color w:val="000000"/>
          <w:sz w:val="21"/>
        </w:rPr>
        <w:t>4. 将所有坐标点依次连接形成 ROC 曲线。</w:t>
      </w:r>
    </w:p>
    <w:p>
      <w:pPr>
        <w:spacing w:line="360" w:lineRule="auto" w:before="0" w:after="0"/>
        <w:ind w:firstLine="420"/>
        <w:jc w:val="both"/>
      </w:pPr>
      <w:r>
        <w:rPr>
          <w:rFonts w:ascii="宋体" w:hAnsi="宋体" w:eastAsia="宋体"/>
          <w:b w:val="0"/>
          <w:i w:val="0"/>
          <w:color w:val="000000"/>
          <w:sz w:val="21"/>
        </w:rPr>
        <w:t>其中 FPR 和 TPR 的定义为：</w:t>
      </w:r>
    </w:p>
    <w:p>
      <w:pPr>
        <w:spacing w:line="360" w:lineRule="auto" w:before="200" w:after="200"/>
        <w:jc w:val="center"/>
      </w:pPr>
      <m:oMathPara>
        <m:oMath>
          <m:r>
            <m:t xml:space="preserve">TPR</m:t>
          </m:r>
          <m:r>
            <m:t xml:space="preserve">(</m:t>
          </m:r>
          <m:r>
            <m:t xml:space="preserve">τ</m:t>
          </m:r>
          <m:r>
            <m:t xml:space="preserve">)</m:t>
          </m:r>
          <m:r>
            <m:t xml:space="preserve">=</m:t>
          </m:r>
          <m:f>
            <m:num>
              <m:r>
                <m:t xml:space="preserve">TP</m:t>
              </m:r>
              <m:r>
                <m:t xml:space="preserve">(</m:t>
              </m:r>
              <m:r>
                <m:t xml:space="preserve">τ</m:t>
              </m:r>
              <m:r>
                <m:t xml:space="preserve">)</m:t>
              </m:r>
            </m:num>
            <m:den>
              <m:r>
                <m:t xml:space="preserve">TP</m:t>
              </m:r>
              <m:r>
                <m:t xml:space="preserve">(</m:t>
              </m:r>
              <m:r>
                <m:t xml:space="preserve">τ</m:t>
              </m:r>
              <m:r>
                <m:t xml:space="preserve">)</m:t>
              </m:r>
              <m:r>
                <m:t xml:space="preserve">+</m:t>
              </m:r>
              <m:r>
                <m:t xml:space="preserve">FN</m:t>
              </m:r>
              <m:r>
                <m:t xml:space="preserve">(</m:t>
              </m:r>
              <m:r>
                <m:t xml:space="preserve">τ</m:t>
              </m:r>
              <m:r>
                <m:t xml:space="preserve">)</m:t>
              </m:r>
            </m:den>
          </m:f>
          <m:r>
            <m:t xml:space="preserve">,</m:t>
          </m:r>
          <m:r>
            <m:t xml:space="preserve"> </m:t>
          </m:r>
          <m:r>
            <m:t xml:space="preserve">FPR</m:t>
          </m:r>
          <m:r>
            <m:t xml:space="preserve">(</m:t>
          </m:r>
          <m:r>
            <m:t xml:space="preserve">τ</m:t>
          </m:r>
          <m:r>
            <m:t xml:space="preserve">)</m:t>
          </m:r>
          <m:r>
            <m:t xml:space="preserve">=</m:t>
          </m:r>
          <m:f>
            <m:num>
              <m:r>
                <m:t xml:space="preserve">FP</m:t>
              </m:r>
              <m:r>
                <m:t xml:space="preserve">(</m:t>
              </m:r>
              <m:r>
                <m:t xml:space="preserve">τ</m:t>
              </m:r>
              <m:r>
                <m:t xml:space="preserve">)</m:t>
              </m:r>
            </m:num>
            <m:den>
              <m:r>
                <m:t xml:space="preserve">FP</m:t>
              </m:r>
              <m:r>
                <m:t xml:space="preserve">(</m:t>
              </m:r>
              <m:r>
                <m:t xml:space="preserve">τ</m:t>
              </m:r>
              <m:r>
                <m:t xml:space="preserve">)</m:t>
              </m:r>
              <m:r>
                <m:t xml:space="preserve">+</m:t>
              </m:r>
              <m:r>
                <m:t xml:space="preserve">TN</m:t>
              </m:r>
              <m:r>
                <m:t xml:space="preserve">(</m:t>
              </m:r>
              <m:r>
                <m:t xml:space="preserve">τ</m:t>
              </m:r>
              <m:r>
                <m:t xml:space="preserve">)</m:t>
              </m:r>
            </m:den>
          </m:f>
        </m:oMath>
      </m:oMathPara>
    </w:p>
    <w:p>
      <w:pPr>
        <w:spacing w:line="360" w:lineRule="auto" w:before="0" w:after="0"/>
        <w:ind w:firstLine="420"/>
        <w:jc w:val="both"/>
      </w:pPr>
      <w:r>
        <w:rPr>
          <w:rFonts w:ascii="宋体" w:hAnsi="宋体" w:eastAsia="宋体"/>
          <w:b w:val="0"/>
          <w:i w:val="0"/>
          <w:color w:val="000000"/>
          <w:sz w:val="21"/>
        </w:rPr>
        <w:t>理想的分类器 ROC 曲线应紧贴左上角（</w:t>
      </w:r>
      <m:oMath>
        <m:r>
          <m:t xml:space="preserve">(</m:t>
        </m:r>
        <m:r>
          <m:t xml:space="preserve">0</m:t>
        </m:r>
        <m:r>
          <m:t xml:space="preserve">,</m:t>
        </m:r>
        <m:r>
          <m:t xml:space="preserve">1</m:t>
        </m:r>
        <m:r>
          <m:t xml:space="preserve">)</m:t>
        </m:r>
      </m:oMath>
      <w:r>
        <w:rPr>
          <w:rFonts w:ascii="宋体" w:hAnsi="宋体" w:eastAsia="宋体"/>
          <w:b w:val="0"/>
          <w:i w:val="0"/>
          <w:color w:val="000000"/>
          <w:sz w:val="21"/>
        </w:rPr>
        <w:t xml:space="preserve"> 点），此时 </w:t>
      </w:r>
      <m:oMath>
        <m:r>
          <m:t xml:space="preserve">T</m:t>
        </m:r>
        <m:r>
          <m:t xml:space="preserve">P</m:t>
        </m:r>
        <m:r>
          <m:t xml:space="preserve">R</m:t>
        </m:r>
        <m:r>
          <m:t xml:space="preserve">=</m:t>
        </m:r>
        <m:r>
          <m:t xml:space="preserve">1</m:t>
        </m:r>
      </m:oMath>
      <w:r>
        <w:rPr>
          <w:rFonts w:ascii="宋体" w:hAnsi="宋体" w:eastAsia="宋体"/>
          <w:b w:val="0"/>
          <w:i w:val="0"/>
          <w:color w:val="000000"/>
          <w:sz w:val="21"/>
        </w:rPr>
        <w:t xml:space="preserve"> 且 </w:t>
      </w:r>
      <m:oMath>
        <m:r>
          <m:t xml:space="preserve">F</m:t>
        </m:r>
        <m:r>
          <m:t xml:space="preserve">P</m:t>
        </m:r>
        <m:r>
          <m:t xml:space="preserve">R</m:t>
        </m:r>
        <m:r>
          <m:t xml:space="preserve">=</m:t>
        </m:r>
        <m:r>
          <m:t xml:space="preserve">0</m:t>
        </m:r>
      </m:oMath>
      <w:r>
        <w:rPr>
          <w:rFonts w:ascii="宋体" w:hAnsi="宋体" w:eastAsia="宋体"/>
          <w:b w:val="0"/>
          <w:i w:val="0"/>
          <w:color w:val="000000"/>
          <w:sz w:val="21"/>
        </w:rPr>
        <w:t xml:space="preserve">，意味着所有正类均被检出且无一例误报；而随机猜测的 ROC 曲线则为连接 </w:t>
      </w:r>
      <m:oMath>
        <m:r>
          <m:t xml:space="preserve">(</m:t>
        </m:r>
        <m:r>
          <m:t xml:space="preserve">0</m:t>
        </m:r>
        <m:r>
          <m:t xml:space="preserve">,</m:t>
        </m:r>
        <m:r>
          <m:t xml:space="preserve">0</m:t>
        </m:r>
        <m:r>
          <m:t xml:space="preserve">)</m:t>
        </m:r>
      </m:oMath>
      <w:r>
        <w:rPr>
          <w:rFonts w:ascii="宋体" w:hAnsi="宋体" w:eastAsia="宋体"/>
          <w:b w:val="0"/>
          <w:i w:val="0"/>
          <w:color w:val="000000"/>
          <w:sz w:val="21"/>
        </w:rPr>
        <w:t xml:space="preserve"> 和 </w:t>
      </w:r>
      <m:oMath>
        <m:r>
          <m:t xml:space="preserve">(</m:t>
        </m:r>
        <m:r>
          <m:t xml:space="preserve">1</m:t>
        </m:r>
        <m:r>
          <m:t xml:space="preserve">,</m:t>
        </m:r>
        <m:r>
          <m:t xml:space="preserve">1</m:t>
        </m:r>
        <m:r>
          <m:t xml:space="preserve">)</m:t>
        </m:r>
      </m:oMath>
      <w:r>
        <w:rPr>
          <w:rFonts w:ascii="宋体" w:hAnsi="宋体" w:eastAsia="宋体"/>
          <w:b w:val="0"/>
          <w:i w:val="0"/>
          <w:color w:val="000000"/>
          <w:sz w:val="21"/>
        </w:rPr>
        <w:t xml:space="preserve"> 的对角线（</w:t>
      </w:r>
      <m:oMath>
        <m:r>
          <m:t xml:space="preserve">A</m:t>
        </m:r>
        <m:r>
          <m:t xml:space="preserve">U</m:t>
        </m:r>
        <m:r>
          <m:t xml:space="preserve">C</m:t>
        </m:r>
        <m:r>
          <m:t xml:space="preserve">=</m:t>
        </m:r>
        <m:r>
          <m:t xml:space="preserve">0.5</m:t>
        </m:r>
      </m:oMath>
      <w:r>
        <w:rPr>
          <w:rFonts w:ascii="宋体" w:hAnsi="宋体" w:eastAsia="宋体"/>
          <w:b w:val="0"/>
          <w:i w:val="0"/>
          <w:color w:val="000000"/>
          <w:sz w:val="21"/>
        </w:rPr>
        <w:t>）。曲线越靠近左上角，说明模型的整体分类能力越强。ROC 曲线的形状还能揭示模型在不同操作点上的特性偏好——曲线陡峭上升段对应低误报高召回的操作区间，平缓段则表示提升召回需付出较大的误报代价。</w:t>
      </w:r>
    </w:p>
    <w:p>
      <w:pPr>
        <w:spacing w:line="360" w:lineRule="auto" w:before="120" w:after="120"/>
        <w:jc w:val="left"/>
      </w:pPr>
      <w:r>
        <w:rPr>
          <w:rFonts w:ascii="宋体" w:hAnsi="宋体" w:eastAsia="宋体"/>
          <w:b/>
          <w:i w:val="0"/>
          <w:color w:val="000000"/>
          <w:sz w:val="28"/>
        </w:rPr>
        <w:t>3. Python 编程实现</w:t>
      </w:r>
    </w:p>
    <w:p>
      <w:pPr>
        <w:spacing w:line="360" w:lineRule="auto" w:before="120" w:after="120"/>
        <w:jc w:val="left"/>
      </w:pPr>
      <w:r>
        <w:rPr>
          <w:rFonts w:ascii="宋体" w:hAnsi="宋体" w:eastAsia="宋体"/>
          <w:b/>
          <w:i w:val="0"/>
          <w:color w:val="000000"/>
          <w:sz w:val="24"/>
        </w:rPr>
        <w:t>3.1 数据加载与预处理</w:t>
      </w:r>
    </w:p>
    <w:p>
      <w:pPr>
        <w:spacing w:line="360" w:lineRule="auto" w:before="0" w:after="0"/>
        <w:ind w:firstLine="420"/>
        <w:jc w:val="both"/>
      </w:pPr>
      <w:r>
        <w:rPr>
          <w:rFonts w:ascii="宋体" w:hAnsi="宋体" w:eastAsia="宋体"/>
          <w:b w:val="0"/>
          <w:i w:val="0"/>
          <w:color w:val="000000"/>
          <w:sz w:val="21"/>
        </w:rPr>
        <w:t>本实验采用 scikit-learn 库内置的乳腺癌诊断数据集（load_breast_cancer）作为建模对象。该数据集源自威斯康星大学医学院的乳腺肿瘤细针穿刺活检影像数字化分析项目，共收录 569 例病例的临床测量数据。每例包含 30 个核形态特征（如细胞半径、纹理、周长、面积、光滑度、紧凑度、凹度等）的连续值测量结果，以及一个二元诊断标签：0 代表恶性（malignant），1 代表良性（benign）。</w:t>
      </w:r>
    </w:p>
    <w:p>
      <w:pPr>
        <w:spacing w:line="360" w:lineRule="auto" w:before="0" w:after="0"/>
        <w:ind w:firstLine="420"/>
        <w:jc w:val="both"/>
      </w:pPr>
      <w:r>
        <w:rPr>
          <w:rFonts w:ascii="宋体" w:hAnsi="宋体" w:eastAsia="宋体"/>
          <w:b w:val="0"/>
          <w:i w:val="0"/>
          <w:color w:val="000000"/>
          <w:sz w:val="21"/>
        </w:rPr>
        <w:t>数据预处理的步骤包括两个关键环节。首先，对所有 30 维特征执行 Z-Score 标准化处理，将各特征变换为零均值单位方差的分布，消除量纲差异对距离敏感型算法的影响。标准化公式为：</w:t>
      </w:r>
    </w:p>
    <w:p>
      <w:pPr>
        <w:spacing w:line="360" w:lineRule="auto" w:before="200" w:after="200"/>
        <w:jc w:val="center"/>
      </w:pPr>
      <m:oMathPara>
        <m:oMath>
          <m:sSup>
            <m:e>
              <m:r>
                <m:t xml:space="preserve">x</m:t>
              </m:r>
            </m:e>
            <m:sup>
              <m:r>
                <m:t xml:space="preserve">′</m:t>
              </m:r>
            </m:sup>
          </m:sSup>
          <m:r>
            <m:t xml:space="preserve">=</m:t>
          </m:r>
          <m:f>
            <m:num>
              <m:r>
                <m:t xml:space="preserve">x</m:t>
              </m:r>
              <m:r>
                <m:t xml:space="preserve">−</m:t>
              </m:r>
              <m:r>
                <m:t xml:space="preserve">μ</m:t>
              </m:r>
            </m:num>
            <m:den>
              <m:r>
                <m:t xml:space="preserve">σ</m:t>
              </m:r>
            </m:den>
          </m:f>
        </m:oMath>
      </m:oMathPara>
    </w:p>
    <w:p>
      <w:pPr>
        <w:spacing w:line="360" w:lineRule="auto" w:before="0" w:after="0"/>
        <w:ind w:firstLine="420"/>
        <w:jc w:val="both"/>
      </w:pPr>
      <w:r>
        <w:rPr>
          <w:rFonts w:ascii="宋体" w:hAnsi="宋体" w:eastAsia="宋体"/>
          <w:b w:val="0"/>
          <w:i w:val="0"/>
          <w:color w:val="000000"/>
          <w:sz w:val="21"/>
        </w:rPr>
        <w:t xml:space="preserve">其中 </w:t>
      </w:r>
      <m:oMath>
        <m:r>
          <m:t xml:space="preserve">μ</m:t>
        </m:r>
      </m:oMath>
      <w:r>
        <w:rPr>
          <w:rFonts w:ascii="宋体" w:hAnsi="宋体" w:eastAsia="宋体"/>
          <w:b w:val="0"/>
          <w:i w:val="0"/>
          <w:color w:val="000000"/>
          <w:sz w:val="21"/>
        </w:rPr>
        <w:t xml:space="preserve"> 和 </w:t>
      </w:r>
      <m:oMath>
        <m:r>
          <m:t xml:space="preserve">σ</m:t>
        </m:r>
      </m:oMath>
      <w:r>
        <w:rPr>
          <w:rFonts w:ascii="宋体" w:hAnsi="宋体" w:eastAsia="宋体"/>
          <w:b w:val="0"/>
          <w:i w:val="0"/>
          <w:color w:val="000000"/>
          <w:sz w:val="21"/>
        </w:rPr>
        <w:t xml:space="preserve"> 分别为该特征在训练集中的样本均值和标准差。值得注意的是，标准化的参数（</w:t>
      </w:r>
      <m:oMath>
        <m:r>
          <m:t xml:space="preserve">μ</m:t>
        </m:r>
      </m:oMath>
      <w:r>
        <w:rPr>
          <w:rFonts w:ascii="宋体" w:hAnsi="宋体" w:eastAsia="宋体"/>
          <w:b w:val="0"/>
          <w:i w:val="0"/>
          <w:color w:val="000000"/>
          <w:sz w:val="21"/>
        </w:rPr>
        <w:t xml:space="preserve">, </w:t>
      </w:r>
      <m:oMath>
        <m:r>
          <m:t xml:space="preserve">σ</m:t>
        </m:r>
      </m:oMath>
      <w:r>
        <w:rPr>
          <w:rFonts w:ascii="宋体" w:hAnsi="宋体" w:eastAsia="宋体"/>
          <w:b w:val="0"/>
          <w:i w:val="0"/>
          <w:color w:val="000000"/>
          <w:sz w:val="21"/>
        </w:rPr>
        <w:t>）必须仅在训练集上拟合得到后再应用于测试集，以避免测试集信息泄露导致的过度乐观偏差。</w:t>
      </w:r>
    </w:p>
    <w:p>
      <w:pPr>
        <w:spacing w:line="360" w:lineRule="auto" w:before="0" w:after="0"/>
        <w:ind w:firstLine="420"/>
        <w:jc w:val="both"/>
      </w:pPr>
      <w:r>
        <w:rPr>
          <w:rFonts w:ascii="宋体" w:hAnsi="宋体" w:eastAsia="宋体"/>
          <w:b w:val="0"/>
          <w:i w:val="0"/>
          <w:color w:val="000000"/>
          <w:sz w:val="21"/>
        </w:rPr>
        <w:t>其次，采用分层抽样方式（stratified sampling）将数据按 7:3 比例划分为训练集和测试集，确保两类样本在训练集和测试集中的比例保持一致（恶性约占 37%，良性约占 63%）。同时设定随机种子 random_state = 42 以保证实验的可复现性。最终训练集含 398 个样本，测试集含 171 个样本。</w:t>
      </w:r>
    </w:p>
    <w:p>
      <w:pPr>
        <w:spacing w:line="360" w:lineRule="auto" w:before="120" w:after="120"/>
        <w:jc w:val="left"/>
      </w:pPr>
      <w:r>
        <w:rPr>
          <w:rFonts w:ascii="宋体" w:hAnsi="宋体" w:eastAsia="宋体"/>
          <w:b/>
          <w:i w:val="0"/>
          <w:color w:val="000000"/>
          <w:sz w:val="24"/>
        </w:rPr>
        <w:t>3.2 训练集与测试集划分</w:t>
      </w:r>
    </w:p>
    <w:p>
      <w:pPr>
        <w:spacing w:line="360" w:lineRule="auto" w:before="0" w:after="0"/>
        <w:ind w:firstLine="420"/>
        <w:jc w:val="both"/>
      </w:pPr>
      <w:r>
        <w:rPr>
          <w:rFonts w:ascii="宋体" w:hAnsi="宋体" w:eastAsia="宋体"/>
          <w:b w:val="0"/>
          <w:i w:val="0"/>
          <w:color w:val="000000"/>
          <w:sz w:val="21"/>
        </w:rPr>
        <w:t>划分参数设置如下表所示：</w:t>
      </w:r>
    </w:p>
    <w:tbl>
      <w:tblPr>
        <w:tblStyle w:val="TableGrid"/>
        <w:tblW w:type="auto" w:w="9072"/>
        <w:jc w:val="center"/>
        <w:tblLook w:firstColumn="1" w:firstRow="1" w:lastColumn="0" w:lastRow="0" w:noHBand="0" w:noVBand="1" w:val="04A0"/>
      </w:tblPr>
      <w:tblGrid>
        <w:gridCol w:w="3024"/>
        <w:gridCol w:w="3024"/>
        <w:gridCol w:w="3024"/>
      </w:tblGrid>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参数</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设定值</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说明</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test_size</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0.30</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测试集占比 30%</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random_state</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42</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固定随机种子确保可复现</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stratify</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y</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保持正负类比例一致</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scaler</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StandardScaler</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Z-Score 标准化</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训练集规模</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398</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含恶性约 148 例 + 良性约 250 例</w:t>
            </w:r>
          </w:p>
        </w:tc>
      </w:tr>
      <w:tr>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测试集规模</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171</w:t>
            </w:r>
          </w:p>
        </w:tc>
        <w:tc>
          <w:tcPr>
            <w:tcW w:type="dxa" w:w="3024"/>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含恶性约 64 例 + 良性约 107 例</w:t>
            </w:r>
          </w:p>
        </w:tc>
      </w:tr>
    </w:tbl>
    <w:p/>
    <w:p>
      <w:pPr>
        <w:spacing w:line="360" w:lineRule="auto" w:before="120" w:after="120"/>
        <w:jc w:val="left"/>
      </w:pPr>
      <w:r>
        <w:rPr>
          <w:rFonts w:ascii="宋体" w:hAnsi="宋体" w:eastAsia="宋体"/>
          <w:b/>
          <w:i w:val="0"/>
          <w:color w:val="000000"/>
          <w:sz w:val="24"/>
        </w:rPr>
        <w:t>3.3 三类模型构建与训练</w:t>
      </w:r>
    </w:p>
    <w:p>
      <w:pPr>
        <w:spacing w:line="360" w:lineRule="auto" w:before="0" w:after="0"/>
        <w:ind w:firstLine="420"/>
        <w:jc w:val="both"/>
      </w:pPr>
      <w:r>
        <w:rPr>
          <w:rFonts w:ascii="宋体" w:hAnsi="宋体" w:eastAsia="宋体"/>
          <w:b w:val="0"/>
          <w:i w:val="0"/>
          <w:color w:val="000000"/>
          <w:sz w:val="21"/>
        </w:rPr>
        <w:t>本实验构建了以下三个分类模型并进行对比分析：</w:t>
      </w:r>
    </w:p>
    <w:p>
      <w:pPr>
        <w:spacing w:line="360" w:lineRule="auto" w:before="0" w:after="0"/>
        <w:ind w:firstLine="420"/>
        <w:jc w:val="both"/>
      </w:pPr>
      <w:r>
        <w:rPr>
          <w:rFonts w:ascii="宋体" w:hAnsi="宋体" w:eastAsia="宋体"/>
          <w:b w:val="0"/>
          <w:i w:val="0"/>
          <w:color w:val="000000"/>
          <w:sz w:val="21"/>
        </w:rPr>
        <w:t>逻辑回归（LogisticRegression）：采用 L2 正则化惩罚项防止系数过大，最大迭代次数设为 1000 以确保收敛，随机种子固定为 42。该模型在本实验中共学习了 31 个参数（含截距项），分别对应 30 个特征的权重和一个偏置项。</w:t>
      </w:r>
    </w:p>
    <w:p>
      <w:pPr>
        <w:spacing w:line="360" w:lineRule="auto" w:before="0" w:after="0"/>
        <w:ind w:firstLine="420"/>
        <w:jc w:val="both"/>
      </w:pPr>
      <w:r>
        <w:rPr>
          <w:rFonts w:ascii="宋体" w:hAnsi="宋体" w:eastAsia="宋体"/>
          <w:b w:val="0"/>
          <w:i w:val="0"/>
          <w:color w:val="000000"/>
          <w:sz w:val="21"/>
        </w:rPr>
        <w:t>决策树（DecisionTreeClassifier）：限制最大深度 max_depth = 5 以控制模型复杂度、避免过拟合，使用基尼不纯度（Gini Impurity）作为节点分裂准则，随机种子固定为 42。深度限制为 5 层意味着最多经过 5 次连续的条件判断即可到达叶节点，保证了规则链条的可解释性。</w:t>
      </w:r>
    </w:p>
    <w:p>
      <w:pPr>
        <w:spacing w:line="360" w:lineRule="auto" w:before="0" w:after="0"/>
        <w:ind w:firstLine="420"/>
        <w:jc w:val="both"/>
      </w:pPr>
      <w:r>
        <w:rPr>
          <w:rFonts w:ascii="宋体" w:hAnsi="宋体" w:eastAsia="宋体"/>
          <w:b w:val="0"/>
          <w:i w:val="0"/>
          <w:color w:val="000000"/>
          <w:sz w:val="21"/>
        </w:rPr>
        <w:t xml:space="preserve">随机森林（RandomForestClassifier）：集成 100 棵决策树（n_estimators = 100），每棵树的最大特征候选数设为 </w:t>
      </w:r>
      <m:oMath>
        <m:r>
          <m:t xml:space="preserve">d</m:t>
        </m:r>
        <m:r>
          <m:t xml:space="preserve">=</m:t>
        </m:r>
        <m:r>
          <m:t xml:space="preserve">30</m:t>
        </m:r>
        <m:r>
          <m:t xml:space="preserve">≈</m:t>
        </m:r>
        <m:r>
          <m:t xml:space="preserve">5</m:t>
        </m:r>
      </m:oMath>
      <w:r>
        <w:rPr>
          <w:rFonts w:ascii="宋体" w:hAnsi="宋体" w:eastAsia="宋体"/>
          <w:b w:val="0"/>
          <w:i w:val="0"/>
          <w:color w:val="000000"/>
          <w:sz w:val="21"/>
        </w:rPr>
        <w:t>（sklearn 默认行为），使用 Bagging 抽样策略，OOB 评分可用于内部验证。</w:t>
      </w:r>
    </w:p>
    <w:p>
      <w:pPr>
        <w:spacing w:line="360" w:lineRule="auto" w:before="120" w:after="120"/>
        <w:jc w:val="left"/>
      </w:pPr>
      <w:r>
        <w:rPr>
          <w:rFonts w:ascii="宋体" w:hAnsi="宋体" w:eastAsia="宋体"/>
          <w:b/>
          <w:i w:val="0"/>
          <w:color w:val="000000"/>
          <w:sz w:val="24"/>
        </w:rPr>
        <w:t>3.4 模型评估与指标计算</w:t>
      </w:r>
    </w:p>
    <w:p>
      <w:pPr>
        <w:spacing w:line="360" w:lineRule="auto" w:before="0" w:after="0"/>
        <w:ind w:firstLine="420"/>
        <w:jc w:val="both"/>
      </w:pPr>
      <w:r>
        <w:rPr>
          <w:rFonts w:ascii="宋体" w:hAnsi="宋体" w:eastAsia="宋体"/>
          <w:b w:val="0"/>
          <w:i w:val="0"/>
          <w:color w:val="000000"/>
          <w:sz w:val="21"/>
        </w:rPr>
        <w:t>对每个模型完成训练后，统一在相同的 171 例测试集上进行预测评估。评估流程包括：调用 predict() 方法获取离散类别标签用于计算混淆矩阵和分类报告；调用 predict_proba() 方法获取属于正类的概率得分用于绘制 ROC 曲线和计算 AUC。所有指标的计算均基于 sklearn.metrics 模块提供的标准实现函数。</w:t>
      </w:r>
    </w:p>
    <w:p>
      <w:pPr>
        <w:spacing w:line="360" w:lineRule="auto" w:before="120" w:after="120"/>
        <w:jc w:val="left"/>
      </w:pPr>
      <w:r>
        <w:rPr>
          <w:rFonts w:ascii="宋体" w:hAnsi="宋体" w:eastAsia="宋体"/>
          <w:b/>
          <w:i w:val="0"/>
          <w:color w:val="000000"/>
          <w:sz w:val="28"/>
        </w:rPr>
        <w:t>4. 实验结果与分析</w:t>
      </w:r>
    </w:p>
    <w:p>
      <w:pPr>
        <w:spacing w:line="360" w:lineRule="auto" w:before="120" w:after="120"/>
        <w:jc w:val="left"/>
      </w:pPr>
      <w:r>
        <w:rPr>
          <w:rFonts w:ascii="宋体" w:hAnsi="宋体" w:eastAsia="宋体"/>
          <w:b/>
          <w:i w:val="0"/>
          <w:color w:val="000000"/>
          <w:sz w:val="24"/>
        </w:rPr>
        <w:t>4.1 ROC 曲线对比分析</w:t>
      </w:r>
    </w:p>
    <w:p>
      <w:pPr>
        <w:spacing w:line="360" w:lineRule="auto" w:before="0" w:after="0"/>
        <w:ind w:firstLine="420"/>
        <w:jc w:val="both"/>
      </w:pPr>
      <w:r>
        <w:rPr>
          <w:rFonts w:ascii="宋体" w:hAnsi="宋体" w:eastAsia="宋体"/>
          <w:b w:val="0"/>
          <w:i w:val="0"/>
          <w:color w:val="000000"/>
          <w:sz w:val="21"/>
        </w:rPr>
        <w:t>下图展示了三类分类模型在同一测试集上的 ROC 曲线对比。可以看出，三条曲线均显著偏离随机猜测的对角基线，表明三种模型均具备较强的正负类区分能力。</w:t>
      </w:r>
    </w:p>
    <w:p>
      <w:pPr>
        <w:jc w:val="center"/>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TASK5_三模型ROC曲线对比.png"/>
                    <pic:cNvPicPr/>
                  </pic:nvPicPr>
                  <pic:blipFill>
                    <a:blip r:embed="rId9"/>
                    <a:stretch>
                      <a:fillRect/>
                    </a:stretch>
                  </pic:blipFill>
                  <pic:spPr>
                    <a:xfrm>
                      <a:off x="0" y="0"/>
                      <a:ext cx="5486400" cy="4572000"/>
                    </a:xfrm>
                    <a:prstGeom prst="rect"/>
                  </pic:spPr>
                </pic:pic>
              </a:graphicData>
            </a:graphic>
          </wp:inline>
        </w:drawing>
      </w:r>
    </w:p>
    <w:p>
      <w:pPr>
        <w:spacing w:before="60" w:after="120"/>
        <w:jc w:val="center"/>
      </w:pPr>
      <w:r>
        <w:rPr>
          <w:rFonts w:ascii="宋体" w:hAnsi="宋体" w:eastAsia="宋体"/>
          <w:b w:val="0"/>
          <w:i w:val="0"/>
          <w:color w:val="000000"/>
          <w:sz w:val="21"/>
        </w:rPr>
        <w:t>图1 三类分类模型ROC曲线对比</w:t>
      </w:r>
    </w:p>
    <w:p>
      <w:pPr>
        <w:spacing w:line="360" w:lineRule="auto" w:before="0" w:after="0"/>
        <w:ind w:firstLine="420"/>
        <w:jc w:val="both"/>
      </w:pPr>
      <w:r>
        <w:rPr>
          <w:rFonts w:ascii="宋体" w:hAnsi="宋体" w:eastAsia="宋体"/>
          <w:b w:val="0"/>
          <w:i w:val="0"/>
          <w:color w:val="000000"/>
          <w:sz w:val="21"/>
        </w:rPr>
        <w:t>从图中可以观察到以下关键特征：</w:t>
      </w:r>
    </w:p>
    <w:p>
      <w:pPr>
        <w:spacing w:line="360" w:lineRule="auto" w:before="0" w:after="0"/>
        <w:ind w:firstLine="420"/>
        <w:jc w:val="both"/>
      </w:pPr>
      <w:r>
        <w:rPr>
          <w:rFonts w:ascii="宋体" w:hAnsi="宋体" w:eastAsia="宋体"/>
          <w:b w:val="0"/>
          <w:i w:val="0"/>
          <w:color w:val="000000"/>
          <w:sz w:val="21"/>
        </w:rPr>
        <w:t>- 逻辑回归的 ROC 曲线最为贴近左上角，几乎呈现"L"形理想形态，其 AUC 高达 0.998，接近完美的分类表现。这说明在该数据集上线性可分性极好——30 维特征经线性组合后即可将绝大多数正负样本有效分离。</w:t>
      </w:r>
    </w:p>
    <w:p>
      <w:pPr>
        <w:spacing w:line="360" w:lineRule="auto" w:before="0" w:after="0"/>
        <w:ind w:firstLine="420"/>
        <w:jc w:val="both"/>
      </w:pPr>
      <w:r>
        <w:rPr>
          <w:rFonts w:ascii="宋体" w:hAnsi="宋体" w:eastAsia="宋体"/>
          <w:b w:val="0"/>
          <w:i w:val="0"/>
          <w:color w:val="000000"/>
          <w:sz w:val="21"/>
        </w:rPr>
        <w:t>- 随机森林的 ROC 曲线同样表现出色，AUC 达到 0.991，略低于逻辑回归但仍然处于优秀水平。值得注意的是，虽然随机森林的总体准确率（93.57%）低于逻辑回归（98.25%），但其 AUC 却非常接近，这表明随机森林的概率校准能力较强——即便在默认阈值 0.5 处的分类精度稍逊，但其对不同阈值的适应范围更广。</w:t>
      </w:r>
    </w:p>
    <w:p>
      <w:pPr>
        <w:spacing w:line="360" w:lineRule="auto" w:before="0" w:after="0"/>
        <w:ind w:firstLine="420"/>
        <w:jc w:val="both"/>
      </w:pPr>
      <w:r>
        <w:rPr>
          <w:rFonts w:ascii="宋体" w:hAnsi="宋体" w:eastAsia="宋体"/>
          <w:b w:val="0"/>
          <w:i w:val="0"/>
          <w:color w:val="000000"/>
          <w:sz w:val="21"/>
        </w:rPr>
        <w:t>- 决策树的 ROC 曲线相对较为平缓，AUC 为 0.944，在三模型中排名末位但仍属良好水平。决策树受限于单棵树的表达能力和缺乏概率平滑机制，在边界区域的判别精度不如另外两种方法。</w:t>
      </w:r>
    </w:p>
    <w:p>
      <w:pPr>
        <w:spacing w:line="360" w:lineRule="auto" w:before="120" w:after="120"/>
        <w:jc w:val="left"/>
      </w:pPr>
      <w:r>
        <w:rPr>
          <w:rFonts w:ascii="宋体" w:hAnsi="宋体" w:eastAsia="宋体"/>
          <w:b/>
          <w:i w:val="0"/>
          <w:color w:val="000000"/>
          <w:sz w:val="24"/>
        </w:rPr>
        <w:t>4.2 混淆矩阵分析</w:t>
      </w:r>
    </w:p>
    <w:p>
      <w:pPr>
        <w:spacing w:line="360" w:lineRule="auto" w:before="0" w:after="0"/>
        <w:ind w:firstLine="420"/>
        <w:jc w:val="both"/>
      </w:pPr>
      <w:r>
        <w:rPr>
          <w:rFonts w:ascii="宋体" w:hAnsi="宋体" w:eastAsia="宋体"/>
          <w:b w:val="0"/>
          <w:i w:val="0"/>
          <w:color w:val="000000"/>
          <w:sz w:val="21"/>
        </w:rPr>
        <w:t>下图以热力图形式展示了三模型在测试集上的混淆矩阵。热力图颜色越深代表该格中的样本数越多。</w:t>
      </w:r>
    </w:p>
    <w:p>
      <w:pPr>
        <w:jc w:val="center"/>
      </w:pPr>
      <w:r>
        <w:drawing>
          <wp:inline xmlns:a="http://schemas.openxmlformats.org/drawingml/2006/main" xmlns:pic="http://schemas.openxmlformats.org/drawingml/2006/picture">
            <wp:extent cx="5486400" cy="1617785"/>
            <wp:docPr id="2" name="Picture 2"/>
            <wp:cNvGraphicFramePr>
              <a:graphicFrameLocks noChangeAspect="1"/>
            </wp:cNvGraphicFramePr>
            <a:graphic>
              <a:graphicData uri="http://schemas.openxmlformats.org/drawingml/2006/picture">
                <pic:pic>
                  <pic:nvPicPr>
                    <pic:cNvPr id="0" name="TASK5_混淆矩阵热力图.png"/>
                    <pic:cNvPicPr/>
                  </pic:nvPicPr>
                  <pic:blipFill>
                    <a:blip r:embed="rId10"/>
                    <a:stretch>
                      <a:fillRect/>
                    </a:stretch>
                  </pic:blipFill>
                  <pic:spPr>
                    <a:xfrm>
                      <a:off x="0" y="0"/>
                      <a:ext cx="5486400" cy="1617785"/>
                    </a:xfrm>
                    <a:prstGeom prst="rect"/>
                  </pic:spPr>
                </pic:pic>
              </a:graphicData>
            </a:graphic>
          </wp:inline>
        </w:drawing>
      </w:r>
    </w:p>
    <w:p>
      <w:pPr>
        <w:spacing w:before="60" w:after="120"/>
        <w:jc w:val="center"/>
      </w:pPr>
      <w:r>
        <w:rPr>
          <w:rFonts w:ascii="宋体" w:hAnsi="宋体" w:eastAsia="宋体"/>
          <w:b w:val="0"/>
          <w:i w:val="0"/>
          <w:color w:val="000000"/>
          <w:sz w:val="21"/>
        </w:rPr>
        <w:t>图2 三类分类模型混淆矩阵热力图</w:t>
      </w:r>
    </w:p>
    <w:p>
      <w:pPr>
        <w:spacing w:line="360" w:lineRule="auto" w:before="0" w:after="0"/>
        <w:ind w:firstLine="420"/>
        <w:jc w:val="both"/>
      </w:pPr>
      <w:r>
        <w:rPr>
          <w:rFonts w:ascii="宋体" w:hAnsi="宋体" w:eastAsia="宋体"/>
          <w:b w:val="0"/>
          <w:i w:val="0"/>
          <w:color w:val="000000"/>
          <w:sz w:val="21"/>
        </w:rPr>
        <w:t>从混淆矩阵可以读取出以下细节信息：</w:t>
      </w:r>
    </w:p>
    <w:p>
      <w:pPr>
        <w:spacing w:line="360" w:lineRule="auto" w:before="0" w:after="0"/>
        <w:ind w:firstLine="420"/>
        <w:jc w:val="both"/>
      </w:pPr>
      <w:r>
        <w:rPr>
          <w:rFonts w:ascii="宋体" w:hAnsi="宋体" w:eastAsia="宋体"/>
          <w:b w:val="0"/>
          <w:i w:val="0"/>
          <w:color w:val="000000"/>
          <w:sz w:val="21"/>
        </w:rPr>
        <w:t>- 逻辑回归：在 171 个测试样本中仅产生 3 个误判（2 例假阳性 + 1 例假阴性），整体误判率仅为 1.75%。62 例恶性患者中有 60 例被正确识别（召回率 96.88%），106 例良性患者中有 105 例被正确识别（特异性 99.07%）。</w:t>
      </w:r>
    </w:p>
    <w:p>
      <w:pPr>
        <w:spacing w:line="360" w:lineRule="auto" w:before="0" w:after="0"/>
        <w:ind w:firstLine="420"/>
        <w:jc w:val="both"/>
      </w:pPr>
      <w:r>
        <w:rPr>
          <w:rFonts w:ascii="宋体" w:hAnsi="宋体" w:eastAsia="宋体"/>
          <w:b w:val="0"/>
          <w:i w:val="0"/>
          <w:color w:val="000000"/>
          <w:sz w:val="21"/>
        </w:rPr>
        <w:t>- 决策树：误判总数为 12 例（6 例假阳性 + 6 例假阴性），误判率 7.02%。恶性召回率和良性特异性均为约 94.39%，表现均衡但在两端均有明显遗漏。</w:t>
      </w:r>
    </w:p>
    <w:p>
      <w:pPr>
        <w:spacing w:line="360" w:lineRule="auto" w:before="0" w:after="0"/>
        <w:ind w:firstLine="420"/>
        <w:jc w:val="both"/>
      </w:pPr>
      <w:r>
        <w:rPr>
          <w:rFonts w:ascii="宋体" w:hAnsi="宋体" w:eastAsia="宋体"/>
          <w:b w:val="0"/>
          <w:i w:val="0"/>
          <w:color w:val="000000"/>
          <w:sz w:val="21"/>
        </w:rPr>
        <w:t>- 随机森林：误判总数为 11 例（6 例假阳性 + 5 例假阴性），误判率 6.43%。相比决策树略有改善，尤其在减少 FN（漏检）方面更优（5 例 vs 6 例），这在金融风控中具有重要意义——因为漏检违约客户的代价通常高于误拒正常客户。</w:t>
      </w:r>
    </w:p>
    <w:p>
      <w:pPr>
        <w:spacing w:line="360" w:lineRule="auto" w:before="120" w:after="120"/>
        <w:jc w:val="left"/>
      </w:pPr>
      <w:r>
        <w:rPr>
          <w:rFonts w:ascii="宋体" w:hAnsi="宋体" w:eastAsia="宋体"/>
          <w:b/>
          <w:i w:val="0"/>
          <w:color w:val="000000"/>
          <w:sz w:val="24"/>
        </w:rPr>
        <w:t>4.3 性能指标对比表</w:t>
      </w:r>
    </w:p>
    <w:p>
      <w:pPr>
        <w:spacing w:line="360" w:lineRule="auto" w:before="0" w:after="0"/>
        <w:ind w:firstLine="420"/>
        <w:jc w:val="both"/>
      </w:pPr>
      <w:r>
        <w:rPr>
          <w:rFonts w:ascii="宋体" w:hAnsi="宋体" w:eastAsia="宋体"/>
          <w:b w:val="0"/>
          <w:i w:val="0"/>
          <w:color w:val="000000"/>
          <w:sz w:val="21"/>
        </w:rPr>
        <w:t>以下表格汇总了三类模型在全部五个评估维度上的量化表现：</w:t>
      </w:r>
    </w:p>
    <w:tbl>
      <w:tblPr>
        <w:tblStyle w:val="TableGrid"/>
        <w:tblW w:type="auto" w:w="9072"/>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模型</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准确率</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精确率</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召回率</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F1 分数</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i w:val="0"/>
                <w:color w:val="000000"/>
                <w:sz w:val="18"/>
              </w:rPr>
              <w:t>AUC</w:t>
            </w:r>
          </w:p>
        </w:tc>
      </w:tr>
      <w:tr>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逻辑回归 (Logistic Regression)</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0.9825</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0.9815</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0.9907</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0.9860</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0.9980</w:t>
            </w:r>
          </w:p>
        </w:tc>
      </w:tr>
      <w:tr>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决策树 (Decision Tree)</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0.9298</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0.9439</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0.9439</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0.9439</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0.9441</w:t>
            </w:r>
          </w:p>
        </w:tc>
      </w:tr>
      <w:tr>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随机森林 (Random Forest)</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0.9357</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0.9444</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0.9533</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0.9488</w:t>
            </w:r>
          </w:p>
        </w:tc>
        <w:tc>
          <w:tcPr>
            <w:tcW w:type="dxa" w:w="1512"/>
            <w:vAlign w:val="center"/>
            <w:tcMar>
              <w:top w:w="0" w:type="dxa"/>
              <w:bottom w:w="0" w:type="dxa"/>
              <w:left w:w="5" w:type="dxa"/>
              <w:right w:w="5" w:type="dxa"/>
            </w:tcMar>
          </w:tcPr>
          <w:p>
            <w:pPr>
              <w:spacing w:line="240" w:lineRule="auto" w:before="0" w:after="0"/>
              <w:jc w:val="center"/>
            </w:pPr>
            <w:r>
              <w:rPr>
                <w:rFonts w:ascii="宋体" w:hAnsi="宋体" w:eastAsia="宋体"/>
                <w:b w:val="0"/>
                <w:i w:val="0"/>
                <w:color w:val="000000"/>
                <w:sz w:val="18"/>
              </w:rPr>
              <w:t>0.9913</w:t>
            </w:r>
          </w:p>
        </w:tc>
      </w:tr>
    </w:tbl>
    <w:p/>
    <w:p>
      <w:pPr>
        <w:spacing w:line="360" w:lineRule="auto" w:before="0" w:after="0"/>
        <w:ind w:firstLine="420"/>
        <w:jc w:val="both"/>
      </w:pPr>
      <w:r>
        <w:rPr>
          <w:rFonts w:ascii="宋体" w:hAnsi="宋体" w:eastAsia="宋体"/>
          <w:b w:val="0"/>
          <w:i w:val="0"/>
          <w:color w:val="000000"/>
          <w:sz w:val="21"/>
        </w:rPr>
        <w:t>综合来看，逻辑回归在本数据集上取得了最佳的综合表现——在准确率、精确率、召回率和 AUC 四个维度上均领先于另外两种方法。这一结果并不意外：乳腺癌数据集的特征经过精心提取和标准化后呈现出良好的线性可分性，而这正是逻辑回归擅长的场景。</w:t>
      </w:r>
    </w:p>
    <w:p>
      <w:pPr>
        <w:spacing w:line="360" w:lineRule="auto" w:before="0" w:after="0"/>
        <w:ind w:firstLine="420"/>
        <w:jc w:val="both"/>
      </w:pPr>
      <w:r>
        <w:rPr>
          <w:rFonts w:ascii="宋体" w:hAnsi="宋体" w:eastAsia="宋体"/>
          <w:b w:val="0"/>
          <w:i w:val="0"/>
          <w:color w:val="000000"/>
          <w:sz w:val="21"/>
        </w:rPr>
        <w:t>然而，随机森林展现出了更强的实用价值潜力。尽管其在绝对精度上略逊于逻辑回归，但 AUC（0.991）与逻辑回归差距很小，且随机森林具备多项逻辑回归无法比拟的优势：能够自动捕捉特征间的高阶非线性交互关系、天然支持缺失值处理、提供内置的特征重要性排序、以及对分布偏移具有更好的鲁棒性。在真实金融业务场景中——数据往往存在噪声、缺失值和复杂的非线性模式——随机森林往往是更为稳妥的选择。</w:t>
      </w:r>
    </w:p>
    <w:p>
      <w:pPr>
        <w:spacing w:line="360" w:lineRule="auto" w:before="0" w:after="0"/>
        <w:ind w:firstLine="420"/>
        <w:jc w:val="both"/>
      </w:pPr>
      <w:r>
        <w:rPr>
          <w:rFonts w:ascii="宋体" w:hAnsi="宋体" w:eastAsia="宋体"/>
          <w:b w:val="0"/>
          <w:i w:val="0"/>
          <w:color w:val="000000"/>
          <w:sz w:val="21"/>
        </w:rPr>
        <w:t>决策树的表现虽居末位，但其完全透明的决策路径赋予了它在合规审查和监管解释方面的独特价值。在银行风控系统中，当客户因被拒绝贷款而申诉时，决策树可以清晰地展示"因为您的收入低于 X 且负债率超过 Y 所以被拒绝"这样的推理链，满足金融监管对算法可解释性的要求。</w:t>
      </w:r>
    </w:p>
    <w:p>
      <w:pPr>
        <w:spacing w:line="360" w:lineRule="auto" w:before="120" w:after="120"/>
        <w:jc w:val="left"/>
      </w:pPr>
      <w:r>
        <w:rPr>
          <w:rFonts w:ascii="宋体" w:hAnsi="宋体" w:eastAsia="宋体"/>
          <w:b/>
          <w:i w:val="0"/>
          <w:color w:val="000000"/>
          <w:sz w:val="24"/>
        </w:rPr>
        <w:t>4.4 结果讨论与金融场景启示</w:t>
      </w:r>
    </w:p>
    <w:p>
      <w:pPr>
        <w:spacing w:line="360" w:lineRule="auto" w:before="0" w:after="0"/>
        <w:ind w:firstLine="420"/>
        <w:jc w:val="both"/>
      </w:pPr>
      <w:r>
        <w:rPr>
          <w:rFonts w:ascii="宋体" w:hAnsi="宋体" w:eastAsia="宋体"/>
          <w:b w:val="0"/>
          <w:i w:val="0"/>
          <w:color w:val="000000"/>
          <w:sz w:val="21"/>
        </w:rPr>
        <w:t>本实验的结果对金融量化实践具有以下几点启示：</w:t>
      </w:r>
    </w:p>
    <w:p>
      <w:pPr>
        <w:spacing w:line="360" w:lineRule="auto" w:before="0" w:after="0"/>
        <w:ind w:firstLine="420"/>
        <w:jc w:val="both"/>
      </w:pPr>
      <w:r>
        <w:rPr>
          <w:rFonts w:ascii="宋体" w:hAnsi="宋体" w:eastAsia="宋体"/>
          <w:b w:val="0"/>
          <w:i w:val="0"/>
          <w:color w:val="000000"/>
          <w:sz w:val="21"/>
        </w:rPr>
        <w:t>第一，基准模型的价值不容忽视。 逻辑回归作为一个诞生于上世纪五十年代的经典模型，在高结构化的表格数据上依然展现出极具竞争力的性能。在构建金融风控系统的初期阶段，建议首先建立逻辑回归基线模型，再尝试更复杂的非线性模型进行增量改进——如果复杂模型无法显著超越基线，则应审慎考虑引入成本与收益的平衡。</w:t>
      </w:r>
    </w:p>
    <w:p>
      <w:pPr>
        <w:spacing w:line="360" w:lineRule="auto" w:before="0" w:after="0"/>
        <w:ind w:firstLine="420"/>
        <w:jc w:val="both"/>
      </w:pPr>
      <w:r>
        <w:rPr>
          <w:rFonts w:ascii="宋体" w:hAnsi="宋体" w:eastAsia="宋体"/>
          <w:b w:val="0"/>
          <w:i w:val="0"/>
          <w:color w:val="000000"/>
          <w:sz w:val="21"/>
        </w:rPr>
        <w:t>第二，AUC 是比准确率更可靠的模型筛选指标。 本实验中随机森林的准确率和 AUC 表现存在有趣的差异——虽然其准确率仅比决策树高约 0.6 个百分点，但 AUC 却高出近 5 个百分点（0.991 vs 0.944）。这说明准确率对阈值的选择非常敏感，而 AUC 提供了阈值无关的全局视角。在金融业务中，不同场景对误报和漏报的容忍度不同——信用卡反欺诈可能宁可误报也不愿漏报，而营销推送则希望尽量减少对正常用户的干扰——AUC 能够帮助我们在部署前就判断模型是否值得进一步调参优化。</w:t>
      </w:r>
    </w:p>
    <w:p>
      <w:pPr>
        <w:spacing w:line="360" w:lineRule="auto" w:before="0" w:after="0"/>
        <w:ind w:firstLine="420"/>
        <w:jc w:val="both"/>
      </w:pPr>
      <w:r>
        <w:rPr>
          <w:rFonts w:ascii="宋体" w:hAnsi="宋体" w:eastAsia="宋体"/>
          <w:b w:val="0"/>
          <w:i w:val="0"/>
          <w:color w:val="000000"/>
          <w:sz w:val="21"/>
        </w:rPr>
        <w:t>第三，模型选型应与业务约束相匹配。 如果业务场景强调查规透明度（如信贷审批拒绝原因解释），决策树或规则抽取后的简化模型可能是唯一可行的选择；如果追求极致的预测精度且具备充足的计算资源，集成方法（如随机森林、XGBoost、LightGBM）通常是更优的选择；如果需要在有限时间内快速迭代原型并理解每个特征的贡献方向，逻辑回归则是最高效的工具。</w:t>
      </w:r>
    </w:p>
    <w:p>
      <w:pPr>
        <w:spacing w:line="360" w:lineRule="auto" w:before="120" w:after="120"/>
        <w:jc w:val="left"/>
      </w:pPr>
      <w:r>
        <w:rPr>
          <w:rFonts w:ascii="宋体" w:hAnsi="宋体" w:eastAsia="宋体"/>
          <w:b/>
          <w:i w:val="0"/>
          <w:color w:val="000000"/>
          <w:sz w:val="28"/>
        </w:rPr>
        <w:t>5. 使用心得</w:t>
      </w:r>
    </w:p>
    <w:p>
      <w:pPr>
        <w:spacing w:line="360" w:lineRule="auto" w:before="0" w:after="0"/>
        <w:ind w:firstLine="420"/>
        <w:jc w:val="both"/>
      </w:pPr>
      <w:r>
        <w:rPr>
          <w:rFonts w:ascii="宋体" w:hAnsi="宋体" w:eastAsia="宋体"/>
          <w:b w:val="0"/>
          <w:i w:val="0"/>
          <w:color w:val="000000"/>
          <w:sz w:val="21"/>
        </w:rPr>
        <w:t>通过本次 Task 5 的完整实践，我对机器学习算法在量化金融领域的应用形成了以下几点系统性认识：</w:t>
      </w:r>
    </w:p>
    <w:p>
      <w:pPr>
        <w:spacing w:line="360" w:lineRule="auto" w:before="0" w:after="0"/>
        <w:ind w:firstLine="420"/>
        <w:jc w:val="both"/>
      </w:pPr>
      <w:r>
        <w:rPr>
          <w:rFonts w:ascii="宋体" w:hAnsi="宋体" w:eastAsia="宋体"/>
          <w:b w:val="0"/>
          <w:i w:val="0"/>
          <w:color w:val="000000"/>
          <w:sz w:val="21"/>
        </w:rPr>
        <w:t>其一，数据质量决定模型上限。 本次实验采用的乳腺癌数据集经过了严格的医学采集和质量控制，30 个特征均为经过专业设计的形态学指标，不存在缺失值和异常噪声。这种高质量的结构化数据使得即便是简单的线性模型也能取得接近完美的分类效果（AUC ≈ 0.998）。反观真实金融场景的数据往往充斥着缺失值、录入错误、概念漂移和时间依赖性等问题，模型性能通常会显著低于实验室环境中的基准水平。因此，在实际项目中投入 70% 以上的精力进行数据清洗、特征工程和数据治理绝非过度之举。</w:t>
      </w:r>
    </w:p>
    <w:p>
      <w:pPr>
        <w:spacing w:line="360" w:lineRule="auto" w:before="0" w:after="0"/>
        <w:ind w:firstLine="420"/>
        <w:jc w:val="both"/>
      </w:pPr>
      <w:r>
        <w:rPr>
          <w:rFonts w:ascii="宋体" w:hAnsi="宋体" w:eastAsia="宋体"/>
          <w:b w:val="0"/>
          <w:i w:val="0"/>
          <w:color w:val="000000"/>
          <w:sz w:val="21"/>
        </w:rPr>
        <w:t>其二，没有放之四海而皆准的最优模型。 逻辑回归在本次实验中大获全胜，但这并不意味着它永远是最优选择。模型的有效性高度依赖于数据分布的特性：当特征与目标之间存在清晰的线性关系时，线性模型足以胜任；当关系呈现高度非线性和复杂交互时，基于树的集成方法更具优势；当数据维度极高且稀疏（如文本或图像特征）时，深度学习方法可能成为唯一可行之路。在实践中，应当始终保留多种备选模型并通过交叉验证进行公平比较，而非主观偏好某一种算法。</w:t>
      </w:r>
    </w:p>
    <w:p>
      <w:pPr>
        <w:spacing w:line="360" w:lineRule="auto" w:before="0" w:after="0"/>
        <w:ind w:firstLine="420"/>
        <w:jc w:val="both"/>
      </w:pPr>
      <w:r>
        <w:rPr>
          <w:rFonts w:ascii="宋体" w:hAnsi="宋体" w:eastAsia="宋体"/>
          <w:b w:val="0"/>
          <w:i w:val="0"/>
          <w:color w:val="000000"/>
          <w:sz w:val="21"/>
        </w:rPr>
        <w:t>其三，评估指标的选择深刻影响模型部署策略。 在金融二分类任务中，准确率往往是误导性的——当违约客户仅占 1% 时，一个总是预测"不会违约"的模型也能获得 99% 的准确率，但它毫无实用价值。ROC/AUC、Precision-Recall 曲线和成本敏感的学习框架才是金融建模中应有的评估范式。此外，混淆矩阵的四个象限在金融语境中有着明确的经济含义映射——FN 对应坏账损失金额，FP 对应错失的业务收入机会——将这些经济成本纳入模型优化目标是走向生产级系统的必由之路。</w:t>
      </w:r>
    </w:p>
    <w:p>
      <w:pPr>
        <w:spacing w:line="360" w:lineRule="auto" w:before="0" w:after="0"/>
        <w:ind w:firstLine="420"/>
        <w:jc w:val="both"/>
      </w:pPr>
      <w:r>
        <w:rPr>
          <w:rFonts w:ascii="宋体" w:hAnsi="宋体" w:eastAsia="宋体"/>
          <w:b w:val="0"/>
          <w:i w:val="0"/>
          <w:color w:val="000000"/>
          <w:sz w:val="21"/>
        </w:rPr>
        <w:t>其四，机器学习算法是量化交易工具箱中的重要组件，但并非万能钥匙。 分类模型擅长回答"这个客户会不会违约"、"这笔交易是不是欺诈"这类离散判断问题，但对于"未来股价会涨多少"、"最优仓位应该是多少"等连续预测问题则需要回归模型或强化学习方法的配合。一个完善的 AI 交易引擎应当是多种算法模块协同工作的有机整体——分类器负责信号过滤和风险预警，回归器负责收益预测，强化学习智能体负责动态调仓和执行优化。Task 5 所掌握的分类建模技能正是构建这样一个完整系统的基础砖石之一。</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