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B6B88">
      <w:pPr>
        <w:spacing w:before="120" w:after="120" w:line="360" w:lineRule="auto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color w:val="000000"/>
          <w:sz w:val="28"/>
        </w:rPr>
        <w:t>任务一：数据诊断分析</w:t>
      </w:r>
    </w:p>
    <w:p w14:paraId="20B4F5E9">
      <w:pPr>
        <w:spacing w:before="120" w:after="120" w:line="360" w:lineRule="auto"/>
        <w:jc w:val="left"/>
        <w:rPr>
          <w:sz w:val="21"/>
          <w:szCs w:val="21"/>
        </w:rPr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1.1 数据基础信息</w:t>
      </w:r>
      <w:bookmarkStart w:id="0" w:name="_GoBack"/>
      <w:bookmarkEnd w:id="0"/>
    </w:p>
    <w:p w14:paraId="12D43DB5">
      <w:pPr>
        <w:spacing w:before="0" w:after="0" w:line="360" w:lineRule="auto"/>
        <w:ind w:firstLine="420"/>
        <w:jc w:val="both"/>
        <w:rPr>
          <w:sz w:val="21"/>
          <w:szCs w:val="21"/>
        </w:rPr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本次分析所使用的数据为寒武纪（股票代码：688256.SH）过去一年的日线行情数据，时间跨度为2025年6月30日至2026年6月29日，共计242个交易日。数据集包含11个字段，分别为ts_code、trade_date、open、high、low、close、pre_close、change、pct_chg、vol与amount。经检查，数据集中不存在重复记录，各字段均无缺失值，数据完整性满足后续分析要求。</w:t>
      </w:r>
    </w:p>
    <w:p w14:paraId="6E4F3E74">
      <w:pPr>
        <w:spacing w:before="120" w:after="120" w:line="360" w:lineRule="auto"/>
        <w:jc w:val="left"/>
        <w:rPr>
          <w:sz w:val="21"/>
          <w:szCs w:val="21"/>
        </w:rPr>
      </w:pPr>
      <w:r>
        <w:rPr>
          <w:rFonts w:ascii="Times New Roman" w:hAnsi="Times New Roman" w:eastAsia="黑体"/>
          <w:b/>
          <w:color w:val="000000"/>
          <w:sz w:val="21"/>
          <w:szCs w:val="21"/>
        </w:rPr>
        <w:t>1.2 缺失值检查结果</w:t>
      </w:r>
    </w:p>
    <w:p w14:paraId="565A8371">
      <w:pPr>
        <w:spacing w:before="0" w:after="0" w:line="360" w:lineRule="auto"/>
        <w:ind w:firstLine="420"/>
        <w:jc w:val="both"/>
        <w:rPr>
          <w:sz w:val="21"/>
          <w:szCs w:val="21"/>
        </w:rPr>
      </w:pPr>
      <w:r>
        <w:rPr>
          <w:rFonts w:ascii="Times New Roman" w:hAnsi="Times New Roman" w:eastAsia="宋体"/>
          <w:b w:val="0"/>
          <w:color w:val="000000"/>
          <w:sz w:val="21"/>
          <w:szCs w:val="21"/>
        </w:rPr>
        <w:t>表1呈现了各字段的缺失值数量及其占总体样本的比例。结果显示，所有字段的缺失值数量均为0，缺失比例均为0%，表明数据质量良好，可直接用于描述性统计与后续指标构建。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5DBB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4EDC19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95783B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缺失值数量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5D396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缺失比例（%）</w:t>
            </w:r>
          </w:p>
        </w:tc>
      </w:tr>
      <w:tr w14:paraId="3CC04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EF57BD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ts_code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28373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B88F2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4C711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5D6E7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trade_date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89C9C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9D5A39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74193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87C09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D4248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4EE3C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675F2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259AC4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high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E638C3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EB4A1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0E9DD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7D8163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low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F4DC7B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E4B6F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152D7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4BBA0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close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1F35B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EC126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4D3D5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EB03E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pre_close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AC2AF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379AC1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39A3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EEA48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change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205739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A87A8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3BF6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19A239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pct_chg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CF804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BBFBC2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6A9A5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24544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vol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21077B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A2602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  <w:tr w14:paraId="6509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619FC0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amount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99039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1DDFAE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0.00</w:t>
            </w:r>
          </w:p>
        </w:tc>
      </w:tr>
    </w:tbl>
    <w:p w14:paraId="0BD568AF"/>
    <w:p w14:paraId="6FB89D93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1.3 描述性统计分析</w:t>
      </w:r>
    </w:p>
    <w:p w14:paraId="0922E3E9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1.3.1 原始字段描述性统计</w:t>
      </w:r>
    </w:p>
    <w:p w14:paraId="3D49130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2报告了原始价格与成交量字段的描述性统计结果。统计量包括样本量、均值、标准差、方差、最小值、四分位数、最大值、偏度与峰度。由表2可知，寒武纪收盘价均值为1201.22元，标准差为269.67元，价格区间介于523.50元至1868.00元之间，极差为1344.50元，表明研究期间内股价波动幅度较大。日收益率（pct_chg）均值为0.6504%，标准差为4.5671%，偏度为1.2015，峰度为3.8433，呈现出明显的右偏特征与尖峰厚尾特征，提示极端正收益事件出现频率较高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746"/>
        <w:gridCol w:w="755"/>
        <w:gridCol w:w="755"/>
        <w:gridCol w:w="755"/>
        <w:gridCol w:w="755"/>
        <w:gridCol w:w="755"/>
        <w:gridCol w:w="755"/>
        <w:gridCol w:w="775"/>
        <w:gridCol w:w="775"/>
        <w:gridCol w:w="751"/>
        <w:gridCol w:w="751"/>
      </w:tblGrid>
      <w:tr w14:paraId="45585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E7AEB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253FC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样本量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E6AD2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均值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4BBC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标准差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75EF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方差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6BCF86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最小值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7FE44B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25%分位数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382307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50%分位数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9CB7DA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75%分位数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2A37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最大值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8B58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偏度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779361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峰度</w:t>
            </w:r>
          </w:p>
        </w:tc>
      </w:tr>
      <w:tr w14:paraId="2CA0A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72B1B7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C0C14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40E2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1192.71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B681C0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268.29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D74AE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71979.20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BEDFA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523.00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67E47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1089.13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8AEEE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1291.35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4AE0CD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1365.00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AB767A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1824.94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BB0DF8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-1.1490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C51E1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0.6418</w:t>
            </w:r>
          </w:p>
        </w:tc>
      </w:tr>
      <w:tr w14:paraId="6D05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22F21A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high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D601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E89D6C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1234.70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DC03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279.47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A0C8C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78101.50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639526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537.87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A3E5B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1120.30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1AD75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1326.61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F70E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1409.18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C6247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1966.00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F4CD9F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-1.0896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0E4F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0.7251</w:t>
            </w:r>
          </w:p>
        </w:tc>
      </w:tr>
      <w:tr w14:paraId="00B8C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6BCB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low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301585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5C3F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1164.79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2F242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258.73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41EFC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66938.70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8EE95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520.67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7EF5F8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1069.11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CD8208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1259.00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23697D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1332.75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5249A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1792.80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FE5EC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-1.1558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6A4A4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0.6991</w:t>
            </w:r>
          </w:p>
        </w:tc>
      </w:tr>
      <w:tr w14:paraId="1655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C0A40F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close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0D727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652A4C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1201.22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8EBA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269.67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294FF3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72719.00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0A8EA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523.50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669EBA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1091.50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85B5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1288.95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B8AF1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1371.33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6B2FA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1868.00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BE03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-1.0940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3B8B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0.7007</w:t>
            </w:r>
          </w:p>
        </w:tc>
      </w:tr>
      <w:tr w14:paraId="4CD9E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A5CD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pre_close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E8212A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474CE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1194.97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757A7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268.50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68071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72091.90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FB035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523.50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139162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1087.59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16208C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1285.38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A25450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1368.16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AECE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1825.00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AA25D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-1.1572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040DC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0.6040</w:t>
            </w:r>
          </w:p>
        </w:tc>
      </w:tr>
      <w:tr w14:paraId="52333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0BFE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change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25F2CF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C7B51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6.2472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B7EC46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55.4895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56B5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3079.08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E17DE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-203.00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56FEDB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-25.005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C9481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2.455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DF072A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31.5675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1F0A45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283.33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E1BA8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0.9970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8212F4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4.1793</w:t>
            </w:r>
          </w:p>
        </w:tc>
      </w:tr>
      <w:tr w14:paraId="1EEF8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2B703C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pct_chg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D2759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251E3B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0.6504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E5465A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4.5671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74EE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20.858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88C62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-14.4484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8B0F2A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-2.1346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11E46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0.2932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0A2333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2.6528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8045AC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20.0003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58EAED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1.2015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2B4B0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3.8433</w:t>
            </w:r>
          </w:p>
        </w:tc>
      </w:tr>
      <w:tr w14:paraId="14BCF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1F814F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vol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E31F41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CF6F1E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99936.20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AF3885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43107.10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8C194E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1.86×10⁹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32658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33310.60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8BD49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66756.90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752D30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90106.70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9376E2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126178.00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F227F8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231722.00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A32681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0.8903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505D64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0.1889</w:t>
            </w:r>
          </w:p>
        </w:tc>
      </w:tr>
      <w:tr w14:paraId="3A690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3A8E77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amount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DEF9F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08E99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1.23×10⁷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903FAAF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6.61×10⁶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94A09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4.37×10¹³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B8D2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1.81×10⁶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FC7D1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8.02×10⁶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083DE3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1.04×10⁷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3883FA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1.61×10⁷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61397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3.69×10⁷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59D6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0.8760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4A0EF6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0.3867</w:t>
            </w:r>
          </w:p>
        </w:tc>
      </w:tr>
    </w:tbl>
    <w:p w14:paraId="2C351E27"/>
    <w:p w14:paraId="7CA436D5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1.3.2 派生指标描述性统计</w:t>
      </w:r>
    </w:p>
    <w:p w14:paraId="50CDF96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为深入刻画日内价格波动特征，本文进一步构建了日内绝对振幅、日内振幅百分比与日收益率三个派生指标。其中，日内绝对振幅为最高价与最低价之差，日内振幅百分比为日内绝对振幅相对前收盘价的百分比，日收益率即为pct_chg。表3呈现了上述派生指标的描述性统计结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676"/>
        <w:gridCol w:w="689"/>
        <w:gridCol w:w="733"/>
        <w:gridCol w:w="733"/>
        <w:gridCol w:w="733"/>
        <w:gridCol w:w="720"/>
        <w:gridCol w:w="720"/>
        <w:gridCol w:w="733"/>
        <w:gridCol w:w="733"/>
        <w:gridCol w:w="721"/>
        <w:gridCol w:w="721"/>
      </w:tblGrid>
      <w:tr w14:paraId="41548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A1EBEE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AE81D6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E4D450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样本量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A32595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均值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111433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标准差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F0633D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最小值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0B5B50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25%分位数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8E7ECC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50%分位数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9B4EB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75%分位数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C1D03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最大值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13CA93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偏度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B08FF2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峰度</w:t>
            </w:r>
          </w:p>
        </w:tc>
      </w:tr>
      <w:tr w14:paraId="702C4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80310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price_range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CF4EF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日内最高价与最低价之差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7028E9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F57E8B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69.9064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EA70DD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40.8406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D50B73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7.20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24404F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41.00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B166A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60.95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1BDA22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89.7425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07BDE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226.80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F71E6B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1.2270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A0406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1.9142</w:t>
            </w:r>
          </w:p>
        </w:tc>
      </w:tr>
      <w:tr w14:paraId="1E5F6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ED1935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price_range_pct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9FEF2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日内振幅相对前收盘价百分比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E0A7E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A5CC1C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5.7667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C638A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3.1559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FA3A71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1.3299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07AA75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3.5986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FB946B0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5.0558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A64DC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6.9063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911347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21.6031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F0852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1.7364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A7D1C2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4.1046</w:t>
            </w:r>
          </w:p>
        </w:tc>
      </w:tr>
      <w:tr w14:paraId="72412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A27EC0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return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BF8DC6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日收益率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349B22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D15A4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0.6504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021A30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4.5671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3B30B3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-14.4484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FF4D84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-2.1346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C70CC2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0.2932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27518E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2.6528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0B6C0F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20.0003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3554F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1.2015</w:t>
            </w:r>
          </w:p>
        </w:tc>
        <w:tc>
          <w:tcPr>
            <w:tcW w:w="756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0BD5D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3.8433</w:t>
            </w:r>
          </w:p>
        </w:tc>
      </w:tr>
    </w:tbl>
    <w:p w14:paraId="69E8E210"/>
    <w:p w14:paraId="3F24449A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1.4 可视化结果</w:t>
      </w:r>
    </w:p>
    <w:p w14:paraId="2C7A10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呈现了寒武纪在研究期间的收盘价走势、日收益率分布、成交量走势与成交额走势。由图1可知，寒武纪股价在研究期间内经历了显著波动，尤其是在2025年8月至2026年5月期间，股价出现大幅上行后又有所回落。成交量与成交额在股价剧烈波动期间同步放大，反映出市场交易活跃度的提升。</w:t>
      </w:r>
    </w:p>
    <w:p w14:paraId="62F809B7">
      <w:pPr>
        <w:jc w:val="center"/>
      </w:pPr>
      <w:r>
        <w:drawing>
          <wp:inline distT="0" distB="0" distL="114300" distR="114300">
            <wp:extent cx="5486400" cy="392049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ED16">
      <w:pPr>
        <w:spacing w:before="6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 寒武纪日线数据诊断可视化</w:t>
      </w:r>
    </w:p>
    <w:p w14:paraId="0080DD42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1.5 主要结论</w:t>
      </w:r>
    </w:p>
    <w:p w14:paraId="6B9015F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数据完整性：寒武纪日线数据在研究期间内不存在缺失值与重复记录，数据质量良好，满足后续量化分析需求。</w:t>
      </w:r>
    </w:p>
    <w:p w14:paraId="298BD26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价格波动：研究期间内寒武纪股价波动显著，收盘价极差达到1344.50元，显示出较高的投资风险与收益潜力。</w:t>
      </w:r>
    </w:p>
    <w:p w14:paraId="6E40BBF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收益特征：日收益率均值为0.6504%，标准差为4.5671%，偏度与峰度分别为1.2015和3.8433，呈现出右偏与尖峰厚尾特征，极端收益事件较为频繁。</w:t>
      </w:r>
    </w:p>
    <w:p w14:paraId="08A89F0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量价关系：成交量与成交额在股价大幅波动期间显著放大，表明价格变动伴随较高的市场参与度。</w:t>
      </w:r>
    </w:p>
    <w:p w14:paraId="1B3F3AB8"/>
    <w:p w14:paraId="01E3574B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任务二：技术指标计算</w:t>
      </w:r>
    </w:p>
    <w:p w14:paraId="1BC1A02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技术指标是量化交易策略的重要组成部分，其通过数学模型对价格与成交量数据进行加工处理，旨在识别市场趋势、衡量价格动量及评估市场波动状态。本任务围绕相对强弱指标（RSI）、指数平滑异同移动平均线（MACD）以及布林带（Bollinger Bands）三个常用技术指标，对其计算方法与核心作用进行阐述。</w:t>
      </w:r>
    </w:p>
    <w:p w14:paraId="683167C3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 相对强弱指标（RSI）</w:t>
      </w:r>
    </w:p>
    <w:p w14:paraId="0CF64E37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2.1.1 定义与起源</w:t>
      </w:r>
    </w:p>
    <w:p w14:paraId="4073C6D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相对强弱指标（Relative Strength Index，RSI）由 J. Welles Wilder 于1978年在其著作《New Concepts in Technical Trading Systems》中首次提出。RSI属于动量振荡指标（Momentum Oscillator），通过比较一段时期内价格的上涨幅度与下跌幅度，衡量价格变动的内在强度，取值范围为0至100。</w:t>
      </w:r>
    </w:p>
    <w:p w14:paraId="7821C368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2.1.2 计算方法</w:t>
      </w:r>
    </w:p>
    <w:p w14:paraId="543C3E8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RSI的计算以一定周期（通常为14个交易日）内的平均上涨幅度和平均下跌幅度为基础，具体步骤如下：</w:t>
      </w:r>
    </w:p>
    <w:p w14:paraId="08B1AF2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第一步，计算每个交易日的价格变动值：</w:t>
      </w:r>
    </w:p>
    <w:p w14:paraId="79942FF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当日收盘价高于前日收盘价时，上涨幅度 = 当日收盘价 - 前日收盘价，下跌幅度 = 0</w:t>
      </w:r>
    </w:p>
    <w:p w14:paraId="0D0369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当日收盘价低于前日收盘价时，下跌幅度 = 前日收盘价 - 当日收盘价，上涨幅度 = 0</w:t>
      </w:r>
    </w:p>
    <w:p w14:paraId="3517C4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第二步，采用 Wilder 的平滑方法计算平均上涨幅度与平均下跌幅度：</w:t>
      </w:r>
    </w:p>
    <w:p w14:paraId="05B055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初始平均值 = 前14个交易日的算术平均值</w:t>
      </w:r>
    </w:p>
    <w:p w14:paraId="133C856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后续计算公式为：当前平均值 = 前一期平均值 × (n - 1) / n + 当前值 / n</w:t>
      </w:r>
    </w:p>
    <w:p w14:paraId="26111CE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第三步，计算相对强弱值（RS）与RSI：</w:t>
      </w:r>
    </w:p>
    <w:p w14:paraId="039559E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RS = 平均上涨幅度 / 平均下跌幅度</w:t>
      </w:r>
    </w:p>
    <w:p w14:paraId="0F4E82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RSI = 100 - [100 / (1 + RS)]</w:t>
      </w:r>
    </w:p>
    <w:p w14:paraId="57EF3AF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当平均下跌幅度为0时，RSI取值为100。</w:t>
      </w:r>
    </w:p>
    <w:p w14:paraId="49539131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2.1.3 核心作用</w:t>
      </w:r>
    </w:p>
    <w:p w14:paraId="4D0EDC9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RSI在技术分析中的主要作用包括以下方面：其一，超买超卖判断——当RSI值高于70时，市场处于超买状态，价格可能面临回调风险；当RSI值低于30时，市场处于超卖状态，价格可能迎来反弹机会。其二，背离信号——当价格创出新高而RSI未能同步创出新高时，形成顶背离，预示上涨动能减弱；反之，当价格创出新低而RSI未能同步创出新低时，形成底背离，预示下跌动能衰减。其三，趋势确认——RSI在50上方的运行通常被认为是多头市场的特征，在50下方运行则反映空头市场特征。</w:t>
      </w:r>
    </w:p>
    <w:p w14:paraId="2810BF42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 指数平滑异同移动平均线（MACD）</w:t>
      </w:r>
    </w:p>
    <w:p w14:paraId="2C34D027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2.2.1 定义与起源</w:t>
      </w:r>
    </w:p>
    <w:p w14:paraId="54C72841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指数平滑异同移动平均线（Moving Average Convergence Divergence，MACD）由 Gerald Appel 于20世纪70年代提出，是最为广泛使用的趋势跟踪动量指标之一。MACD通过计算两条不同周期的指数移动平均线（EMA）之间的差值，反映价格趋势的方向、强度及其变化。</w:t>
      </w:r>
    </w:p>
    <w:p w14:paraId="0DB21254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2.2.2 计算方法</w:t>
      </w:r>
    </w:p>
    <w:p w14:paraId="570EE65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MACD指标由三个基本要素构成，其计算步骤如下：</w:t>
      </w:r>
    </w:p>
    <w:p w14:paraId="2E4A82D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第一步，计算MACD快线（DIF线）：</w:t>
      </w:r>
    </w:p>
    <w:p w14:paraId="2BCC686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计算12日指数移动平均线（EMA12）</w:t>
      </w:r>
    </w:p>
    <w:p w14:paraId="6AD947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计算26日指数移动平均线（EMA26）</w:t>
      </w:r>
    </w:p>
    <w:p w14:paraId="7C006B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DIF = EMA12 - EMA26</w:t>
      </w:r>
    </w:p>
    <w:p w14:paraId="6CCEA5D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第二步，计算MACD信号线（DEA线）：</w:t>
      </w:r>
    </w:p>
    <w:p w14:paraId="4AF96C5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DEA = 9日指数移动平均线（EMA9）应用于DIF值序列</w:t>
      </w:r>
    </w:p>
    <w:p w14:paraId="5D2B2A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第三步，计算MACD柱状图（MACD Histogram）：</w:t>
      </w:r>
    </w:p>
    <w:p w14:paraId="3C089EF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MACD柱 = DIF - DEA</w:t>
      </w:r>
    </w:p>
    <w:p w14:paraId="2F79BA3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其中，指数移动平均线（EMA）的计算公式为：</w:t>
      </w:r>
    </w:p>
    <w:p w14:paraId="7E91963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EMA(t) = P(t) × α + EMA(t-1) × (1 - α)</w:t>
      </w:r>
    </w:p>
    <w:p w14:paraId="3EBAE9A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α = 2 / (N + 1)，N为移动平均周期数</w:t>
      </w:r>
    </w:p>
    <w:p w14:paraId="0935207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标准参数配置为（12, 26, 9），即快线周期为12、慢线周期为26、信号线周期为9。</w:t>
      </w:r>
    </w:p>
    <w:p w14:paraId="6253F513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2.2.3 核心作用</w:t>
      </w:r>
    </w:p>
    <w:p w14:paraId="02C1349A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MACD在技术分析中的核心功能体现在以下方面：其一，趋势识别——当DIF线位于零轴上方时，市场处于多头趋势；位于零轴下方时，处于空头趋势。其二，交叉信号——当DIF线由下向上穿越DEA线时，形成"金叉"信号，为买入时机；当DIF线由上向下穿越DEA线时，形成"死叉"信号，为卖出时机。其三，背离信号——价格创新高而MACD未能创新高时，构成顶背离；价格创新低而MACD未能创新低时，构成底背离。其四，柱状图分析——MACD柱状图的正负变化及扩张收缩，可反映动能的强弱变化，柱状图由负转正往往预示着趋势的转向。</w:t>
      </w:r>
    </w:p>
    <w:p w14:paraId="2D9DF856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 布林带（Bollinger Bands）</w:t>
      </w:r>
    </w:p>
    <w:p w14:paraId="05419B5C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2.3.1 定义与起源</w:t>
      </w:r>
    </w:p>
    <w:p w14:paraId="37C0E58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布林带（Bollinger Bands）由 John Bollinger 于20世纪80年代提出，是一种基于统计原理的价格通道指标。布林带通过滑动窗口的标准差来动态衡量价格波动性，从而判断价格的相对高低位置及未来的波动趋势。</w:t>
      </w:r>
    </w:p>
    <w:p w14:paraId="4766E66E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2.3.2 计算方法</w:t>
      </w:r>
    </w:p>
    <w:p w14:paraId="2D56A8B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布林带由三条轨道线组成，以移动平均线为基础，叠加标准差通道构建，标准参数配置为（20, 2），即20日周期与2倍标准差。</w:t>
      </w:r>
    </w:p>
    <w:p w14:paraId="02F555D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第一步，计算中轨线（Middle Band）：</w:t>
      </w:r>
    </w:p>
    <w:p w14:paraId="7F0A616E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Middle Band = 20日简单移动平均线（SMA20）</w:t>
      </w:r>
    </w:p>
    <w:p w14:paraId="7773DF3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第二步，计算标准差：</w:t>
      </w:r>
    </w:p>
    <w:p w14:paraId="2517368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σ = 20日收盘价的标准差</w:t>
      </w:r>
    </w:p>
    <w:p w14:paraId="6F570F2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第三步，计算上轨线与下轨线：</w:t>
      </w:r>
    </w:p>
    <w:p w14:paraId="0807514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Upper Band = Middle Band + k × σ，其中k为倍数，标准取值为2</w:t>
      </w:r>
    </w:p>
    <w:p w14:paraId="503F792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Lower Band = Middle Band - k × σ</w:t>
      </w:r>
    </w:p>
    <w:p w14:paraId="0E0C6E82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此外，由布林带衍生出两个常用指标：%B指标衡量价格在布林带中的相对位置，计算公式为 %B = (收盘价 - Lower Band) / (Upper Band - Lower Band)；带宽（Bandwidth）衡量布林带的宽度，计算公式为 Bandwidth = (Upper Band - Lower Band) / Middle Band，用于识别波动率的扩张与收缩。</w:t>
      </w:r>
    </w:p>
    <w:p w14:paraId="26BF2F31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2.3.3 核心作用</w:t>
      </w:r>
    </w:p>
    <w:p w14:paraId="3B5B2AE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布林带在技术分析中的主要用途包括以下方面：其一，波动率测量——布林带的宽度反映市场波动水平，带宽扩大表示波动率上升，带宽收窄表示波动率下降。其二，价格相对定位——当价格触及或突破上轨时，可能处于相对高估区域；当价格触及或跌破下轨时，可能处于相对低估区域。其三，布林带挤压（Squeeze）——当布林带急剧收窄时，表明市场处于低波动阶段，往往是重大行情爆发的前兆。其四，趋势跟踪——在强势趋势行情中，价格可能沿着上轨或下轨持续运行，此时布林带可作为趋势跟踪的参考通道。</w:t>
      </w:r>
    </w:p>
    <w:p w14:paraId="7BFB5EFD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任务三：Python 指标计算与可视化</w:t>
      </w:r>
    </w:p>
    <w:p w14:paraId="5FC622AD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3.1 实现思路与参数设置</w:t>
      </w:r>
    </w:p>
    <w:p w14:paraId="61BABF8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基于任务一清洗后的日线数据，本文采用 Python 编程实现 RSI、MACD 与布林带三类指标的计算与可视化。实现过程分为三个步骤：首先加载本地 CSV 文件中的寒武纪日线数据；其次基于收盘价序列分别计算 RSI(14)、MACD(12,26,9) 以及布林带(20,2)；最后将股价走势与三类指标绘制为可视化图形，以便直观观察指标随价格变动的动态关系。指标参数选择均为技术分析中的标准配置，确保结果具备较好的可比性。</w:t>
      </w:r>
    </w:p>
    <w:p w14:paraId="7B37184C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3.2 最新指标计算结果</w:t>
      </w:r>
    </w:p>
    <w:p w14:paraId="0A2924D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4呈现了研究期末（2026年6月29日）各指标的最新计算结果。当前RSI(14)为57.93，位于50中轴上方，未进入超买或超卖区域。DIF与DEA分别为43.04与24.60，MACD柱为36.88，处于零轴上方，表明短期动能偏强。布林带方面，收盘价位于上轨1543.48元与下轨1158.78元之间，且更接近上轨，说明近期价格处于相对高位区间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0FBD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72CA4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102F24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最新数值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B8719E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备注</w:t>
            </w:r>
          </w:p>
        </w:tc>
      </w:tr>
      <w:tr w14:paraId="11CC9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34A724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RSI(14)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E913BE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57.93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FB8F8E8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未超买/超卖</w:t>
            </w:r>
          </w:p>
        </w:tc>
      </w:tr>
      <w:tr w14:paraId="7A34B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AB16E5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DIF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F4C3B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43.04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5CF7D3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零轴上方</w:t>
            </w:r>
          </w:p>
        </w:tc>
      </w:tr>
      <w:tr w14:paraId="0E8A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04B154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DEA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059B53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24.60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73CA0ED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零轴上方</w:t>
            </w:r>
          </w:p>
        </w:tc>
      </w:tr>
      <w:tr w14:paraId="1B579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911F51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MACD柱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935483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36.88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1DB0C8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正值</w:t>
            </w:r>
          </w:p>
        </w:tc>
      </w:tr>
      <w:tr w14:paraId="2CF7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663D9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布林上轨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18BABC91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1543.48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15A6E8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中轨+2σ</w:t>
            </w:r>
          </w:p>
        </w:tc>
      </w:tr>
      <w:tr w14:paraId="40C0F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BD2C8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布林中轨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EF5C2EA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1351.13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51DC319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20日SMA</w:t>
            </w:r>
          </w:p>
        </w:tc>
      </w:tr>
      <w:tr w14:paraId="6C99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512C68C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布林下轨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99FEF6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1158.78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A723EF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中轨-2σ</w:t>
            </w:r>
          </w:p>
        </w:tc>
      </w:tr>
    </w:tbl>
    <w:p w14:paraId="35EC96CC"/>
    <w:p w14:paraId="618F3FA1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3.3 可视化结果</w:t>
      </w:r>
    </w:p>
    <w:p w14:paraId="296E82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图2展示了寒武纪股价走势与布林带、RSI 以及 MACD 的综合可视化结果。从股价走势与布林带来看，寒武纪在2025年8月至2026年5月期间经历了显著的价格波动，多次出现价格沿上轨或下轨运行的趋势行情。RSI 在2025年9月与2026年5月期间进入超买区域，随后出现价格回落；在2026年2月附近则触及超卖区域，随后价格有所反弹。MACD 的金叉与死叉信号较为明显，2025年8月与2026年4月的金叉信号基本对应价格上行阶段，而2025年10月与2026年5月的死叉信号则对应价格回调或下跌阶段。</w:t>
      </w:r>
    </w:p>
    <w:p w14:paraId="19463208">
      <w:pPr>
        <w:jc w:val="center"/>
      </w:pPr>
      <w:r>
        <w:drawing>
          <wp:inline distT="0" distB="0" distL="114300" distR="114300">
            <wp:extent cx="5486400" cy="436880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8A9E">
      <w:pPr>
        <w:spacing w:before="6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 寒武纪技术指标可视化</w:t>
      </w:r>
    </w:p>
    <w:p w14:paraId="3BFD8139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3.4 主要发现</w:t>
      </w:r>
    </w:p>
    <w:p w14:paraId="62F0AB97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指标间相互印证：RSI 的超买超卖区域与 MACD 的交叉信号在关键价格拐点处存在一定的同步性，提示指标结合使用可提高判断准确性。</w:t>
      </w:r>
    </w:p>
    <w:p w14:paraId="28A654E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布林带波动特征：研究期间内布林带多次出现扩张与收缩，价格突破上轨或下轨后往往伴随回归中轨的趋势，符合布林带的均值回归特性。</w:t>
      </w:r>
    </w:p>
    <w:p w14:paraId="55109EB9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趋势与动能：当前 MACD 柱为正值，RSI 位于50上方，短期内多头动能占优，但价格已接近布林带上轨，需警惕超买引发的短期回调风险。</w:t>
      </w:r>
    </w:p>
    <w:p w14:paraId="47350D86"/>
    <w:p w14:paraId="33FD8021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任务四：其他典型技术指标扩展</w:t>
      </w:r>
    </w:p>
    <w:p w14:paraId="3A47A778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4.1 常见技术指标概述</w:t>
      </w:r>
    </w:p>
    <w:p w14:paraId="2A0C6FD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除RSI、MACD与布林带外，技术分析中还存在众多典型指标，它们从不同维度刻画市场状态与价格行为。常见指标主要包括以下几类：其一，动量类指标，如威廉指标（Williams %R）、变动率指标（ROC）以及动量指标（MTM），主要用于衡量价格变动的速度与力度；其二，趋势类指标，如抛物线转向指标（SAR）与动向指标（DMI），主要用于识别趋势方向与潜在拐点；其三，成交量类指标，如能量潮（OBV）与成交量比率（VR），用于分析成交量与价格之间的协同关系；其四，超买超卖类指标，如随机指标（KDJ）与商品通道指数（CCI），用于判断价格的相对高低位置；其五，波动性指标，如平均真实波幅（ATR），用于衡量市场波动幅度与风险水平。</w:t>
      </w:r>
    </w:p>
    <w:p w14:paraId="7FBE96AC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4.2 随机指标（KDJ）的选取与介绍</w:t>
      </w:r>
    </w:p>
    <w:p w14:paraId="7702E6F3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本任务选取KDJ（随机指标）作为扩展研究对象。KDJ指标由美国技术分析家George Lane提出，是在KD指标基础上增加J线后形成的摆动指标，广泛应用于A股市场的短线交易与波段分析。其核心思想是通过比较一段时间内收盘价在价格区间中的相对位置，判断市场的超买超卖状态以及价格反转的可能性。</w:t>
      </w:r>
    </w:p>
    <w:p w14:paraId="5C3C471B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KDJ指标由三条曲线构成：K线为快线，反映价格的短期波动；D线为慢线，是K线的平滑值，反映中期趋势；J线反映K线与D线的偏离程度，波动幅度最大，对价格变化最为敏感。</w:t>
      </w:r>
    </w:p>
    <w:p w14:paraId="53B13511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4.3 KDJ计算方法</w:t>
      </w:r>
    </w:p>
    <w:p w14:paraId="056795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KDJ指标的计算过程分为三个步骤，标准参数配置为KDJ(9,3,3)，即RSV计算周期为9日，K与D的平滑周期为3日。</w:t>
      </w:r>
    </w:p>
    <w:p w14:paraId="4D36263C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第一步，计算未成熟随机值（RSV）：</w:t>
      </w:r>
    </w:p>
    <w:p w14:paraId="60D1374D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RSV(t) = [C(t) - L(n)] / [H(n) - L(n)] × 100</w:t>
      </w:r>
    </w:p>
    <w:p w14:paraId="33987B5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其中C(t)为当日收盘价，H(n)为前n日最高价，L(n)为前n日最低价。若H(n) = L(n)，则RSV取50。</w:t>
      </w:r>
    </w:p>
    <w:p w14:paraId="04495FC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第二步，采用平滑递推方法计算K值与D值：</w:t>
      </w:r>
    </w:p>
    <w:p w14:paraId="79C91D0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K(t) = (2/3) × K(t-1) + (1/3) × RSV(t)</w:t>
      </w:r>
    </w:p>
    <w:p w14:paraId="461ADD7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D(t) = (2/3) × D(t-1) + (1/3) × K(t)</w:t>
      </w:r>
    </w:p>
    <w:p w14:paraId="3AF39B40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初始值通常设为K(9) = D(9) = 50。</w:t>
      </w:r>
    </w:p>
    <w:p w14:paraId="459A0625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第三步，计算J值：</w:t>
      </w:r>
    </w:p>
    <w:p w14:paraId="6655126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- J(t) = 3 × D(t) - 2 × K(t)</w:t>
      </w:r>
    </w:p>
    <w:p w14:paraId="188F8D56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4.4 KDJ计算结果</w:t>
      </w:r>
    </w:p>
    <w:p w14:paraId="47C3705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表5呈现了研究期末（2026年6月29日）KDJ指标的最新计算结果。当前K值为75.48，D值为70.36，J值为60.13，均处于50至80之间，尚未进入严重超买或超卖区域，但已接近超买区，表明短期内多头动能仍占优势，但需警惕超买风险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EFE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C6655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E8A9B5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最新数值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2E101D2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状态说明</w:t>
            </w:r>
          </w:p>
        </w:tc>
      </w:tr>
      <w:tr w14:paraId="6DF5F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172FD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RSV(9)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0E46A1E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77.87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789B93E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当前收盘价处于9日价格区间上部</w:t>
            </w:r>
          </w:p>
        </w:tc>
      </w:tr>
      <w:tr w14:paraId="39069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3DAB12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K(9,3,3)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71476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75.48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07D24C7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接近超买区</w:t>
            </w:r>
          </w:p>
        </w:tc>
      </w:tr>
      <w:tr w14:paraId="2DBA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2A7AC9E5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D(9,3,3)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BD1C9F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70.36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0D307D63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略低于K值</w:t>
            </w:r>
          </w:p>
        </w:tc>
      </w:tr>
      <w:tr w14:paraId="5B0BB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4E767F39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J(9,3,3)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67C9D70B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60.13</w:t>
            </w:r>
          </w:p>
        </w:tc>
        <w:tc>
          <w:tcPr>
            <w:tcW w:w="3024" w:type="dxa"/>
            <w:tcMar>
              <w:top w:w="0" w:type="dxa"/>
              <w:left w:w="5" w:type="dxa"/>
              <w:bottom w:w="0" w:type="dxa"/>
              <w:right w:w="5" w:type="dxa"/>
            </w:tcMar>
            <w:vAlign w:val="center"/>
          </w:tcPr>
          <w:p w14:paraId="367286E6"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处于多头区间</w:t>
            </w:r>
          </w:p>
        </w:tc>
      </w:tr>
    </w:tbl>
    <w:p w14:paraId="38F366E2"/>
    <w:p w14:paraId="534D959A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4.5 可视化结果</w:t>
      </w:r>
    </w:p>
    <w:p w14:paraId="30F03CF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3展示了寒武纪股价走势与KDJ指标的综合可视化结果。由图可知，KDJ三条曲线在价格剧烈波动期间呈现出较为频繁的交叉，J线由于其对价格变化更为敏感，波动幅度明显大于K线与D线。在2025年9月与2026年5月的价格高点附近，KDJ均进入超买区域，随后价格出现回落；而在2026年2月的价格低点附近，KDJ进入超卖区域，随后价格出现反弹。K-D差值的正负变化反映了KDJ金叉与死叉的转换过程，多次交叉基本对应价格的短期转折点。</w:t>
      </w:r>
    </w:p>
    <w:p w14:paraId="4A9D9443">
      <w:pPr>
        <w:jc w:val="center"/>
      </w:pPr>
      <w:r>
        <w:drawing>
          <wp:inline distT="0" distB="0" distL="114300" distR="114300">
            <wp:extent cx="5486400" cy="328485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863F">
      <w:pPr>
        <w:spacing w:before="6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图3 寒武纪KDJ指标可视化</w:t>
      </w:r>
    </w:p>
    <w:p w14:paraId="561D496F">
      <w:pPr>
        <w:spacing w:before="12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4.6 主要发现</w:t>
      </w:r>
    </w:p>
    <w:p w14:paraId="7005A0CF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KDJ与RSI、MACD相互印证：KDJ在超买超卖区域的表现与RSI和MACD存在较高的一致性，三者结合使用可提升对价格拐点的判断能力。</w:t>
      </w:r>
    </w:p>
    <w:p w14:paraId="29C0FF34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J线敏感性：J线对价格变化最为敏感，常用于捕捉短期极端行情，但也容易产生较多噪声信号，因此需要配合其他指标进行过滤。</w:t>
      </w:r>
    </w:p>
    <w:p w14:paraId="75962D06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当前状态判断：截至研究期末，KDJ指标整体处于偏多区域，但尚未达到严重超买状态，与MACD的正向动能以及RSI的中性偏强状态相互印证。</w:t>
      </w:r>
    </w:p>
    <w:p w14:paraId="4A061F48">
      <w:pPr>
        <w:spacing w:before="0" w:after="0" w:line="360" w:lineRule="auto"/>
        <w:ind w:firstLine="42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综合应用建议：在实际交易中，可将KDJ的金叉/死叉信号与MACD交叉信号、RSI超买超卖状态结合使用，形成多指标共振的交易系统，以提高信号的可靠性与稳定性。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435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834</Words>
  <Characters>1738</Characters>
  <Lines>0</Lines>
  <Paragraphs>0</Paragraphs>
  <TotalTime>2</TotalTime>
  <ScaleCrop>false</ScaleCrop>
  <LinksUpToDate>false</LinksUpToDate>
  <CharactersWithSpaces>1743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Always</cp:lastModifiedBy>
  <dcterms:modified xsi:type="dcterms:W3CDTF">2026-07-02T14:46:43Z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eyJoZGlkIjoiNmExMTQ2NGNhMGYzYmVkYTVlMzgwZDA1MTlhYjAwYzQiLCJ1c2VySWQiOiI3NjM0NTc1ODAifQ==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71F6CE9896D945358AFB5ADFE8DD7F36_12</vt:lpwstr>
  </property>
</Properties>
</file>