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235A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任务一：数据诊断分析</w:t>
      </w:r>
    </w:p>
    <w:p w14:paraId="35DEC03F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1.1 数据基础信息</w:t>
      </w:r>
    </w:p>
    <w:p w14:paraId="3A79CB33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次分析所使用的数据为寒武纪（股票代码：688256.SH）过去一年的日线行情数据，时间跨度为2025年6月30日至2026年6月29日，共计242个交易日。数据集包含11个字段，分别为ts_code、trade_date、open、high、low、close、pre_close、change、pct_chg、vol与amount。经检查，数据集中不存在重复记录，各字段均无缺失值，数据完整性满足后续分析要求。</w:t>
      </w:r>
    </w:p>
    <w:p w14:paraId="6A9A26AE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1.2 缺失值检查结果</w:t>
      </w:r>
    </w:p>
    <w:p w14:paraId="5C9340D4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表1呈现了各字段的缺失值数量及其占总体样本的比例。结果显示，所有字段的缺失值数量均为0，缺失比例均为0%，表明数据质量良好，可直接用于描述性统计与后续指标构建。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FF9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2BA3E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B1303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缺失值数量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14F0D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缺失比例（%）</w:t>
            </w:r>
          </w:p>
        </w:tc>
      </w:tr>
      <w:tr w14:paraId="0945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45591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ts_code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EC05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56B91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76F98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F93EC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trade_date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80DE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DEA07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5F67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AAA5B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882D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F8A78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17C8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C8D33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high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5330C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0F2CA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13E4D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3625A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low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BA139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BC9F4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42B8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CB101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close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BFE65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FC011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5E8D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233F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pre_close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9C1AA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10C66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4318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0AF0A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change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84189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C1C3C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3818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DE194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pct_chg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EC6AA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2062D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14F1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B5889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vol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1FF6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DA8B8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  <w:tr w14:paraId="7E88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1E79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amount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4E88F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8FB6E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</w:tr>
    </w:tbl>
    <w:p w14:paraId="14561F1E"/>
    <w:p w14:paraId="2F6CC1D7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1.3 描述性统计分析</w:t>
      </w:r>
    </w:p>
    <w:p w14:paraId="0A96FD86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1.3.1 原始字段描述性统计</w:t>
      </w:r>
    </w:p>
    <w:p w14:paraId="7E177EAD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表2报告了原始价格与成交量字段的描述性统计结果。统计量包括样本量、均值、标准差、方差、最小值、四分位数、最大值、偏度与峰度。由表2可知，寒武纪收盘价均值为1201.22元，标准差为269.67元，价格区间介于523.50元至1868.00元之间，极差为1344.50元，表明研究期间内股价波动幅度较大。日收益率（pct_chg）均值为0.6504%，标准差为4.5671%，偏度为1.2015，峰度为3.8433，呈现出明显的右偏特征与尖峰厚尾特征，提示极端正收益事件出现频率较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484"/>
        <w:gridCol w:w="790"/>
        <w:gridCol w:w="790"/>
        <w:gridCol w:w="910"/>
        <w:gridCol w:w="790"/>
        <w:gridCol w:w="790"/>
        <w:gridCol w:w="790"/>
        <w:gridCol w:w="820"/>
        <w:gridCol w:w="820"/>
        <w:gridCol w:w="639"/>
        <w:gridCol w:w="639"/>
      </w:tblGrid>
      <w:tr w14:paraId="27C1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5178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B5442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样本量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A581C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5B367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标准差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A7F4D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方差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5DD46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最小值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31B7D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25%分位数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7814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50%分位数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1FF57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75%分位数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EC708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最大值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45C93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偏度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6F18E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峰度</w:t>
            </w:r>
          </w:p>
        </w:tc>
      </w:tr>
      <w:tr w14:paraId="2A96A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6458D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E3F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A8C31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1192.71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31342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268.29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750B8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71979.20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E25B0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523.00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3176D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1089.13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E9B2C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1291.35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C89A8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1365.00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FB660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1824.94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247D7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-1.1490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A93FD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0.6418</w:t>
            </w:r>
          </w:p>
        </w:tc>
      </w:tr>
      <w:tr w14:paraId="5F79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44024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high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3D3E5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E08C0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1234.70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E7771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279.47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D30BB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78101.50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EF42B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537.87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E4B28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1120.30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1FF5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1326.61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BA2B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1409.18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04460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1966.00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3D9F0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-1.0896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12CF5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0.7251</w:t>
            </w:r>
          </w:p>
        </w:tc>
      </w:tr>
      <w:tr w14:paraId="3744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DAD09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low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51277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FF85E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1164.79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F0F1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258.73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CC11B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66938.70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F0981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520.67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67087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1069.11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FB5DC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1259.00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C639C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1332.75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D318D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1792.80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1C5B5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-1.1558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7C058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0.6991</w:t>
            </w:r>
          </w:p>
        </w:tc>
      </w:tr>
      <w:tr w14:paraId="739D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97500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close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70FA2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30FDD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1201.22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AB6C0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269.67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160B8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72719.00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9D1F0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523.50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DB625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1091.50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15F08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1288.95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5453E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1371.33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B5767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1868.00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6AF74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-1.0940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3A0E7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0.7007</w:t>
            </w:r>
          </w:p>
        </w:tc>
      </w:tr>
      <w:tr w14:paraId="269B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746DE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pre_close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979CA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A88F7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1194.97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0B048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268.50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7E5EB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72091.90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A9948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523.50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6E14C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1087.59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D0F5E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1285.38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57260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1368.16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19D8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1825.00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0DBE2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-1.1572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CDDB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0.6040</w:t>
            </w:r>
          </w:p>
        </w:tc>
      </w:tr>
      <w:tr w14:paraId="0A707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289F8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change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7157F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F088E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6.2472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6308C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55.4895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4078D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3079.08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6C13A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-203.00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CAF86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-25.005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BDDFB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2.455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C8A11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31.5675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52B81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283.33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A8210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0.9970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F3BEF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4.1793</w:t>
            </w:r>
          </w:p>
        </w:tc>
      </w:tr>
      <w:tr w14:paraId="0C22C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435AD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pct_chg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BF045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F890E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0.6504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9E2FB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4.5671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848E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20.858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AF3F7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-14.4484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C8F2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-2.1346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FE011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0.2932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FB4E1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2.6528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57476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20.0003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4A928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1.2015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E0D9D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3.8433</w:t>
            </w:r>
          </w:p>
        </w:tc>
      </w:tr>
      <w:tr w14:paraId="71C0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093F6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vol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C7727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05C01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99936.20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B824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43107.10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90A73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1.86×10⁹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99BA7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33310.60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ED24C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66756.90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3133F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90106.70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99C1F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126178.00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C0576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231722.00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8C64D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0.8903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A435B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0.1889</w:t>
            </w:r>
          </w:p>
        </w:tc>
      </w:tr>
      <w:tr w14:paraId="49F2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503EE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amount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6054F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66B48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1.23×10⁷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7E390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6.61×10⁶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46910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4.37×10¹³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8A795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1.81×10⁶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6BDA3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8.02×10⁶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73B84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1.04×10⁷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0FC16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1.61×10⁷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66200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3.69×10⁷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8E4CA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0.8760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7FB6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0.3867</w:t>
            </w:r>
          </w:p>
        </w:tc>
      </w:tr>
    </w:tbl>
    <w:p w14:paraId="59CFA854"/>
    <w:p w14:paraId="1134FE0A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1.3.2 派生指标描述性统计</w:t>
      </w:r>
    </w:p>
    <w:p w14:paraId="35CDDA5B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为深入刻画日内价格波动特征，本文进一步构建了日内绝对振幅、日内振幅百分比与日收益率三个派生指标。其中，日内绝对振幅为最高价与最低价之差，日内振幅百分比为日内绝对振幅相对前收盘价的百分比，日收益率即为pct_chg。表3呈现了上述派生指标的描述性统计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618"/>
        <w:gridCol w:w="640"/>
        <w:gridCol w:w="728"/>
        <w:gridCol w:w="728"/>
        <w:gridCol w:w="728"/>
        <w:gridCol w:w="706"/>
        <w:gridCol w:w="706"/>
        <w:gridCol w:w="728"/>
        <w:gridCol w:w="728"/>
        <w:gridCol w:w="706"/>
        <w:gridCol w:w="706"/>
      </w:tblGrid>
      <w:tr w14:paraId="40E1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5B55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1753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9E37A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样本量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3B9A8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847A1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标准差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AAFA6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最小值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9F182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25%分位数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8EB96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50%分位数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ED9C3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75%分位数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1D334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最大值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9D261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偏度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69DEB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峰度</w:t>
            </w:r>
          </w:p>
        </w:tc>
      </w:tr>
      <w:tr w14:paraId="470B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0A726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price_range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2A0B1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日内最高价与最低价之差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52FA8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1325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69.9064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4E21A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40.8406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89AE4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7.20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EF0E0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41.00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DECBE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60.95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175D0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89.7425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6622E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226.80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80D64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1.2270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7B8C3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1.9142</w:t>
            </w:r>
          </w:p>
        </w:tc>
      </w:tr>
      <w:tr w14:paraId="6FDA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7A901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price_range_pct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793A9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日内振幅相对前收盘价百分比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3C981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92819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5.7667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5A642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3.1559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FB359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1.3299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355C7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3.5986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A3CFB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5.0558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232F6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6.9063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4957F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21.6031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65951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1.7364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9BE30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4.1046</w:t>
            </w:r>
          </w:p>
        </w:tc>
      </w:tr>
      <w:tr w14:paraId="007D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E8987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return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034C4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日收益率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7A0F7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054C9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0.6504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F24EE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4.5671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B4579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-14.4484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7E6C4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-2.1346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A8F4D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0.2932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FEB9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2.6528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D5E73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20.0003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C7FEA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1.2015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04F4F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3.8433</w:t>
            </w:r>
          </w:p>
        </w:tc>
      </w:tr>
    </w:tbl>
    <w:p w14:paraId="1C8F734F"/>
    <w:p w14:paraId="052B600E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1.4 可视化结果</w:t>
      </w:r>
    </w:p>
    <w:p w14:paraId="1283FC32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图1呈现了寒武纪在研究期间的收盘价走势、日收益率分布、成交量走势与成交额走势。由图1可知，寒武纪股价在研究期间内经历了显著波动，尤其是在2025年8月至2026年5月期间，股价出现大幅上行后又有所回落。成交量与成交额在股价剧烈波动期间同步放大，反映出市场交易活跃度的提升。</w:t>
      </w:r>
    </w:p>
    <w:p w14:paraId="14B9AD2E">
      <w:pPr>
        <w:jc w:val="center"/>
      </w:pPr>
      <w:r>
        <w:drawing>
          <wp:inline distT="0" distB="0" distL="114300" distR="114300">
            <wp:extent cx="5486400" cy="392049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CD0F">
      <w:pPr>
        <w:spacing w:before="60" w:after="12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图1 寒武纪日线数据诊断可视化</w:t>
      </w:r>
    </w:p>
    <w:p w14:paraId="3AE70D24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1.5 主要结论</w:t>
      </w:r>
    </w:p>
    <w:p w14:paraId="365F864A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1. 数据完整性：寒武纪日线数据在研究期间内不存在缺失值与重复记录，数据质量良好，满足后续量化分析需求。</w:t>
      </w:r>
    </w:p>
    <w:p w14:paraId="777735CA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2. 价格波动：研究期间内寒武纪股价波动显著，收盘价极差达到1344.50元，显示出较高的投资风险与收益潜力。</w:t>
      </w:r>
    </w:p>
    <w:p w14:paraId="18D18F0E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3. 收益特征：日收益率均值为0.6504%，标准差为4.5671%，偏度与峰度分别为1.2015和3.8433，呈现出右偏与尖峰厚尾特征，极端收益事件较为频繁。</w:t>
      </w:r>
    </w:p>
    <w:p w14:paraId="4906A0EA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4. 量价关系：成交量与成交额在股价大幅波动期间显著放大，表明价格变动伴随较高的市场参与度。</w:t>
      </w:r>
    </w:p>
    <w:p w14:paraId="226D50D4"/>
    <w:p w14:paraId="5E4764D5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任务二：技术指标计算</w:t>
      </w:r>
    </w:p>
    <w:p w14:paraId="5AF0BCF0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技术指标是量化交易策略的重要组成部分，其通过数学模型对价格与成交量数据进行加工处理，旨在识别市场趋势、衡量价格动量及评估市场波动状态。本任务围绕相对强弱指标（RSI）、指数平滑异同移动平均线（MACD）以及布林带（Bollinger Bands）三个常用技术指标，对其计算方法与核心作用进行阐述。</w:t>
      </w:r>
    </w:p>
    <w:p w14:paraId="60B1CF33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2.1 相对强弱指标（RSI）</w:t>
      </w:r>
    </w:p>
    <w:p w14:paraId="3295B0A6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2.1.1 定义与起源</w:t>
      </w:r>
    </w:p>
    <w:p w14:paraId="051C2F30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相对强弱指标（Relative Strength Index，RSI）由 J. Welles Wilder 于1978年在其著作《New Concepts in Technical Trading Systems》中首次提出。RSI属于动量振荡指标（Momentum Oscillator），通过比较一段时期内价格的上涨幅度与下跌幅度，衡量价格变动的内在强度，取值范围为0至100。</w:t>
      </w:r>
    </w:p>
    <w:p w14:paraId="09B5C9C2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2.1.2 计算方法</w:t>
      </w:r>
    </w:p>
    <w:p w14:paraId="605C37A3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RSI的计算以一定周期（通常为14个交易日）内的平均上涨幅度和平均下跌幅度为基础，具体步骤如下：</w:t>
      </w:r>
    </w:p>
    <w:p w14:paraId="3637292F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第一步，计算每个交易日的价格变动值：</w:t>
      </w:r>
    </w:p>
    <w:p w14:paraId="0B3EEBEC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当日收盘价高于前日收盘价时，上涨幅度 = 当日收盘价 - 前日收盘价，下跌幅度 = 0</w:t>
      </w:r>
    </w:p>
    <w:p w14:paraId="1BB31ACB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当日收盘价低于前日收盘价时，下跌幅度 = 前日收盘价 - 当日收盘价，上涨幅度 = 0</w:t>
      </w:r>
    </w:p>
    <w:p w14:paraId="33F60FC8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第二步，采用 Wilder 的平滑方法计算平均上涨幅度与平均下跌幅度：</w:t>
      </w:r>
    </w:p>
    <w:p w14:paraId="3F4D518E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初始平均值 = 前14个交易日的算术平均值</w:t>
      </w:r>
    </w:p>
    <w:p w14:paraId="539F471C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后续计算公式为：当前平均值 = 前一期平均值 × (n - 1) / n + 当前值 / n</w:t>
      </w:r>
    </w:p>
    <w:p w14:paraId="5635473F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第三步，计算相对强弱值（RS）与RSI：</w:t>
      </w:r>
    </w:p>
    <w:p w14:paraId="3D3BC7AC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RS = 平均上涨幅度 / 平均下跌幅度</w:t>
      </w:r>
    </w:p>
    <w:p w14:paraId="5DBDCB3C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RSI = 100 - [100 / (1 + RS)]</w:t>
      </w:r>
    </w:p>
    <w:p w14:paraId="2A734776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当平均下跌幅度为0时，RSI取值为100。</w:t>
      </w:r>
    </w:p>
    <w:p w14:paraId="380DBCB2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2.1.3 核心作用</w:t>
      </w:r>
    </w:p>
    <w:p w14:paraId="1522FDEA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RSI在技术分析中的主要作用包括以下方面：其一，超买超卖判断——当RSI值高于70时，市场处于超买状态，价格可能面临回调风险；当RSI值低于30时，市场处于超卖状态，价格可能迎来反弹机会。其二，背离信号——当价格创出新高而RSI未能同步创出新高时，形成顶背离，预示上涨动能减弱；反之，当价格创出新低而RSI未能同步创出新低时，形成底背离，预示下跌动能衰减。其三，趋势确认——RSI在50上方的运行通常被认为是多头市场的特征，在50下方运行则反映空头市场特征。</w:t>
      </w:r>
    </w:p>
    <w:p w14:paraId="2954E2B8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2.2 指数平滑异同移动平均线（MACD）</w:t>
      </w:r>
    </w:p>
    <w:p w14:paraId="073F8A64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2.2.1 定义与起源</w:t>
      </w:r>
    </w:p>
    <w:p w14:paraId="0DA65117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指数平滑异同移动平均线（Moving Average Convergence Divergence，MACD）由 Gerald Appel 于20世纪70年代提出，是最为广泛使用的趋势跟踪动量指标之一。MACD通过计算两条不同周期的指数移动平均线（EMA）之间的差值，反映价格趋势的方向、强度及其变化。</w:t>
      </w:r>
    </w:p>
    <w:p w14:paraId="5BE9F6AD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2.2.2 计算方法</w:t>
      </w:r>
    </w:p>
    <w:p w14:paraId="45D80409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MACD指标由三个基本要素构成，其计算步骤如下：</w:t>
      </w:r>
    </w:p>
    <w:p w14:paraId="06997FFD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第一步，计算MACD快线（DIF线）：</w:t>
      </w:r>
    </w:p>
    <w:p w14:paraId="7C8C6A90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计算12日指数移动平均线（EMA12）</w:t>
      </w:r>
    </w:p>
    <w:p w14:paraId="076F6769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计算26日指数移动平均线（EMA26）</w:t>
      </w:r>
    </w:p>
    <w:p w14:paraId="2C3FFB74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DIF = EMA12 - EMA26</w:t>
      </w:r>
    </w:p>
    <w:p w14:paraId="5DD7C075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第二步，计算MACD信号线（DEA线）：</w:t>
      </w:r>
    </w:p>
    <w:p w14:paraId="1B337E2D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DEA = 9日指数移动平均线（EMA9）应用于DIF值序列</w:t>
      </w:r>
    </w:p>
    <w:p w14:paraId="08D1420D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第三步，计算MACD柱状图（MACD Histogram）：</w:t>
      </w:r>
    </w:p>
    <w:p w14:paraId="256FA49C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MACD柱 = DIF - DEA</w:t>
      </w:r>
    </w:p>
    <w:p w14:paraId="6BE4D908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其中，指数移动平均线（EMA）的计算公式为：</w:t>
      </w:r>
    </w:p>
    <w:p w14:paraId="417437F6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EMA(t) = P(t) × α + EMA(t-1) × (1 - α)</w:t>
      </w:r>
    </w:p>
    <w:p w14:paraId="7B2F502A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α = 2 / (N + 1)，N为移动平均周期数</w:t>
      </w:r>
    </w:p>
    <w:p w14:paraId="2CB95978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标准参数配置为（12, 26, 9），即快线周期为12、慢线周期为26、信号线周期为9。</w:t>
      </w:r>
    </w:p>
    <w:p w14:paraId="285EA259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2.2.3 核心作用</w:t>
      </w:r>
    </w:p>
    <w:p w14:paraId="2B64E9E0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MACD在技术分析中的核心功能体现在以下方面：其一，趋势识别——当DIF线位于零轴上方时，市场处于多头趋势；位于零轴下方时，处于空头趋势。其二，交叉信号——当DIF线由下向上穿越DEA线时，形成"金叉"信号，为买入时机；当DIF线由上向下穿越DEA线时，形成"死叉"信号，为卖出时机。其三，背离信号——价格创新高而MACD未能创新高时，构成顶背离；价格创新低而MACD未能创新低时，构成底背离。其四，柱状图分析——MACD柱状图的正负变化及扩张收缩，可反映动能的强弱变化，柱状图由负转正往往预示着趋势的转向。</w:t>
      </w:r>
    </w:p>
    <w:p w14:paraId="1479BFB5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2.3 布林带（Bollinger Bands）</w:t>
      </w:r>
    </w:p>
    <w:p w14:paraId="203BF084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2.3.1 定义与起源</w:t>
      </w:r>
    </w:p>
    <w:p w14:paraId="5AF6F3E4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布林带（Bollinger Bands）由 John Bollinger 于20世纪80年代提出，是一种基于统计原理的价格通道指标。布林带通过滑动窗口的标准差来动态衡量价格波动性，从而判断价格的相对高低位置及未来的波动趋势。</w:t>
      </w:r>
    </w:p>
    <w:p w14:paraId="4B26DF86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2.3.2 计算方法</w:t>
      </w:r>
    </w:p>
    <w:p w14:paraId="424F8317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布林带由三条轨道线组成，以移动平均线为基础，叠加标准差通道构建，标准参数配置为（20, 2），即20日周期与2倍标准差。</w:t>
      </w:r>
    </w:p>
    <w:p w14:paraId="6E3CB62E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第一步，计算中轨线（Middle Band）：</w:t>
      </w:r>
    </w:p>
    <w:p w14:paraId="37AD7E10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Middle Band = 20日简单移动平均线（SMA20）</w:t>
      </w:r>
    </w:p>
    <w:p w14:paraId="6AC1F3EE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第二步，计算标准差：</w:t>
      </w:r>
    </w:p>
    <w:p w14:paraId="5CFDFF06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σ = 20日收盘价的标准差</w:t>
      </w:r>
    </w:p>
    <w:p w14:paraId="732A58B4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第三步，计算上轨线与下轨线：</w:t>
      </w:r>
    </w:p>
    <w:p w14:paraId="55CF7393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Upper Band = Middle Band + k × σ，其中k为倍数，标准取值为2</w:t>
      </w:r>
    </w:p>
    <w:p w14:paraId="4A7A0C71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Lower Band = Middle Band - k × σ</w:t>
      </w:r>
    </w:p>
    <w:p w14:paraId="5346501E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此外，由布林带衍生出两个常用指标：%B指标衡量价格在布林带中的相对位置，计算公式为 %B = (收盘价 - Lower Band) / (Upper Band - Lower Band)；带宽（Bandwidth）衡量布林带的宽度，计算公式为 Bandwidth = (Upper Band - Lower Band) / Middle Band，用于识别波动率的扩张与收缩。</w:t>
      </w:r>
    </w:p>
    <w:p w14:paraId="12CE32C6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2.3.3 核心作用</w:t>
      </w:r>
    </w:p>
    <w:p w14:paraId="6EF36B57">
      <w:pPr>
        <w:spacing w:before="0" w:after="0" w:line="360" w:lineRule="auto"/>
        <w:ind w:firstLine="420"/>
        <w:jc w:val="both"/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布林带在技术分析中的主要用途包括以下方面：其一，波动率测量——布林带的宽度反映市场波动水平，带宽扩大表示波动率上升，带宽收窄表示波动率下降。其二，价格相对定位——当价格触及或突破上轨时，可能处于相对高估区域；当价格触及或跌破下轨时，可能处于相对低估区域。其三，布林带挤压（Squeeze）——当布林带急剧收窄时，表明市场处于低波动阶段，往往是重大行情爆发的前兆。其四，趋势跟踪——在强势趋势行情中，价格可能沿着上轨或下轨持续运行，此时布林带可作为趋势跟踪的参考通道。</w:t>
      </w:r>
    </w:p>
    <w:p w14:paraId="0E16F5F1">
      <w:pPr>
        <w:spacing w:before="0" w:after="0" w:line="360" w:lineRule="auto"/>
        <w:ind w:firstLine="420"/>
        <w:jc w:val="both"/>
        <w:rPr>
          <w:rFonts w:ascii="宋体" w:hAnsi="宋体" w:eastAsia="宋体"/>
          <w:b w:val="0"/>
          <w:color w:val="000000"/>
          <w:sz w:val="21"/>
        </w:rPr>
      </w:pPr>
      <w:bookmarkStart w:id="0" w:name="_GoBack"/>
      <w:bookmarkEnd w:id="0"/>
    </w:p>
    <w:p w14:paraId="24D8B5A6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任务三：Python 指标计算与可视化</w:t>
      </w:r>
    </w:p>
    <w:p w14:paraId="6F04B853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3.1 实现思路与参数设置</w:t>
      </w:r>
    </w:p>
    <w:p w14:paraId="544B9C08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基于任务一清洗后的日线数据，本文采用 Python 编程实现 RSI、MACD 与布林带三类指标的计算与可视化。实现过程分为三个步骤：首先加载本地 CSV 文件中的寒武纪日线数据；其次基于收盘价序列分别计算 RSI(14)、MACD(12,26,9) 以及布林带(20,2)；最后将股价走势与三类指标绘制为可视化图形，以便直观观察指标随价格变动的动态关系。指标参数选择均为技术分析中的标准配置，确保结果具备较好的可比性。</w:t>
      </w:r>
    </w:p>
    <w:p w14:paraId="5C8CB810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3.2 最新指标计算结果</w:t>
      </w:r>
    </w:p>
    <w:p w14:paraId="16394D4B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表4呈现了研究期末（2026年6月29日）各指标的最新计算结果。当前RSI(14)为57.93，位于50中轴上方，未进入超买或超卖区域。DIF与DEA分别为43.04与24.60，MACD柱为36.88，处于零轴上方，表明短期动能偏强。布林带方面，收盘价位于上轨1543.48元与下轨1158.78元之间，且更接近上轨，说明近期价格处于相对高位区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85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58670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984B0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最新数值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A019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 w14:paraId="09B3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4C42C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RSI(14)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0D996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57.93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D7A2F3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未超买/超卖</w:t>
            </w:r>
          </w:p>
        </w:tc>
      </w:tr>
      <w:tr w14:paraId="3933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73CE7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DIF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5B7A1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43.04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FD544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零轴上方</w:t>
            </w:r>
          </w:p>
        </w:tc>
      </w:tr>
      <w:tr w14:paraId="01D3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1466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DEA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9C490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24.60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6A856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零轴上方</w:t>
            </w:r>
          </w:p>
        </w:tc>
      </w:tr>
      <w:tr w14:paraId="4981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570E1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MACD柱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E6742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36.88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AD767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正值</w:t>
            </w:r>
          </w:p>
        </w:tc>
      </w:tr>
      <w:tr w14:paraId="7780B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F4D53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布林上轨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A026D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1543.48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E8EE8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中轨+2σ</w:t>
            </w:r>
          </w:p>
        </w:tc>
      </w:tr>
      <w:tr w14:paraId="3A2C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C7C42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布林中轨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F4C6A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1351.13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38B32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20日SMA</w:t>
            </w:r>
          </w:p>
        </w:tc>
      </w:tr>
      <w:tr w14:paraId="0878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7D755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布林下轨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D19F2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1158.78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43FEE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中轨-2σ</w:t>
            </w:r>
          </w:p>
        </w:tc>
      </w:tr>
    </w:tbl>
    <w:p w14:paraId="75E651B7"/>
    <w:p w14:paraId="163F8A07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3.3 可视化结果</w:t>
      </w:r>
    </w:p>
    <w:p w14:paraId="24EF6BC2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图2展示了寒武纪股价走势与布林带、RSI 以及 MACD 的综合可视化结果。从股价走势与布林带来看，寒武纪在2025年8月至2026年5月期间经历了显著的价格波动，多次出现价格沿上轨或下轨运行的趋势行情。RSI 在2025年9月与2026年5月期间进入超买区域，随后出现价格回落；在2026年2月附近则触及超卖区域，随后价格有所反弹。MACD 的金叉与死叉信号较为明显，2025年8月与2026年4月的金叉信号基本对应价格上行阶段，而2025年10月与2026年5月的死叉信号则对应价格回调或下跌阶段。</w:t>
      </w:r>
    </w:p>
    <w:p w14:paraId="3097ACAE">
      <w:pPr>
        <w:jc w:val="center"/>
      </w:pPr>
      <w:r>
        <w:drawing>
          <wp:inline distT="0" distB="0" distL="114300" distR="114300">
            <wp:extent cx="5486400" cy="436880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81E">
      <w:pPr>
        <w:spacing w:before="60" w:after="12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图2 寒武纪技术指标可视化</w:t>
      </w:r>
    </w:p>
    <w:p w14:paraId="25C9F40E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3.4 主要发现</w:t>
      </w:r>
    </w:p>
    <w:p w14:paraId="1DBC346D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1. 指标间相互印证：RSI 的超买超卖区域与 MACD 的交叉信号在关键价格拐点处存在一定的同步性，提示指标结合使用可提高判断准确性。</w:t>
      </w:r>
    </w:p>
    <w:p w14:paraId="08679BD5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2. 布林带波动特征：研究期间内布林带多次出现扩张与收缩，价格突破上轨或下轨后往往伴随回归中轨的趋势，符合布林带的均值回归特性。</w:t>
      </w:r>
    </w:p>
    <w:p w14:paraId="6DD17E4F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3. 趋势与动能：当前 MACD 柱为正值，RSI 位于50上方，短期内多头动能占优，但价格已接近布林带上轨，需警惕超买引发的短期回调风险。</w:t>
      </w:r>
    </w:p>
    <w:p w14:paraId="6390656F"/>
    <w:p w14:paraId="01F5F331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任务四：其他典型技术指标扩展</w:t>
      </w:r>
    </w:p>
    <w:p w14:paraId="37F64DB6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4.1 常见技术指标概述</w:t>
      </w:r>
    </w:p>
    <w:p w14:paraId="616047C6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除RSI、MACD与布林带外，技术分析中还存在众多典型指标，它们从不同维度刻画市场状态与价格行为。常见指标主要包括以下几类：其一，动量类指标，如威廉指标（Williams %R）、变动率指标（ROC）以及动量指标（MTM），主要用于衡量价格变动的速度与力度；其二，趋势类指标，如抛物线转向指标（SAR）与动向指标（DMI），主要用于识别趋势方向与潜在拐点；其三，成交量类指标，如能量潮（OBV）与成交量比率（VR），用于分析成交量与价格之间的协同关系；其四，超买超卖类指标，如随机指标（KDJ）与商品通道指数（CCI），用于判断价格的相对高低位置；其五，波动性指标，如平均真实波幅（ATR），用于衡量市场波动幅度与风险水平。</w:t>
      </w:r>
    </w:p>
    <w:p w14:paraId="4C3D1828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4.2 随机指标（KDJ）的选取与介绍</w:t>
      </w:r>
    </w:p>
    <w:p w14:paraId="548B2FFA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本任务选取KDJ（随机指标）作为扩展研究对象。KDJ指标由美国技术分析家George Lane提出，是在KD指标基础上增加J线后形成的摆动指标，广泛应用于A股市场的短线交易与波段分析。其核心思想是通过比较一段时间内收盘价在价格区间中的相对位置，判断市场的超买超卖状态以及价格反转的可能性。</w:t>
      </w:r>
    </w:p>
    <w:p w14:paraId="45955C2F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KDJ指标由三条曲线构成：K线为快线，反映价格的短期波动；D线为慢线，是K线的平滑值，反映中期趋势；J线反映K线与D线的偏离程度，波动幅度最大，对价格变化最为敏感。</w:t>
      </w:r>
    </w:p>
    <w:p w14:paraId="734FBC67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4.3 KDJ计算方法</w:t>
      </w:r>
    </w:p>
    <w:p w14:paraId="22B008B9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KDJ指标的计算过程分为三个步骤，标准参数配置为KDJ(9,3,3)，即RSV计算周期为9日，K与D的平滑周期为3日。</w:t>
      </w:r>
    </w:p>
    <w:p w14:paraId="621572F3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第一步，计算未成熟随机值（RSV）：</w:t>
      </w:r>
    </w:p>
    <w:p w14:paraId="74F95215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RSV(t) = [C(t) - L(n)] / [H(n) - L(n)] × 100</w:t>
      </w:r>
    </w:p>
    <w:p w14:paraId="1C7BBE42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其中C(t)为当日收盘价，H(n)为前n日最高价，L(n)为前n日最低价。若H(n) = L(n)，则RSV取50。</w:t>
      </w:r>
    </w:p>
    <w:p w14:paraId="6462392E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第二步，采用平滑递推方法计算K值与D值：</w:t>
      </w:r>
    </w:p>
    <w:p w14:paraId="237D62CC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K(t) = (2/3) × K(t-1) + (1/3) × RSV(t)</w:t>
      </w:r>
    </w:p>
    <w:p w14:paraId="0FA7BC02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D(t) = (2/3) × D(t-1) + (1/3) × K(t)</w:t>
      </w:r>
    </w:p>
    <w:p w14:paraId="59AF5959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初始值通常设为K(9) = D(9) = 50。</w:t>
      </w:r>
    </w:p>
    <w:p w14:paraId="27C99ADF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第三步，计算J值：</w:t>
      </w:r>
    </w:p>
    <w:p w14:paraId="17D10AD2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- J(t) = 3 × D(t) - 2 × K(t)</w:t>
      </w:r>
    </w:p>
    <w:p w14:paraId="2D38D4C3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4.4 KDJ计算结果</w:t>
      </w:r>
    </w:p>
    <w:p w14:paraId="6E18C977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表5呈现了研究期末（2026年6月29日）KDJ指标的最新计算结果。当前K值为75.48，D值为70.36，J值为60.13，均处于50至80之间，尚未进入严重超买或超卖区域，但已接近超买区，表明短期内多头动能仍占优势，但需警惕超买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8A4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9EB79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D55D4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最新数值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E3F2C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状态说明</w:t>
            </w:r>
          </w:p>
        </w:tc>
      </w:tr>
      <w:tr w14:paraId="71B3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DD50B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RSV(9)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85310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77.87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CAF25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当前收盘价处于9日价格区间上部</w:t>
            </w:r>
          </w:p>
        </w:tc>
      </w:tr>
      <w:tr w14:paraId="0387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B404D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K(9,3,3)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1CD40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75.48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58111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接近超买区</w:t>
            </w:r>
          </w:p>
        </w:tc>
      </w:tr>
      <w:tr w14:paraId="1E58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02660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D(9,3,3)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AECA7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70.36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B44F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略低于K值</w:t>
            </w:r>
          </w:p>
        </w:tc>
      </w:tr>
      <w:tr w14:paraId="59C5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84E123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J(9,3,3)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AD26C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60.13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2E33C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处于多头区间</w:t>
            </w:r>
          </w:p>
        </w:tc>
      </w:tr>
    </w:tbl>
    <w:p w14:paraId="295FE581"/>
    <w:p w14:paraId="5A6863BE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4.5 可视化结果</w:t>
      </w:r>
    </w:p>
    <w:p w14:paraId="182D7E27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图3展示了寒武纪股价走势与KDJ指标的综合可视化结果。由图可知，KDJ三条曲线在价格剧烈波动期间呈现出较为频繁的交叉，J线由于其对价格变化更为敏感，波动幅度明显大于K线与D线。在2025年9月与2026年5月的价格高点附近，KDJ均进入超买区域，随后价格出现回落；而在2026年2月的价格低点附近，KDJ进入超卖区域，随后价格出现反弹。K-D差值的正负变化反映了KDJ金叉与死叉的转换过程，多次交叉基本对应价格的短期转折点。</w:t>
      </w:r>
    </w:p>
    <w:p w14:paraId="6B72FA91">
      <w:pPr>
        <w:jc w:val="center"/>
      </w:pPr>
      <w:r>
        <w:drawing>
          <wp:inline distT="0" distB="0" distL="114300" distR="114300">
            <wp:extent cx="5486400" cy="328485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9B66">
      <w:pPr>
        <w:spacing w:before="60" w:after="12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图3 寒武纪KDJ指标可视化</w:t>
      </w:r>
    </w:p>
    <w:p w14:paraId="700DB4DE">
      <w:pPr>
        <w:spacing w:before="120" w:after="12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4.6 主要发现</w:t>
      </w:r>
    </w:p>
    <w:p w14:paraId="0B89B475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1. KDJ与RSI、MACD相互印证：KDJ在超买超卖区域的表现与RSI和MACD存在较高的一致性，三者结合使用可提升对价格拐点的判断能力。</w:t>
      </w:r>
    </w:p>
    <w:p w14:paraId="414415D6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2. J线敏感性：J线对价格变化最为敏感，常用于捕捉短期极端行情，但也容易产生较多噪声信号，因此需要配合其他指标进行过滤。</w:t>
      </w:r>
    </w:p>
    <w:p w14:paraId="1F5CCC08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3. 当前状态判断：截至研究期末，KDJ指标整体处于偏多区域，但尚未达到严重超买状态，与MACD的正向动能以及RSI的中性偏强状态相互印证。</w:t>
      </w:r>
    </w:p>
    <w:p w14:paraId="6E26471E"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4. 综合应用建议：在实际交易中，可将KDJ的金叉/死叉信号与MACD交叉信号、RSI超买超卖状态结合使用，形成多指标共振的交易系统，以提高信号的可靠性与稳定性。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8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852</Words>
  <Characters>1738</Characters>
  <Lines>0</Lines>
  <Paragraphs>0</Paragraphs>
  <TotalTime>0</TotalTime>
  <ScaleCrop>false</ScaleCrop>
  <LinksUpToDate>false</LinksUpToDate>
  <CharactersWithSpaces>1743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Always</cp:lastModifiedBy>
  <dcterms:modified xsi:type="dcterms:W3CDTF">2026-07-02T14:51:07Z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eyJoZGlkIjoiNmExMTQ2NGNhMGYzYmVkYTVlMzgwZDA1MTlhYjAwYzQiLCJ1c2VySWQiOiI3NjM0NTc1ODAifQ==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D34A492800C74218BA90F97B085D39A6_12</vt:lpwstr>
  </property>
</Properties>
</file>