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2B83D">
      <w:pPr>
        <w:spacing w:before="240" w:after="120" w:line="360" w:lineRule="auto"/>
        <w:jc w:val="left"/>
      </w:pPr>
      <w:r>
        <w:rPr>
          <w:rFonts w:ascii="宋体" w:hAnsi="宋体" w:eastAsia="宋体"/>
          <w:b/>
          <w:i w:val="0"/>
          <w:color w:val="000000"/>
          <w:sz w:val="32"/>
        </w:rPr>
        <w:t>TASK3：</w:t>
      </w:r>
      <w:r>
        <w:rPr>
          <w:rFonts w:hint="eastAsia" w:ascii="宋体" w:hAnsi="宋体" w:eastAsia="宋体"/>
          <w:b/>
          <w:i w:val="0"/>
          <w:color w:val="000000"/>
          <w:sz w:val="32"/>
        </w:rPr>
        <w:t>用均线交叉反应市场趋势变化</w:t>
      </w:r>
    </w:p>
    <w:p w14:paraId="6E0E3800">
      <w:pPr>
        <w:spacing w:before="120" w:after="120" w:line="360" w:lineRule="auto"/>
        <w:jc w:val="left"/>
      </w:pPr>
      <w:r>
        <w:rPr>
          <w:rFonts w:ascii="宋体" w:hAnsi="宋体" w:eastAsia="宋体"/>
          <w:b/>
          <w:i w:val="0"/>
          <w:color w:val="000000"/>
          <w:sz w:val="28"/>
        </w:rPr>
        <w:t>1 双均线策略基础</w:t>
      </w:r>
    </w:p>
    <w:p w14:paraId="2EE76578">
      <w:pPr>
        <w:spacing w:before="120" w:after="120" w:line="360" w:lineRule="auto"/>
        <w:jc w:val="left"/>
      </w:pPr>
      <w:r>
        <w:rPr>
          <w:rFonts w:ascii="宋体" w:hAnsi="宋体" w:eastAsia="宋体"/>
          <w:b/>
          <w:i w:val="0"/>
          <w:color w:val="000000"/>
          <w:sz w:val="24"/>
        </w:rPr>
        <w:t>1.1 移动平均线概述</w:t>
      </w:r>
    </w:p>
    <w:p w14:paraId="404EB063">
      <w:pPr>
        <w:spacing w:before="0" w:after="0" w:line="360" w:lineRule="auto"/>
        <w:ind w:firstLine="420"/>
        <w:jc w:val="both"/>
      </w:pPr>
      <w:r>
        <w:rPr>
          <w:rFonts w:ascii="宋体" w:hAnsi="宋体" w:eastAsia="宋体"/>
          <w:b w:val="0"/>
          <w:i w:val="0"/>
          <w:color w:val="000000"/>
          <w:sz w:val="21"/>
        </w:rPr>
        <w:t>移动平均线（Moving Average，MA）是技术分析中应用最为广泛的趋势跟踪工具之一。其核心逻辑在于通过对一定时期内价格数据的算术或加权平均，滤除价格序列中的短期随机波动，从而揭示价格变动的长期趋势方向。依据计算方式的不同，移动平均线可主要分为简单移动平均线（Simple Moving Average, SMA）与指数移动平均线（Exponential Moving Average, EMA）两类。</w:t>
      </w:r>
    </w:p>
    <w:p w14:paraId="1140ADB8">
      <w:pPr>
        <w:spacing w:before="0" w:after="0" w:line="360" w:lineRule="auto"/>
        <w:ind w:firstLine="420"/>
        <w:jc w:val="both"/>
      </w:pPr>
      <w:r>
        <w:rPr>
          <w:rFonts w:ascii="宋体" w:hAnsi="宋体" w:eastAsia="宋体"/>
          <w:b w:val="0"/>
          <w:i w:val="0"/>
          <w:color w:val="000000"/>
          <w:sz w:val="21"/>
        </w:rPr>
        <w:t>SMA 对窗口内各观测值赋予等权重，计算公式为：</w:t>
      </w:r>
    </w:p>
    <w:p w14:paraId="101D44A4">
      <w:pPr>
        <w:spacing w:before="120" w:after="120" w:line="360" w:lineRule="auto"/>
        <w:jc w:val="center"/>
      </w:pPr>
      <w:r>
        <w:rPr>
          <w:rFonts w:ascii="Times New Roman" w:hAnsi="Times New Roman" w:eastAsia="Times New Roman"/>
          <w:b w:val="0"/>
          <w:i/>
          <w:color w:val="000000"/>
          <w:sz w:val="22"/>
        </w:rPr>
        <w:t>SMA(N)ₜ = (1)/(N) Σᵢ=₀ᴺ-¹ Cₜ-ᵢ</w:t>
      </w:r>
    </w:p>
    <w:p w14:paraId="456B8F65">
      <w:pPr>
        <w:spacing w:before="0" w:after="0" w:line="360" w:lineRule="auto"/>
        <w:ind w:firstLine="420"/>
        <w:jc w:val="both"/>
      </w:pPr>
      <w:r>
        <w:rPr>
          <w:rFonts w:ascii="宋体" w:hAnsi="宋体" w:eastAsia="宋体"/>
          <w:b w:val="0"/>
          <w:i w:val="0"/>
          <w:color w:val="000000"/>
          <w:sz w:val="21"/>
        </w:rPr>
        <w:t xml:space="preserve">等价地，分子也可展开写为 </w:t>
      </w:r>
      <w:r>
        <w:rPr>
          <w:rFonts w:ascii="Times New Roman" w:hAnsi="Times New Roman" w:eastAsia="Times New Roman"/>
          <w:b w:val="0"/>
          <w:i/>
          <w:color w:val="000000"/>
          <w:sz w:val="21"/>
        </w:rPr>
        <w:t>Cₜ + Cₜ-₁ + … + Cₜ-N+₁</w:t>
      </w:r>
      <w:r>
        <w:rPr>
          <w:rFonts w:ascii="宋体" w:hAnsi="宋体" w:eastAsia="宋体"/>
          <w:b w:val="0"/>
          <w:i w:val="0"/>
          <w:color w:val="000000"/>
          <w:sz w:val="21"/>
        </w:rPr>
        <w:t xml:space="preserve">，其中下标 </w:t>
      </w:r>
      <w:r>
        <w:rPr>
          <w:rFonts w:ascii="Times New Roman" w:hAnsi="Times New Roman" w:eastAsia="Times New Roman"/>
          <w:b w:val="0"/>
          <w:i/>
          <w:color w:val="000000"/>
          <w:sz w:val="21"/>
        </w:rPr>
        <w:t>t-N+1</w:t>
      </w:r>
      <w:r>
        <w:rPr>
          <w:rFonts w:ascii="宋体" w:hAnsi="宋体" w:eastAsia="宋体"/>
          <w:b w:val="0"/>
          <w:i w:val="0"/>
          <w:color w:val="000000"/>
          <w:sz w:val="21"/>
        </w:rPr>
        <w:t xml:space="preserve"> 表示距 t 日前 N-1 天的收盘价。</w:t>
      </w:r>
    </w:p>
    <w:p w14:paraId="62DDF5E8">
      <w:pPr>
        <w:spacing w:before="0" w:after="0" w:line="360" w:lineRule="auto"/>
        <w:ind w:firstLine="420"/>
        <w:jc w:val="both"/>
      </w:pPr>
      <w:r>
        <w:rPr>
          <w:rFonts w:ascii="宋体" w:hAnsi="宋体" w:eastAsia="宋体"/>
          <w:b w:val="0"/>
          <w:i w:val="0"/>
          <w:color w:val="000000"/>
          <w:sz w:val="21"/>
        </w:rPr>
        <w:t>EMA 则通过递推形式对近期价格赋予更高权重，计算公式为：</w:t>
      </w:r>
    </w:p>
    <w:p w14:paraId="765DA61B">
      <w:pPr>
        <w:spacing w:before="120" w:after="120" w:line="360" w:lineRule="auto"/>
        <w:jc w:val="center"/>
      </w:pPr>
      <w:r>
        <w:rPr>
          <w:rFonts w:ascii="Times New Roman" w:hAnsi="Times New Roman" w:eastAsia="Times New Roman"/>
          <w:b w:val="0"/>
          <w:i/>
          <w:color w:val="000000"/>
          <w:sz w:val="22"/>
        </w:rPr>
        <w:t>EMA(N)ₜ = α · Cₜ + (1 - α) · EMA(N)ₜ-₁</w:t>
      </w:r>
    </w:p>
    <w:p w14:paraId="2EF4395F">
      <w:pPr>
        <w:spacing w:before="0" w:after="0" w:line="360" w:lineRule="auto"/>
        <w:ind w:firstLine="420"/>
        <w:jc w:val="both"/>
      </w:pPr>
      <w:r>
        <w:rPr>
          <w:rFonts w:ascii="宋体" w:hAnsi="宋体" w:eastAsia="宋体"/>
          <w:b w:val="0"/>
          <w:i w:val="0"/>
          <w:color w:val="000000"/>
          <w:sz w:val="21"/>
        </w:rPr>
        <w:t>其中平滑系数 α = 2/(N+1)，因此 EMA 对价格变化的反应更为灵敏。</w:t>
      </w:r>
    </w:p>
    <w:p w14:paraId="38DE3815">
      <w:pPr>
        <w:spacing w:before="0" w:after="0" w:line="360" w:lineRule="auto"/>
        <w:ind w:firstLine="420"/>
        <w:jc w:val="both"/>
      </w:pPr>
      <w:r>
        <w:rPr>
          <w:rFonts w:ascii="宋体" w:hAnsi="宋体" w:eastAsia="宋体"/>
          <w:b w:val="0"/>
          <w:i w:val="0"/>
          <w:color w:val="000000"/>
          <w:sz w:val="21"/>
        </w:rPr>
        <w:t>从功能角度看，移动平均线兼具三重作用。其一，趋势识别——价格位于均线上方通常反映上升趋势，反之则反映下降趋势。其二，支撑与阻力——上升趋势中均线常构成价格回调的支撑位，下降趋势中则构成反弹的阻力位。其三，信号生成——通过不同周期均线的交叉关系可生成交易信号，此即后文所述双均线策略的逻辑基础。</w:t>
      </w:r>
    </w:p>
    <w:p w14:paraId="163C7A63">
      <w:pPr>
        <w:spacing w:before="120" w:after="120" w:line="360" w:lineRule="auto"/>
        <w:jc w:val="left"/>
      </w:pPr>
      <w:r>
        <w:rPr>
          <w:rFonts w:ascii="宋体" w:hAnsi="宋体" w:eastAsia="宋体"/>
          <w:b/>
          <w:i w:val="0"/>
          <w:color w:val="000000"/>
          <w:sz w:val="24"/>
        </w:rPr>
        <w:t>1.2 双均线策略的基本原理</w:t>
      </w:r>
    </w:p>
    <w:p w14:paraId="03D003DA">
      <w:pPr>
        <w:spacing w:before="0" w:after="0" w:line="360" w:lineRule="auto"/>
        <w:ind w:firstLine="420"/>
        <w:jc w:val="both"/>
      </w:pPr>
      <w:r>
        <w:rPr>
          <w:rFonts w:ascii="宋体" w:hAnsi="宋体" w:eastAsia="宋体"/>
          <w:b w:val="0"/>
          <w:i w:val="0"/>
          <w:color w:val="000000"/>
          <w:sz w:val="21"/>
        </w:rPr>
        <w:t>双均线策略（Dual Moving Average Crossover Strategy）同时使用一条短期均线与一条长期均线，通过观察二者的相对位置关系判断趋势方向并生成交易信号。其基本逻辑是：当短期均线上穿长期均线时，意味着短期 momentum 强于长期趋势，发出买入信号；当短期均线下穿长期均线时，则意味着上升 momentum 衰竭，发出卖出信号。该策略的实质是以均线的滞后性换取趋势判断的稳定性——短期均线对价格变动敏感，能够较快反映价格的最新变化；长期均线则抗干扰能力更强，更能刻画市场的长期走势方向。</w:t>
      </w:r>
    </w:p>
    <w:p w14:paraId="6ED00779">
      <w:pPr>
        <w:spacing w:before="0" w:after="0" w:line="360" w:lineRule="auto"/>
        <w:ind w:firstLine="420"/>
        <w:jc w:val="both"/>
      </w:pPr>
      <w:r>
        <w:rPr>
          <w:rFonts w:ascii="宋体" w:hAnsi="宋体" w:eastAsia="宋体"/>
          <w:b w:val="0"/>
          <w:i w:val="0"/>
          <w:color w:val="000000"/>
          <w:sz w:val="21"/>
        </w:rPr>
        <w:t>在实践中，投资者根据交易风格与标的波动特性选择不同的参数组合。例如，MA5 与 MA10 的组合适用于短线交易，信号频率较高但噪声也大；MA20 与 MA60 的组合则是中长线趋势跟踪的经典选择；而 MA50 与 MA250（年线）的组合常用于判断长期大趋势的方向。参数的选择直接影响策略的信号频率与可靠性，不存在普适的最优参数，通常需要结合回测分析进行优化。</w:t>
      </w:r>
    </w:p>
    <w:p w14:paraId="0B591D3F">
      <w:pPr>
        <w:spacing w:before="120" w:after="120" w:line="360" w:lineRule="auto"/>
        <w:jc w:val="left"/>
      </w:pPr>
      <w:r>
        <w:rPr>
          <w:rFonts w:ascii="宋体" w:hAnsi="宋体" w:eastAsia="宋体"/>
          <w:b/>
          <w:i w:val="0"/>
          <w:color w:val="000000"/>
          <w:sz w:val="24"/>
        </w:rPr>
        <w:t>1.3 金叉与死叉</w:t>
      </w:r>
    </w:p>
    <w:p w14:paraId="003824BD">
      <w:pPr>
        <w:spacing w:before="0" w:after="0" w:line="360" w:lineRule="auto"/>
        <w:ind w:firstLine="420"/>
        <w:jc w:val="both"/>
      </w:pPr>
      <w:r>
        <w:rPr>
          <w:rFonts w:ascii="宋体" w:hAnsi="宋体" w:eastAsia="宋体"/>
          <w:b w:val="0"/>
          <w:i w:val="0"/>
          <w:color w:val="000000"/>
          <w:sz w:val="21"/>
        </w:rPr>
        <w:t>金叉（Golden Cross）与死叉（Death Cross）是双均线策略中最为核心的两个概念。金叉指短期均线由下向上穿越长期均线的技术形态，被市场普遍视为买入信号，其背后逻辑在于短期上涨速度已超越长期平均水平，市场 momentum 转为正向。金叉的可靠性取决于多重因素：均线周期越长（如 MA50/MA250 组合），信号越可靠但出现频率越低；交叉角度越大，趋势反转的力度越强；若金叉形成时伴随成交量放大，则信号可信度显著提高；金叉出现在长期下跌后的低位区域时，其底部反转含义更为有效。此外，当均线在低位经历长期粘合后向上发散形成金叉时，往往预示横盘突破，后续上涨空间较大。</w:t>
      </w:r>
    </w:p>
    <w:p w14:paraId="6C692119">
      <w:pPr>
        <w:spacing w:before="0" w:after="0" w:line="360" w:lineRule="auto"/>
        <w:ind w:firstLine="420"/>
        <w:jc w:val="both"/>
      </w:pPr>
      <w:r>
        <w:rPr>
          <w:rFonts w:ascii="宋体" w:hAnsi="宋体" w:eastAsia="宋体"/>
          <w:b w:val="0"/>
          <w:i w:val="0"/>
          <w:color w:val="000000"/>
          <w:sz w:val="21"/>
        </w:rPr>
        <w:t>死叉则与之相反，指短期均线由上向下穿越长期均线，被视为卖出信号，标志着短期下跌速度已超过长期平均下跌速度，市场 momentum 转为负向。死叉的可靠性同样受均线周期、交叉角度、成交量配合与价格位置等因素的影响。高位死叉（长期上涨后出现的死叉）通常意味着顶部反转，其信号意义远强于低位死叉。金叉与死叉的实质互为镜像：金叉标志着市场由弱转强，死叉标志着市场由强转弱，二者共同构成了双均线策略完整的交易信号体系。</w:t>
      </w:r>
    </w:p>
    <w:p w14:paraId="27E871BC">
      <w:pPr>
        <w:spacing w:before="120" w:after="120" w:line="360" w:lineRule="auto"/>
        <w:jc w:val="left"/>
      </w:pPr>
      <w:r>
        <w:rPr>
          <w:rFonts w:ascii="宋体" w:hAnsi="宋体" w:eastAsia="宋体"/>
          <w:b/>
          <w:i w:val="0"/>
          <w:color w:val="000000"/>
          <w:sz w:val="28"/>
        </w:rPr>
        <w:t>2 量化绩效评估基础指标</w:t>
      </w:r>
    </w:p>
    <w:p w14:paraId="1386F98D">
      <w:pPr>
        <w:spacing w:before="0" w:after="0" w:line="360" w:lineRule="auto"/>
        <w:ind w:firstLine="420"/>
        <w:jc w:val="both"/>
      </w:pPr>
      <w:r>
        <w:rPr>
          <w:rFonts w:ascii="宋体" w:hAnsi="宋体" w:eastAsia="宋体"/>
          <w:b w:val="0"/>
          <w:i w:val="0"/>
          <w:color w:val="000000"/>
          <w:sz w:val="21"/>
        </w:rPr>
        <w:t>量化策略的有效性不能仅凭信号逻辑的合理性来判断，还需通过一系列定量指标对策略的历史表现进行客观衡量。下文将对最大回撤、夏普比率与累计回报这三个核心绩效指标进行阐述。</w:t>
      </w:r>
    </w:p>
    <w:p w14:paraId="2071A3F3">
      <w:pPr>
        <w:spacing w:before="120" w:after="120" w:line="360" w:lineRule="auto"/>
        <w:jc w:val="left"/>
      </w:pPr>
      <w:r>
        <w:rPr>
          <w:rFonts w:ascii="宋体" w:hAnsi="宋体" w:eastAsia="宋体"/>
          <w:b/>
          <w:i w:val="0"/>
          <w:color w:val="000000"/>
          <w:sz w:val="24"/>
        </w:rPr>
        <w:t>2.1 累计回报</w:t>
      </w:r>
    </w:p>
    <w:p w14:paraId="6A953DB8">
      <w:pPr>
        <w:spacing w:before="0" w:after="0" w:line="360" w:lineRule="auto"/>
        <w:ind w:firstLine="420"/>
        <w:jc w:val="both"/>
      </w:pPr>
      <w:r>
        <w:rPr>
          <w:rFonts w:ascii="宋体" w:hAnsi="宋体" w:eastAsia="宋体"/>
          <w:b w:val="0"/>
          <w:i w:val="0"/>
          <w:color w:val="000000"/>
          <w:sz w:val="21"/>
        </w:rPr>
        <w:t>累计回报（Cumulative Return）衡量的是策略在回测期内资产净值的总体增长幅度，是最直观的绩效度量指标。若策略的初始本金为 V₀，经过 T 个交易日后资产净值变为 V_T，则累计回报的计算方式为：</w:t>
      </w:r>
    </w:p>
    <w:p w14:paraId="4921A991">
      <w:pPr>
        <w:spacing w:before="120" w:after="120" w:line="360" w:lineRule="auto"/>
        <w:jc w:val="center"/>
      </w:pPr>
      <w:r>
        <w:rPr>
          <w:rFonts w:ascii="Times New Roman" w:hAnsi="Times New Roman" w:eastAsia="Times New Roman"/>
          <w:b w:val="0"/>
          <w:i/>
          <w:color w:val="000000"/>
          <w:sz w:val="22"/>
        </w:rPr>
        <w:t>Rcuₘulaₜᵢve = (VT - V₀)/(V₀)</w:t>
      </w:r>
    </w:p>
    <w:p w14:paraId="32CF4C2C">
      <w:pPr>
        <w:spacing w:before="0" w:after="0" w:line="360" w:lineRule="auto"/>
        <w:ind w:firstLine="420"/>
        <w:jc w:val="both"/>
      </w:pPr>
      <w:r>
        <w:rPr>
          <w:rFonts w:ascii="宋体" w:hAnsi="宋体" w:eastAsia="宋体"/>
          <w:b w:val="0"/>
          <w:i w:val="0"/>
          <w:color w:val="000000"/>
          <w:sz w:val="21"/>
        </w:rPr>
        <w:t>累计回报通常以百分比形式呈现，其数值越大表明策略在考察期内的盈利能力越强。但需注意，累计回报仅反映期末相对于期初的总体收益水平，无法揭示收益的波动路径和期间风险。因此在实际评估中，累计回报需与风险调整后指标（如夏普比率）结合使用，以避免被极端收益所误导。</w:t>
      </w:r>
    </w:p>
    <w:p w14:paraId="449BEFF3">
      <w:pPr>
        <w:spacing w:before="120" w:after="120" w:line="360" w:lineRule="auto"/>
        <w:jc w:val="left"/>
      </w:pPr>
      <w:r>
        <w:rPr>
          <w:rFonts w:ascii="宋体" w:hAnsi="宋体" w:eastAsia="宋体"/>
          <w:b/>
          <w:i w:val="0"/>
          <w:color w:val="000000"/>
          <w:sz w:val="24"/>
        </w:rPr>
        <w:t>2.2 最大回撤</w:t>
      </w:r>
    </w:p>
    <w:p w14:paraId="66C2DB77">
      <w:pPr>
        <w:spacing w:before="0" w:after="0" w:line="360" w:lineRule="auto"/>
        <w:ind w:firstLine="420"/>
        <w:jc w:val="both"/>
      </w:pPr>
      <w:r>
        <w:rPr>
          <w:rFonts w:ascii="宋体" w:hAnsi="宋体" w:eastAsia="宋体"/>
          <w:b w:val="0"/>
          <w:i w:val="0"/>
          <w:color w:val="000000"/>
          <w:sz w:val="21"/>
        </w:rPr>
        <w:t>最大回撤（Maximum Drawdown, MDD）是衡量策略风险水平的核心指标之一。它度量的是在回测期间的任意时点入场可能遭遇的最大资产净值损失幅度，反映了策略在历史上最不利行情下的承受能力。其计算思路是：对于每个交易日，找到截至该日的历史最高资产净值（即"峰顶"），随后计算当前净值相对于该峰顶的回撤幅度，取所有回撤中的最大值。</w:t>
      </w:r>
    </w:p>
    <w:p w14:paraId="4FF23DC3">
      <w:pPr>
        <w:spacing w:before="0" w:after="0" w:line="360" w:lineRule="auto"/>
        <w:ind w:firstLine="420"/>
        <w:jc w:val="both"/>
      </w:pPr>
      <w:r>
        <w:rPr>
          <w:rFonts w:ascii="宋体" w:hAnsi="宋体" w:eastAsia="宋体"/>
          <w:b w:val="0"/>
          <w:i w:val="0"/>
          <w:color w:val="000000"/>
          <w:sz w:val="21"/>
        </w:rPr>
        <w:t>设 V_t 为第 t 日的资产净值，则第 t 日的回撤（Drawdown）定义为：</w:t>
      </w:r>
    </w:p>
    <w:p w14:paraId="2EBF7A53">
      <w:pPr>
        <w:spacing w:before="120" w:after="120" w:line="360" w:lineRule="auto"/>
        <w:jc w:val="center"/>
      </w:pPr>
      <w:r>
        <w:rPr>
          <w:rFonts w:ascii="Times New Roman" w:hAnsi="Times New Roman" w:eastAsia="Times New Roman"/>
          <w:b w:val="0"/>
          <w:i/>
          <w:color w:val="000000"/>
          <w:sz w:val="22"/>
        </w:rPr>
        <w:t>Dₜ = (Vₜ - max_0 ≤ s ≤ t Vₛ)/(max_0 ≤ s ≤ t Vₛ)</w:t>
      </w:r>
    </w:p>
    <w:p w14:paraId="010B8E97">
      <w:pPr>
        <w:spacing w:before="0" w:after="0" w:line="360" w:lineRule="auto"/>
        <w:ind w:firstLine="420"/>
        <w:jc w:val="both"/>
      </w:pPr>
      <w:r>
        <w:rPr>
          <w:rFonts w:ascii="宋体" w:hAnsi="宋体" w:eastAsia="宋体"/>
          <w:b w:val="0"/>
          <w:i w:val="0"/>
          <w:color w:val="000000"/>
          <w:sz w:val="21"/>
        </w:rPr>
        <w:t>最大回撤即为所有 D_t 中的最小值（即最大负向偏离）：</w:t>
      </w:r>
    </w:p>
    <w:p w14:paraId="7A51AF92">
      <w:pPr>
        <w:spacing w:before="120" w:after="120" w:line="360" w:lineRule="auto"/>
        <w:jc w:val="center"/>
      </w:pPr>
      <w:r>
        <w:rPr>
          <w:rFonts w:ascii="Times New Roman" w:hAnsi="Times New Roman" w:eastAsia="Times New Roman"/>
          <w:b w:val="0"/>
          <w:i/>
          <w:color w:val="000000"/>
          <w:sz w:val="22"/>
        </w:rPr>
        <w:t>MDD = min_0 ≤ t ≤ T Dₜ</w:t>
      </w:r>
    </w:p>
    <w:p w14:paraId="0BB51D4C">
      <w:pPr>
        <w:spacing w:before="0" w:after="0" w:line="360" w:lineRule="auto"/>
        <w:ind w:firstLine="420"/>
        <w:jc w:val="both"/>
      </w:pPr>
      <w:r>
        <w:rPr>
          <w:rFonts w:ascii="宋体" w:hAnsi="宋体" w:eastAsia="宋体"/>
          <w:b w:val="0"/>
          <w:i w:val="0"/>
          <w:color w:val="000000"/>
          <w:sz w:val="21"/>
        </w:rPr>
        <w:t>MDD 的绝对值越小，说明策略的净值曲线越平稳、抗风险能力越强。例如，MDD 为 -20\% 意味着策略在最差情况下曾从历史高点回撤 20\%。在实际应用中，投资者通常将 MDD 作为风控阈值的一个重要参考——当回撤超过某个预设水平时，策略可能需要暂停或调整。</w:t>
      </w:r>
    </w:p>
    <w:p w14:paraId="51A49CF0">
      <w:pPr>
        <w:spacing w:before="120" w:after="120" w:line="360" w:lineRule="auto"/>
        <w:jc w:val="left"/>
      </w:pPr>
      <w:r>
        <w:rPr>
          <w:rFonts w:ascii="宋体" w:hAnsi="宋体" w:eastAsia="宋体"/>
          <w:b/>
          <w:i w:val="0"/>
          <w:color w:val="000000"/>
          <w:sz w:val="24"/>
        </w:rPr>
        <w:t>2.3 夏普比率</w:t>
      </w:r>
    </w:p>
    <w:p w14:paraId="0973CB8C">
      <w:pPr>
        <w:spacing w:before="0" w:after="0" w:line="360" w:lineRule="auto"/>
        <w:ind w:firstLine="420"/>
        <w:jc w:val="both"/>
      </w:pPr>
      <w:r>
        <w:rPr>
          <w:rFonts w:ascii="宋体" w:hAnsi="宋体" w:eastAsia="宋体"/>
          <w:b w:val="0"/>
          <w:i w:val="0"/>
          <w:color w:val="000000"/>
          <w:sz w:val="21"/>
        </w:rPr>
        <w:t>夏普比率（Sharpe Ratio）由 William Sharpe 于 1966 年提出，是衡量单位总风险所获得超额回报的经典指标。它将策略的收益与风险整合为一个数值，便于不同策略之间的横向比较。其计算方式为策略年化超额收益率（策略收益率减去无风险利率）除以策略年化收益率的标准差：</w:t>
      </w:r>
    </w:p>
    <w:p w14:paraId="7E5D421C">
      <w:pPr>
        <w:spacing w:before="120" w:after="120" w:line="360" w:lineRule="auto"/>
        <w:jc w:val="center"/>
      </w:pPr>
      <w:r>
        <w:rPr>
          <w:rFonts w:ascii="Times New Roman" w:hAnsi="Times New Roman" w:eastAsia="Times New Roman"/>
          <w:b w:val="0"/>
          <w:i/>
          <w:color w:val="000000"/>
          <w:sz w:val="22"/>
        </w:rPr>
        <w:t>Sharpe Ratio = (E(Rₚ) - Rf)/(σₚ)</w:t>
      </w:r>
    </w:p>
    <w:p w14:paraId="7AA9CFED">
      <w:pPr>
        <w:spacing w:before="0" w:after="0" w:line="360" w:lineRule="auto"/>
        <w:ind w:firstLine="420"/>
        <w:jc w:val="both"/>
      </w:pPr>
      <w:r>
        <w:rPr>
          <w:rFonts w:ascii="宋体" w:hAnsi="宋体" w:eastAsia="宋体"/>
          <w:b w:val="0"/>
          <w:i w:val="0"/>
          <w:color w:val="000000"/>
          <w:sz w:val="21"/>
        </w:rPr>
        <w:t>其中 E(R_p) 为策略的年化预期收益率，R_f 为无风险利率（通常取同期国债收益率或 Shibor），σ_p 为策略年化收益率的标准差。夏普比率越高，表明策略在承担单位风险时获得了越多的超额回报。根据经验法则，夏普比率大于 1 视为策略表现良好，大于 2 视为优秀，大于 3 则极为罕见。</w:t>
      </w:r>
    </w:p>
    <w:p w14:paraId="2440862B">
      <w:pPr>
        <w:spacing w:before="0" w:after="0" w:line="360" w:lineRule="auto"/>
        <w:ind w:firstLine="420"/>
        <w:jc w:val="both"/>
      </w:pPr>
      <w:r>
        <w:rPr>
          <w:rFonts w:ascii="宋体" w:hAnsi="宋体" w:eastAsia="宋体"/>
          <w:b w:val="0"/>
          <w:i w:val="0"/>
          <w:color w:val="000000"/>
          <w:sz w:val="21"/>
        </w:rPr>
        <w:t>夏普比率的局限性在于其假设收益服从正态分布，且对波动率的正负不加以区分——它将向上的正收益波动与向下的亏损波动等同视为风险。对于非正态分布的策略收益，可考虑使用索提诺比率（Sortino Ratio）等衍生指标作为补充。</w:t>
      </w:r>
    </w:p>
    <w:p w14:paraId="69A7BCB4">
      <w:pPr>
        <w:spacing w:before="120" w:after="120" w:line="360" w:lineRule="auto"/>
        <w:jc w:val="left"/>
      </w:pPr>
      <w:r>
        <w:rPr>
          <w:rFonts w:ascii="宋体" w:hAnsi="宋体" w:eastAsia="宋体"/>
          <w:b/>
          <w:i w:val="0"/>
          <w:color w:val="000000"/>
          <w:sz w:val="28"/>
        </w:rPr>
        <w:t>3 双均线策略的 Python 实现与回测</w:t>
      </w:r>
    </w:p>
    <w:p w14:paraId="32F63D26">
      <w:pPr>
        <w:spacing w:before="120" w:after="120" w:line="360" w:lineRule="auto"/>
        <w:jc w:val="left"/>
      </w:pPr>
      <w:r>
        <w:rPr>
          <w:rFonts w:ascii="宋体" w:hAnsi="宋体" w:eastAsia="宋体"/>
          <w:b/>
          <w:i w:val="0"/>
          <w:color w:val="000000"/>
          <w:sz w:val="24"/>
        </w:rPr>
        <w:t>3.1 加载已存储的股价数据</w:t>
      </w:r>
    </w:p>
    <w:p w14:paraId="12B0FE01">
      <w:pPr>
        <w:spacing w:before="0" w:after="0" w:line="360" w:lineRule="auto"/>
        <w:ind w:firstLine="420"/>
        <w:jc w:val="both"/>
      </w:pPr>
      <w:r>
        <w:rPr>
          <w:rFonts w:ascii="宋体" w:hAnsi="宋体" w:eastAsia="宋体"/>
          <w:b w:val="0"/>
          <w:i w:val="0"/>
          <w:color w:val="000000"/>
          <w:sz w:val="21"/>
        </w:rPr>
        <w:t>本节基于 Task 1 收集的寒武纪（688256.SH）过去一年日线行情数据进行编程实现与回测。数据文件为 `寒武纪_过去一年日线数据.csv`，共 242 个交易日（2025-07-01 至 2026-06-29）。使用 pandas 读取 CSV 文件后，将 trade_date 列转换为 datetime 格式并按日期升序排列。源数据包含 ts_code、trade_date、open、high、low、close、pre_close、change、pct_chg、vol、amount 共 11 个字段，本策略主要使用 close（收盘价）字段进行计算。</w:t>
      </w:r>
    </w:p>
    <w:p w14:paraId="48AE02FA">
      <w:pPr>
        <w:spacing w:before="120" w:after="120" w:line="360" w:lineRule="auto"/>
        <w:jc w:val="left"/>
      </w:pPr>
      <w:r>
        <w:rPr>
          <w:rFonts w:ascii="宋体" w:hAnsi="宋体" w:eastAsia="宋体"/>
          <w:b/>
          <w:i w:val="0"/>
          <w:color w:val="000000"/>
          <w:sz w:val="24"/>
        </w:rPr>
        <w:t>3.2 计算均线数据</w:t>
      </w:r>
    </w:p>
    <w:p w14:paraId="7CE048ED">
      <w:pPr>
        <w:spacing w:before="0" w:after="0" w:line="360" w:lineRule="auto"/>
        <w:ind w:firstLine="420"/>
        <w:jc w:val="both"/>
      </w:pPr>
      <w:r>
        <w:rPr>
          <w:rFonts w:ascii="宋体" w:hAnsi="宋体" w:eastAsia="宋体"/>
          <w:b w:val="0"/>
          <w:i w:val="0"/>
          <w:color w:val="000000"/>
          <w:sz w:val="21"/>
        </w:rPr>
        <w:t>设定短期均线周期为 5 日，长期均线周期为 15 日。采用简单移动平均线（SMA）进行计算，即对过去 N 个交易日的收盘价取算术平均数</w:t>
      </w:r>
      <w:r>
        <w:rPr>
          <w:rFonts w:hint="eastAsia"/>
          <w:b w:val="0"/>
          <w:i w:val="0"/>
          <w:color w:val="000000"/>
          <w:sz w:val="21"/>
          <w:lang w:eastAsia="zh-CN"/>
        </w:rPr>
        <w:t>。</w:t>
      </w:r>
      <w:r>
        <w:rPr>
          <w:rFonts w:hint="eastAsia"/>
          <w:b w:val="0"/>
          <w:i w:val="0"/>
          <w:color w:val="000000"/>
          <w:sz w:val="21"/>
          <w:lang w:val="en-US" w:eastAsia="zh-CN"/>
        </w:rPr>
        <w:t>P</w:t>
      </w:r>
      <w:r>
        <w:rPr>
          <w:rFonts w:ascii="宋体" w:hAnsi="宋体" w:eastAsia="宋体"/>
          <w:b w:val="0"/>
          <w:i w:val="0"/>
          <w:color w:val="000000"/>
          <w:sz w:val="21"/>
        </w:rPr>
        <w:t>andas 的 rolling 方法可便捷地实现滑动窗口计算。计算结束后，MA5 从第 5 个交易日开始有有效值，MA15 从第 15 个交易日开始有有效值。</w:t>
      </w:r>
    </w:p>
    <w:p w14:paraId="4E7DB881">
      <w:pPr>
        <w:spacing w:before="120" w:after="120" w:line="360" w:lineRule="auto"/>
        <w:jc w:val="left"/>
      </w:pPr>
      <w:r>
        <w:rPr>
          <w:rFonts w:ascii="宋体" w:hAnsi="宋体" w:eastAsia="宋体"/>
          <w:b/>
          <w:i w:val="0"/>
          <w:color w:val="000000"/>
          <w:sz w:val="24"/>
        </w:rPr>
        <w:t>3.3 计算买入卖出的交易信号</w:t>
      </w:r>
    </w:p>
    <w:p w14:paraId="5CF1A47D">
      <w:pPr>
        <w:spacing w:before="0" w:after="0" w:line="360" w:lineRule="auto"/>
        <w:ind w:firstLine="420"/>
        <w:jc w:val="both"/>
      </w:pPr>
      <w:r>
        <w:rPr>
          <w:rFonts w:ascii="宋体" w:hAnsi="宋体" w:eastAsia="宋体"/>
          <w:b w:val="0"/>
          <w:i w:val="0"/>
          <w:color w:val="000000"/>
          <w:sz w:val="21"/>
        </w:rPr>
        <w:t>交易信号的判定规则为：若 MA5 由下向上穿越 MA15（即上一交易日 MA5 ≤ MA15 且当日 MA5 &gt; MA15），则记为买入信号（金叉）；若 MA5 由上向下穿越 MA15（即上一交易日 MA5 ≥ MA15 且当日 MA5 &lt; MA15），则记为卖出信号（死叉）。信号以数组形式存储，1 表示买入，-1 表示卖出，0 表示无操作。回测期内共产生 8 次买入信号和 8 次卖出信号，信号交替出现，符合双均线策略的预期形态。</w:t>
      </w:r>
    </w:p>
    <w:p w14:paraId="42878B32">
      <w:pPr>
        <w:spacing w:before="120" w:after="120" w:line="360" w:lineRule="auto"/>
        <w:jc w:val="left"/>
      </w:pPr>
      <w:r>
        <w:rPr>
          <w:rFonts w:ascii="宋体" w:hAnsi="宋体" w:eastAsia="宋体"/>
          <w:b/>
          <w:i w:val="0"/>
          <w:color w:val="000000"/>
          <w:sz w:val="24"/>
        </w:rPr>
        <w:t>3.4 可视化图形</w:t>
      </w:r>
    </w:p>
    <w:p w14:paraId="4E980130">
      <w:pPr>
        <w:spacing w:before="0" w:after="0" w:line="360" w:lineRule="auto"/>
        <w:ind w:firstLine="420"/>
        <w:jc w:val="both"/>
      </w:pPr>
      <w:r>
        <w:rPr>
          <w:rFonts w:ascii="宋体" w:hAnsi="宋体" w:eastAsia="宋体"/>
          <w:b w:val="0"/>
          <w:i w:val="0"/>
          <w:color w:val="000000"/>
          <w:sz w:val="21"/>
        </w:rPr>
        <w:t>依据计算结果绘制三面板可视化图形。上方子图展示收盘价曲线、MA5（红色线）、MA15（蓝色线）、金叉买入信号（红色向上三角 ▲）与死叉卖出信号（绿色向下三角 ▼）；中间子图展示策略净值曲线；下方子图展示策略回撤曲线。三个子图共享同一时间轴，便于对照分析信号与净值变化之间的关系。可视化结果如图 1 所示。</w:t>
      </w:r>
    </w:p>
    <w:p w14:paraId="51FA325F">
      <w:pPr>
        <w:jc w:val="center"/>
      </w:pPr>
      <w:r>
        <w:drawing>
          <wp:inline distT="0" distB="0" distL="114300" distR="114300">
            <wp:extent cx="5486400" cy="378269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783082"/>
                    </a:xfrm>
                    <a:prstGeom prst="rect">
                      <a:avLst/>
                    </a:prstGeom>
                  </pic:spPr>
                </pic:pic>
              </a:graphicData>
            </a:graphic>
          </wp:inline>
        </w:drawing>
      </w:r>
    </w:p>
    <w:p w14:paraId="44B21402">
      <w:pPr>
        <w:spacing w:before="0" w:after="0" w:line="360" w:lineRule="auto"/>
        <w:ind w:firstLine="420"/>
        <w:jc w:val="center"/>
        <w:rPr>
          <w:rFonts w:hint="eastAsia" w:eastAsia="宋体"/>
          <w:lang w:eastAsia="zh-CN"/>
        </w:rPr>
      </w:pPr>
      <w:r>
        <w:rPr>
          <w:rFonts w:hint="eastAsia"/>
          <w:b w:val="0"/>
          <w:bCs/>
          <w:i w:val="0"/>
          <w:color w:val="000000"/>
          <w:sz w:val="18"/>
          <w:szCs w:val="18"/>
          <w:lang w:val="en-US" w:eastAsia="zh-CN"/>
        </w:rPr>
        <w:t>图</w:t>
      </w:r>
      <w:r>
        <w:rPr>
          <w:rFonts w:ascii="宋体" w:hAnsi="宋体" w:eastAsia="宋体"/>
          <w:b w:val="0"/>
          <w:bCs/>
          <w:i w:val="0"/>
          <w:color w:val="000000"/>
          <w:sz w:val="18"/>
          <w:szCs w:val="18"/>
        </w:rPr>
        <w:t xml:space="preserve"> 1 双均线策略（MA5/MA15）回测</w:t>
      </w:r>
      <w:r>
        <w:rPr>
          <w:rFonts w:hint="eastAsia"/>
          <w:b w:val="0"/>
          <w:bCs/>
          <w:i w:val="0"/>
          <w:color w:val="000000"/>
          <w:sz w:val="18"/>
          <w:szCs w:val="18"/>
          <w:lang w:val="en-US" w:eastAsia="zh-CN"/>
        </w:rPr>
        <w:t>结果</w:t>
      </w:r>
    </w:p>
    <w:p w14:paraId="2BDAFB33">
      <w:pPr>
        <w:spacing w:before="120" w:after="120" w:line="360" w:lineRule="auto"/>
        <w:jc w:val="left"/>
      </w:pPr>
      <w:r>
        <w:rPr>
          <w:rFonts w:ascii="宋体" w:hAnsi="宋体" w:eastAsia="宋体"/>
          <w:b/>
          <w:i w:val="0"/>
          <w:color w:val="000000"/>
          <w:sz w:val="24"/>
        </w:rPr>
        <w:t>3.5 模拟交易与回测</w:t>
      </w:r>
    </w:p>
    <w:p w14:paraId="722E241B">
      <w:pPr>
        <w:spacing w:before="0" w:after="0" w:line="360" w:lineRule="auto"/>
        <w:ind w:firstLine="420"/>
        <w:jc w:val="both"/>
      </w:pPr>
      <w:r>
        <w:rPr>
          <w:rFonts w:ascii="宋体" w:hAnsi="宋体" w:eastAsia="宋体"/>
          <w:b w:val="0"/>
          <w:i w:val="0"/>
          <w:color w:val="000000"/>
          <w:sz w:val="21"/>
        </w:rPr>
        <w:t>模拟交易规则为：初始资金 1 元，采用全仓买卖（不考虑仓位管理）；当出现买入信号时以收盘价全仓买入，出现卖出信号时以收盘价全仓卖出。不考虑交易成本、滑点和税费。回测完成后计算三个量化指标。</w:t>
      </w:r>
    </w:p>
    <w:p w14:paraId="1DB284FD">
      <w:pPr>
        <w:spacing w:before="0" w:after="0" w:line="360" w:lineRule="auto"/>
        <w:ind w:firstLine="420"/>
        <w:jc w:val="both"/>
      </w:pPr>
      <w:r>
        <w:rPr>
          <w:rFonts w:ascii="宋体" w:hAnsi="宋体" w:eastAsia="宋体"/>
          <w:b w:val="0"/>
          <w:i w:val="0"/>
          <w:color w:val="000000"/>
          <w:sz w:val="21"/>
        </w:rPr>
        <w:t>累计回报衡量策略在回测期内的总体盈亏幅度，计算公式为：</w:t>
      </w:r>
    </w:p>
    <w:p w14:paraId="6D304938">
      <w:pPr>
        <w:spacing w:before="120" w:after="120" w:line="360" w:lineRule="auto"/>
        <w:jc w:val="center"/>
      </w:pPr>
      <m:oMath>
        <m:sSub>
          <m:sSubPr>
            <m:ctrlPr>
              <w:rPr>
                <w:rFonts w:ascii="Cambria Math" w:hAnsi="Cambria Math"/>
                <w:i/>
                <w:color w:val="000000"/>
                <w:sz w:val="22"/>
              </w:rPr>
            </m:ctrlPr>
          </m:sSubPr>
          <m:e>
            <m:r>
              <m:rPr/>
              <w:rPr>
                <w:rFonts w:hint="default" w:ascii="Cambria Math" w:hAnsi="Cambria Math"/>
                <w:color w:val="000000"/>
                <w:sz w:val="22"/>
                <w:lang w:val="en-US" w:eastAsia="zh-CN"/>
              </w:rPr>
              <m:t>R</m:t>
            </m:r>
            <m:ctrlPr>
              <w:rPr>
                <w:rFonts w:ascii="Cambria Math" w:hAnsi="Cambria Math"/>
                <w:i/>
                <w:color w:val="000000"/>
                <w:sz w:val="22"/>
              </w:rPr>
            </m:ctrlPr>
          </m:e>
          <m:sub>
            <m:r>
              <m:rPr/>
              <w:rPr>
                <w:rFonts w:hint="default" w:ascii="Cambria Math" w:hAnsi="Cambria Math"/>
                <w:color w:val="000000"/>
                <w:sz w:val="22"/>
                <w:lang w:val="en-US" w:eastAsia="zh-CN"/>
              </w:rPr>
              <m:t>cumulative</m:t>
            </m:r>
            <m:ctrlPr>
              <w:rPr>
                <w:rFonts w:ascii="Cambria Math" w:hAnsi="Cambria Math"/>
                <w:i/>
                <w:color w:val="000000"/>
                <w:sz w:val="22"/>
              </w:rPr>
            </m:ctrlPr>
          </m:sub>
        </m:sSub>
      </m:oMath>
      <w:r>
        <w:rPr>
          <w:rFonts w:ascii="Times New Roman" w:hAnsi="Times New Roman" w:eastAsia="Times New Roman"/>
          <w:b w:val="0"/>
          <w:i/>
          <w:color w:val="000000"/>
          <w:sz w:val="22"/>
        </w:rPr>
        <w:t xml:space="preserve"> = (VT - V₀)/(V₀)</w:t>
      </w:r>
    </w:p>
    <w:p w14:paraId="5708E265">
      <w:pPr>
        <w:spacing w:before="0" w:after="0" w:line="360" w:lineRule="auto"/>
        <w:ind w:firstLine="420"/>
        <w:jc w:val="both"/>
      </w:pPr>
      <w:r>
        <w:rPr>
          <w:rFonts w:ascii="宋体" w:hAnsi="宋体" w:eastAsia="宋体"/>
          <w:b w:val="0"/>
          <w:i w:val="0"/>
          <w:color w:val="000000"/>
          <w:sz w:val="21"/>
        </w:rPr>
        <w:t>最大回撤衡量策略在历史最差情况下的净值损失，计算公式为：</w:t>
      </w:r>
    </w:p>
    <w:p w14:paraId="3A956787">
      <w:pPr>
        <w:spacing w:before="120" w:after="120" w:line="360" w:lineRule="auto"/>
        <w:jc w:val="center"/>
      </w:pPr>
      <w:r>
        <w:rPr>
          <w:rFonts w:ascii="Times New Roman" w:hAnsi="Times New Roman" w:eastAsia="Times New Roman"/>
          <w:b w:val="0"/>
          <w:i/>
          <w:color w:val="000000"/>
          <w:sz w:val="22"/>
        </w:rPr>
        <w:t>MDD = min_0 ≤ t ≤ T (Vₜ - max_0 ≤ s ≤ t Vₛ)/(max_0 ≤ s ≤ t Vₛ)</w:t>
      </w:r>
    </w:p>
    <w:p w14:paraId="146910CE">
      <w:pPr>
        <w:spacing w:before="0" w:after="0" w:line="360" w:lineRule="auto"/>
        <w:ind w:firstLine="420"/>
        <w:jc w:val="both"/>
      </w:pPr>
      <w:r>
        <w:rPr>
          <w:rFonts w:ascii="宋体" w:hAnsi="宋体" w:eastAsia="宋体"/>
          <w:b w:val="0"/>
          <w:i w:val="0"/>
          <w:color w:val="000000"/>
          <w:sz w:val="21"/>
        </w:rPr>
        <w:t>夏普比率衡量单位风险所获得的超额回报，计算公式为：</w:t>
      </w:r>
    </w:p>
    <w:p w14:paraId="553803BF">
      <w:pPr>
        <w:spacing w:before="120" w:after="120" w:line="360" w:lineRule="auto"/>
        <w:jc w:val="center"/>
      </w:pPr>
      <w:r>
        <w:rPr>
          <w:rFonts w:ascii="Times New Roman" w:hAnsi="Times New Roman" w:eastAsia="Times New Roman"/>
          <w:b w:val="0"/>
          <w:i/>
          <w:color w:val="000000"/>
          <w:sz w:val="22"/>
        </w:rPr>
        <w:t>Sharpe Ratio = (E(Rₚ) - Rf)/(σₚ)</w:t>
      </w:r>
    </w:p>
    <w:p w14:paraId="5E0A964E">
      <w:pPr>
        <w:spacing w:before="0" w:after="0" w:line="360" w:lineRule="auto"/>
        <w:ind w:firstLine="420"/>
        <w:jc w:val="both"/>
      </w:pPr>
      <w:r>
        <w:rPr>
          <w:rFonts w:ascii="宋体" w:hAnsi="宋体" w:eastAsia="宋体"/>
          <w:b w:val="0"/>
          <w:i w:val="0"/>
          <w:color w:val="000000"/>
          <w:sz w:val="21"/>
        </w:rPr>
        <w:t>其中无风险利率取年化 2%。回测结果如表 1 所示。</w:t>
      </w:r>
    </w:p>
    <w:p w14:paraId="1C182E0D">
      <w:pPr>
        <w:spacing w:before="0" w:after="0" w:line="360" w:lineRule="auto"/>
        <w:ind w:firstLine="420"/>
        <w:jc w:val="center"/>
        <w:rPr>
          <w:b w:val="0"/>
          <w:bCs/>
          <w:sz w:val="18"/>
          <w:szCs w:val="18"/>
        </w:rPr>
      </w:pPr>
      <w:r>
        <w:rPr>
          <w:rFonts w:ascii="宋体" w:hAnsi="宋体" w:eastAsia="宋体"/>
          <w:b w:val="0"/>
          <w:bCs/>
          <w:i w:val="0"/>
          <w:color w:val="000000"/>
          <w:sz w:val="18"/>
          <w:szCs w:val="18"/>
        </w:rPr>
        <w:t>表 1 双均线策略（MA5/MA15）回测绩效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88C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268B1647">
            <w:pPr>
              <w:spacing w:before="0" w:after="0" w:line="240" w:lineRule="auto"/>
              <w:jc w:val="center"/>
            </w:pPr>
            <w:r>
              <w:rPr>
                <w:rFonts w:ascii="宋体" w:hAnsi="宋体" w:eastAsia="宋体"/>
                <w:b/>
                <w:i w:val="0"/>
                <w:color w:val="000000"/>
                <w:sz w:val="18"/>
              </w:rPr>
              <w:t>指标</w:t>
            </w:r>
          </w:p>
        </w:tc>
        <w:tc>
          <w:tcPr>
            <w:tcW w:w="4536" w:type="dxa"/>
            <w:tcMar>
              <w:top w:w="0" w:type="dxa"/>
              <w:left w:w="5" w:type="dxa"/>
              <w:bottom w:w="0" w:type="dxa"/>
              <w:right w:w="5" w:type="dxa"/>
            </w:tcMar>
            <w:vAlign w:val="center"/>
          </w:tcPr>
          <w:p w14:paraId="7656A80C">
            <w:pPr>
              <w:spacing w:before="0" w:after="0" w:line="240" w:lineRule="auto"/>
              <w:jc w:val="center"/>
            </w:pPr>
            <w:r>
              <w:rPr>
                <w:rFonts w:ascii="宋体" w:hAnsi="宋体" w:eastAsia="宋体"/>
                <w:b/>
                <w:i w:val="0"/>
                <w:color w:val="000000"/>
                <w:sz w:val="18"/>
              </w:rPr>
              <w:t>数值</w:t>
            </w:r>
          </w:p>
        </w:tc>
      </w:tr>
      <w:tr w14:paraId="4EC7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0C4353A3">
            <w:pPr>
              <w:spacing w:before="0" w:after="0" w:line="240" w:lineRule="auto"/>
              <w:jc w:val="center"/>
            </w:pPr>
            <w:r>
              <w:rPr>
                <w:rFonts w:ascii="宋体" w:hAnsi="宋体" w:eastAsia="宋体"/>
                <w:b w:val="0"/>
                <w:i w:val="0"/>
                <w:color w:val="000000"/>
                <w:sz w:val="18"/>
              </w:rPr>
              <w:t>累计回报</w:t>
            </w:r>
          </w:p>
        </w:tc>
        <w:tc>
          <w:tcPr>
            <w:tcW w:w="4536" w:type="dxa"/>
            <w:tcMar>
              <w:top w:w="0" w:type="dxa"/>
              <w:left w:w="5" w:type="dxa"/>
              <w:bottom w:w="0" w:type="dxa"/>
              <w:right w:w="5" w:type="dxa"/>
            </w:tcMar>
            <w:vAlign w:val="center"/>
          </w:tcPr>
          <w:p w14:paraId="72934DBA">
            <w:pPr>
              <w:spacing w:before="0" w:after="0" w:line="240" w:lineRule="auto"/>
              <w:jc w:val="center"/>
            </w:pPr>
            <w:r>
              <w:rPr>
                <w:rFonts w:ascii="宋体" w:hAnsi="宋体" w:eastAsia="宋体"/>
                <w:b w:val="0"/>
                <w:i w:val="0"/>
                <w:color w:val="000000"/>
                <w:sz w:val="18"/>
              </w:rPr>
              <w:t>-13.73%</w:t>
            </w:r>
          </w:p>
        </w:tc>
      </w:tr>
      <w:tr w14:paraId="6A5F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4C75A0C1">
            <w:pPr>
              <w:spacing w:before="0" w:after="0" w:line="240" w:lineRule="auto"/>
              <w:jc w:val="center"/>
            </w:pPr>
            <w:r>
              <w:rPr>
                <w:rFonts w:ascii="宋体" w:hAnsi="宋体" w:eastAsia="宋体"/>
                <w:b w:val="0"/>
                <w:i w:val="0"/>
                <w:color w:val="000000"/>
                <w:sz w:val="18"/>
              </w:rPr>
              <w:t>最大回撤（MDD）</w:t>
            </w:r>
          </w:p>
        </w:tc>
        <w:tc>
          <w:tcPr>
            <w:tcW w:w="4536" w:type="dxa"/>
            <w:tcMar>
              <w:top w:w="0" w:type="dxa"/>
              <w:left w:w="5" w:type="dxa"/>
              <w:bottom w:w="0" w:type="dxa"/>
              <w:right w:w="5" w:type="dxa"/>
            </w:tcMar>
            <w:vAlign w:val="center"/>
          </w:tcPr>
          <w:p w14:paraId="0B9930F0">
            <w:pPr>
              <w:spacing w:before="0" w:after="0" w:line="240" w:lineRule="auto"/>
              <w:jc w:val="center"/>
            </w:pPr>
            <w:r>
              <w:rPr>
                <w:rFonts w:ascii="宋体" w:hAnsi="宋体" w:eastAsia="宋体"/>
                <w:b w:val="0"/>
                <w:i w:val="0"/>
                <w:color w:val="000000"/>
                <w:sz w:val="18"/>
              </w:rPr>
              <w:t>-26.47%</w:t>
            </w:r>
          </w:p>
        </w:tc>
      </w:tr>
      <w:tr w14:paraId="3A2C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39296FB3">
            <w:pPr>
              <w:spacing w:before="0" w:after="0" w:line="240" w:lineRule="auto"/>
              <w:jc w:val="center"/>
            </w:pPr>
            <w:r>
              <w:rPr>
                <w:rFonts w:ascii="宋体" w:hAnsi="宋体" w:eastAsia="宋体"/>
                <w:b w:val="0"/>
                <w:i w:val="0"/>
                <w:color w:val="000000"/>
                <w:sz w:val="18"/>
              </w:rPr>
              <w:t>年化收益率</w:t>
            </w:r>
          </w:p>
        </w:tc>
        <w:tc>
          <w:tcPr>
            <w:tcW w:w="4536" w:type="dxa"/>
            <w:tcMar>
              <w:top w:w="0" w:type="dxa"/>
              <w:left w:w="5" w:type="dxa"/>
              <w:bottom w:w="0" w:type="dxa"/>
              <w:right w:w="5" w:type="dxa"/>
            </w:tcMar>
            <w:vAlign w:val="center"/>
          </w:tcPr>
          <w:p w14:paraId="3970EFDE">
            <w:pPr>
              <w:spacing w:before="0" w:after="0" w:line="240" w:lineRule="auto"/>
              <w:jc w:val="center"/>
            </w:pPr>
            <w:r>
              <w:rPr>
                <w:rFonts w:ascii="宋体" w:hAnsi="宋体" w:eastAsia="宋体"/>
                <w:b w:val="0"/>
                <w:i w:val="0"/>
                <w:color w:val="000000"/>
                <w:sz w:val="18"/>
              </w:rPr>
              <w:t>-12.93%</w:t>
            </w:r>
          </w:p>
        </w:tc>
      </w:tr>
      <w:tr w14:paraId="5D16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5F7F650A">
            <w:pPr>
              <w:spacing w:before="0" w:after="0" w:line="240" w:lineRule="auto"/>
              <w:jc w:val="center"/>
            </w:pPr>
            <w:r>
              <w:rPr>
                <w:rFonts w:ascii="宋体" w:hAnsi="宋体" w:eastAsia="宋体"/>
                <w:b w:val="0"/>
                <w:i w:val="0"/>
                <w:color w:val="000000"/>
                <w:sz w:val="18"/>
              </w:rPr>
              <w:t>年化波动率</w:t>
            </w:r>
          </w:p>
        </w:tc>
        <w:tc>
          <w:tcPr>
            <w:tcW w:w="4536" w:type="dxa"/>
            <w:tcMar>
              <w:top w:w="0" w:type="dxa"/>
              <w:left w:w="5" w:type="dxa"/>
              <w:bottom w:w="0" w:type="dxa"/>
              <w:right w:w="5" w:type="dxa"/>
            </w:tcMar>
            <w:vAlign w:val="center"/>
          </w:tcPr>
          <w:p w14:paraId="26227FF5">
            <w:pPr>
              <w:spacing w:before="0" w:after="0" w:line="240" w:lineRule="auto"/>
              <w:jc w:val="center"/>
            </w:pPr>
            <w:r>
              <w:rPr>
                <w:rFonts w:ascii="宋体" w:hAnsi="宋体" w:eastAsia="宋体"/>
                <w:b w:val="0"/>
                <w:i w:val="0"/>
                <w:color w:val="000000"/>
                <w:sz w:val="18"/>
              </w:rPr>
              <w:t>22.99%</w:t>
            </w:r>
          </w:p>
        </w:tc>
      </w:tr>
      <w:tr w14:paraId="2C3A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1372297C">
            <w:pPr>
              <w:spacing w:before="0" w:after="0" w:line="240" w:lineRule="auto"/>
              <w:jc w:val="center"/>
            </w:pPr>
            <w:r>
              <w:rPr>
                <w:rFonts w:ascii="宋体" w:hAnsi="宋体" w:eastAsia="宋体"/>
                <w:b w:val="0"/>
                <w:i w:val="0"/>
                <w:color w:val="000000"/>
                <w:sz w:val="18"/>
              </w:rPr>
              <w:t>夏普比率（R_f=2%）</w:t>
            </w:r>
          </w:p>
        </w:tc>
        <w:tc>
          <w:tcPr>
            <w:tcW w:w="4536" w:type="dxa"/>
            <w:tcMar>
              <w:top w:w="0" w:type="dxa"/>
              <w:left w:w="5" w:type="dxa"/>
              <w:bottom w:w="0" w:type="dxa"/>
              <w:right w:w="5" w:type="dxa"/>
            </w:tcMar>
            <w:vAlign w:val="center"/>
          </w:tcPr>
          <w:p w14:paraId="0A9EDA4F">
            <w:pPr>
              <w:spacing w:before="0" w:after="0" w:line="240" w:lineRule="auto"/>
              <w:jc w:val="center"/>
            </w:pPr>
            <w:r>
              <w:rPr>
                <w:rFonts w:ascii="宋体" w:hAnsi="宋体" w:eastAsia="宋体"/>
                <w:b w:val="0"/>
                <w:i w:val="0"/>
                <w:color w:val="000000"/>
                <w:sz w:val="18"/>
              </w:rPr>
              <w:t>-0.6493</w:t>
            </w:r>
          </w:p>
        </w:tc>
      </w:tr>
      <w:tr w14:paraId="57C3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26CC51F5">
            <w:pPr>
              <w:spacing w:before="0" w:after="0" w:line="240" w:lineRule="auto"/>
              <w:jc w:val="center"/>
            </w:pPr>
            <w:r>
              <w:rPr>
                <w:rFonts w:ascii="宋体" w:hAnsi="宋体" w:eastAsia="宋体"/>
                <w:b w:val="0"/>
                <w:i w:val="0"/>
                <w:color w:val="000000"/>
                <w:sz w:val="18"/>
              </w:rPr>
              <w:t>买入信号次数</w:t>
            </w:r>
          </w:p>
        </w:tc>
        <w:tc>
          <w:tcPr>
            <w:tcW w:w="4536" w:type="dxa"/>
            <w:tcMar>
              <w:top w:w="0" w:type="dxa"/>
              <w:left w:w="5" w:type="dxa"/>
              <w:bottom w:w="0" w:type="dxa"/>
              <w:right w:w="5" w:type="dxa"/>
            </w:tcMar>
            <w:vAlign w:val="center"/>
          </w:tcPr>
          <w:p w14:paraId="20C9FCEA">
            <w:pPr>
              <w:spacing w:before="0" w:after="0" w:line="240" w:lineRule="auto"/>
              <w:jc w:val="center"/>
            </w:pPr>
            <w:r>
              <w:rPr>
                <w:rFonts w:ascii="宋体" w:hAnsi="宋体" w:eastAsia="宋体"/>
                <w:b w:val="0"/>
                <w:i w:val="0"/>
                <w:color w:val="000000"/>
                <w:sz w:val="18"/>
              </w:rPr>
              <w:t>8</w:t>
            </w:r>
          </w:p>
        </w:tc>
      </w:tr>
      <w:tr w14:paraId="2590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0BAA8FA4">
            <w:pPr>
              <w:spacing w:before="0" w:after="0" w:line="240" w:lineRule="auto"/>
              <w:jc w:val="center"/>
            </w:pPr>
            <w:r>
              <w:rPr>
                <w:rFonts w:ascii="宋体" w:hAnsi="宋体" w:eastAsia="宋体"/>
                <w:b w:val="0"/>
                <w:i w:val="0"/>
                <w:color w:val="000000"/>
                <w:sz w:val="18"/>
              </w:rPr>
              <w:t>卖出信号次数</w:t>
            </w:r>
          </w:p>
        </w:tc>
        <w:tc>
          <w:tcPr>
            <w:tcW w:w="4536" w:type="dxa"/>
            <w:tcMar>
              <w:top w:w="0" w:type="dxa"/>
              <w:left w:w="5" w:type="dxa"/>
              <w:bottom w:w="0" w:type="dxa"/>
              <w:right w:w="5" w:type="dxa"/>
            </w:tcMar>
            <w:vAlign w:val="center"/>
          </w:tcPr>
          <w:p w14:paraId="3AFE5D2B">
            <w:pPr>
              <w:spacing w:before="0" w:after="0" w:line="240" w:lineRule="auto"/>
              <w:jc w:val="center"/>
            </w:pPr>
            <w:r>
              <w:rPr>
                <w:rFonts w:ascii="宋体" w:hAnsi="宋体" w:eastAsia="宋体"/>
                <w:b w:val="0"/>
                <w:i w:val="0"/>
                <w:color w:val="000000"/>
                <w:sz w:val="18"/>
              </w:rPr>
              <w:t>8</w:t>
            </w:r>
          </w:p>
        </w:tc>
      </w:tr>
    </w:tbl>
    <w:p w14:paraId="69B49FEE"/>
    <w:p w14:paraId="5EB22970">
      <w:pPr>
        <w:spacing w:before="0" w:after="0" w:line="360" w:lineRule="auto"/>
        <w:ind w:firstLine="420"/>
        <w:jc w:val="both"/>
      </w:pPr>
      <w:r>
        <w:rPr>
          <w:rFonts w:ascii="宋体" w:hAnsi="宋体" w:eastAsia="宋体"/>
          <w:b w:val="0"/>
          <w:i w:val="0"/>
          <w:color w:val="000000"/>
          <w:sz w:val="21"/>
        </w:rPr>
        <w:t>可以看到，2025 年 7 月至 9 月底寒武纪股价快速上涨期间，策略因 9 月 9 日死叉信号提前离场，错失 9 月 16 日金叉后的主要上涨波段；2025 年 10 月至 2026 年 4 月的震荡下行阶段，策略多次反复开平仓，累积了一定亏损；2026 年 5 月以后的反弹中，策略重新捕捉到了部分上行机会，但最终全年仍录得负收益。回测结果表明，MA5/MA15 这一组短期均线参数对寒武纪这一波动较大的科技股而言偏敏感，金叉死叉出现过于频繁，导致策略在震荡市中被反复打损，累积了不必要的损失。</w:t>
      </w:r>
    </w:p>
    <w:p w14:paraId="077BB739">
      <w:pPr>
        <w:spacing w:before="120" w:after="120" w:line="360" w:lineRule="auto"/>
        <w:jc w:val="left"/>
      </w:pPr>
      <w:r>
        <w:rPr>
          <w:rFonts w:ascii="宋体" w:hAnsi="宋体" w:eastAsia="宋体"/>
          <w:b/>
          <w:i w:val="0"/>
          <w:color w:val="000000"/>
          <w:sz w:val="28"/>
        </w:rPr>
        <w:t>4 不同股票与均线周期的实证分析</w:t>
      </w:r>
    </w:p>
    <w:p w14:paraId="5C2D92B5">
      <w:pPr>
        <w:spacing w:before="120" w:after="120" w:line="360" w:lineRule="auto"/>
        <w:jc w:val="left"/>
      </w:pPr>
      <w:r>
        <w:rPr>
          <w:rFonts w:ascii="宋体" w:hAnsi="宋体" w:eastAsia="宋体"/>
          <w:b/>
          <w:i w:val="0"/>
          <w:color w:val="000000"/>
          <w:sz w:val="24"/>
        </w:rPr>
        <w:t>4.1 多参数回测对比</w:t>
      </w:r>
    </w:p>
    <w:p w14:paraId="23F7BE1A">
      <w:pPr>
        <w:spacing w:before="0" w:after="0" w:line="360" w:lineRule="auto"/>
        <w:ind w:firstLine="420"/>
        <w:jc w:val="both"/>
      </w:pPr>
      <w:r>
        <w:rPr>
          <w:rFonts w:ascii="宋体" w:hAnsi="宋体" w:eastAsia="宋体"/>
          <w:b w:val="0"/>
          <w:i w:val="0"/>
          <w:color w:val="000000"/>
          <w:sz w:val="21"/>
        </w:rPr>
        <w:t>为评估均线周期选择对策略表现的影响，以寒武纪为测试标的，设定六组参数组合进行回测对比。结果如表 2 所示。</w:t>
      </w:r>
    </w:p>
    <w:p w14:paraId="0FE113B5">
      <w:pPr>
        <w:spacing w:before="0" w:after="0" w:line="360" w:lineRule="auto"/>
        <w:ind w:firstLine="420"/>
        <w:jc w:val="center"/>
        <w:rPr>
          <w:rFonts w:ascii="宋体" w:hAnsi="宋体" w:eastAsia="宋体"/>
          <w:b w:val="0"/>
          <w:bCs/>
          <w:i w:val="0"/>
          <w:color w:val="000000"/>
          <w:sz w:val="18"/>
          <w:szCs w:val="18"/>
        </w:rPr>
      </w:pPr>
      <w:r>
        <w:rPr>
          <w:rFonts w:ascii="宋体" w:hAnsi="宋体" w:eastAsia="宋体"/>
          <w:b w:val="0"/>
          <w:bCs/>
          <w:i w:val="0"/>
          <w:color w:val="000000"/>
          <w:sz w:val="18"/>
          <w:szCs w:val="18"/>
        </w:rPr>
        <w:t>表 2 寒武纪不同均线参数回测对比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2D5A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295CBCF2">
            <w:pPr>
              <w:spacing w:before="0" w:after="0" w:line="240" w:lineRule="auto"/>
              <w:jc w:val="center"/>
            </w:pPr>
            <w:r>
              <w:rPr>
                <w:rFonts w:ascii="宋体" w:hAnsi="宋体" w:eastAsia="宋体"/>
                <w:b/>
                <w:i w:val="0"/>
                <w:color w:val="000000"/>
                <w:sz w:val="18"/>
              </w:rPr>
              <w:t>参数</w:t>
            </w:r>
          </w:p>
        </w:tc>
        <w:tc>
          <w:tcPr>
            <w:tcW w:w="1296" w:type="dxa"/>
            <w:tcMar>
              <w:top w:w="0" w:type="dxa"/>
              <w:left w:w="5" w:type="dxa"/>
              <w:bottom w:w="0" w:type="dxa"/>
              <w:right w:w="5" w:type="dxa"/>
            </w:tcMar>
            <w:vAlign w:val="center"/>
          </w:tcPr>
          <w:p w14:paraId="7116DA5D">
            <w:pPr>
              <w:spacing w:before="0" w:after="0" w:line="240" w:lineRule="auto"/>
              <w:jc w:val="center"/>
            </w:pPr>
            <w:r>
              <w:rPr>
                <w:rFonts w:ascii="宋体" w:hAnsi="宋体" w:eastAsia="宋体"/>
                <w:b/>
                <w:i w:val="0"/>
                <w:color w:val="000000"/>
                <w:sz w:val="18"/>
              </w:rPr>
              <w:t>累计回报</w:t>
            </w:r>
          </w:p>
        </w:tc>
        <w:tc>
          <w:tcPr>
            <w:tcW w:w="1296" w:type="dxa"/>
            <w:tcMar>
              <w:top w:w="0" w:type="dxa"/>
              <w:left w:w="5" w:type="dxa"/>
              <w:bottom w:w="0" w:type="dxa"/>
              <w:right w:w="5" w:type="dxa"/>
            </w:tcMar>
            <w:vAlign w:val="center"/>
          </w:tcPr>
          <w:p w14:paraId="0DC2D1BF">
            <w:pPr>
              <w:spacing w:before="0" w:after="0" w:line="240" w:lineRule="auto"/>
              <w:jc w:val="center"/>
            </w:pPr>
            <w:r>
              <w:rPr>
                <w:rFonts w:ascii="宋体" w:hAnsi="宋体" w:eastAsia="宋体"/>
                <w:b/>
                <w:i w:val="0"/>
                <w:color w:val="000000"/>
                <w:sz w:val="18"/>
              </w:rPr>
              <w:t>最大回撤</w:t>
            </w:r>
          </w:p>
        </w:tc>
        <w:tc>
          <w:tcPr>
            <w:tcW w:w="1296" w:type="dxa"/>
            <w:tcMar>
              <w:top w:w="0" w:type="dxa"/>
              <w:left w:w="5" w:type="dxa"/>
              <w:bottom w:w="0" w:type="dxa"/>
              <w:right w:w="5" w:type="dxa"/>
            </w:tcMar>
            <w:vAlign w:val="center"/>
          </w:tcPr>
          <w:p w14:paraId="4C4C1F7B">
            <w:pPr>
              <w:spacing w:before="0" w:after="0" w:line="240" w:lineRule="auto"/>
              <w:jc w:val="center"/>
            </w:pPr>
            <w:r>
              <w:rPr>
                <w:rFonts w:ascii="宋体" w:hAnsi="宋体" w:eastAsia="宋体"/>
                <w:b/>
                <w:i w:val="0"/>
                <w:color w:val="000000"/>
                <w:sz w:val="18"/>
              </w:rPr>
              <w:t>夏普比率</w:t>
            </w:r>
          </w:p>
        </w:tc>
        <w:tc>
          <w:tcPr>
            <w:tcW w:w="1296" w:type="dxa"/>
            <w:tcMar>
              <w:top w:w="0" w:type="dxa"/>
              <w:left w:w="5" w:type="dxa"/>
              <w:bottom w:w="0" w:type="dxa"/>
              <w:right w:w="5" w:type="dxa"/>
            </w:tcMar>
            <w:vAlign w:val="center"/>
          </w:tcPr>
          <w:p w14:paraId="22811BE5">
            <w:pPr>
              <w:spacing w:before="0" w:after="0" w:line="240" w:lineRule="auto"/>
              <w:jc w:val="center"/>
            </w:pPr>
            <w:r>
              <w:rPr>
                <w:rFonts w:ascii="宋体" w:hAnsi="宋体" w:eastAsia="宋体"/>
                <w:b/>
                <w:i w:val="0"/>
                <w:color w:val="000000"/>
                <w:sz w:val="18"/>
              </w:rPr>
              <w:t>年化收益</w:t>
            </w:r>
          </w:p>
        </w:tc>
        <w:tc>
          <w:tcPr>
            <w:tcW w:w="1296" w:type="dxa"/>
            <w:tcMar>
              <w:top w:w="0" w:type="dxa"/>
              <w:left w:w="5" w:type="dxa"/>
              <w:bottom w:w="0" w:type="dxa"/>
              <w:right w:w="5" w:type="dxa"/>
            </w:tcMar>
            <w:vAlign w:val="center"/>
          </w:tcPr>
          <w:p w14:paraId="6D4A518F">
            <w:pPr>
              <w:spacing w:before="0" w:after="0" w:line="240" w:lineRule="auto"/>
              <w:jc w:val="center"/>
            </w:pPr>
            <w:r>
              <w:rPr>
                <w:rFonts w:ascii="宋体" w:hAnsi="宋体" w:eastAsia="宋体"/>
                <w:b/>
                <w:i w:val="0"/>
                <w:color w:val="000000"/>
                <w:sz w:val="18"/>
              </w:rPr>
              <w:t>年化波动</w:t>
            </w:r>
          </w:p>
        </w:tc>
        <w:tc>
          <w:tcPr>
            <w:tcW w:w="1296" w:type="dxa"/>
            <w:tcMar>
              <w:top w:w="0" w:type="dxa"/>
              <w:left w:w="5" w:type="dxa"/>
              <w:bottom w:w="0" w:type="dxa"/>
              <w:right w:w="5" w:type="dxa"/>
            </w:tcMar>
            <w:vAlign w:val="center"/>
          </w:tcPr>
          <w:p w14:paraId="40001D32">
            <w:pPr>
              <w:spacing w:before="0" w:after="0" w:line="240" w:lineRule="auto"/>
              <w:jc w:val="center"/>
            </w:pPr>
            <w:r>
              <w:rPr>
                <w:rFonts w:ascii="宋体" w:hAnsi="宋体" w:eastAsia="宋体"/>
                <w:b/>
                <w:i w:val="0"/>
                <w:color w:val="000000"/>
                <w:sz w:val="18"/>
              </w:rPr>
              <w:t>交易次数</w:t>
            </w:r>
          </w:p>
        </w:tc>
      </w:tr>
      <w:tr w14:paraId="5673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66E5B662">
            <w:pPr>
              <w:spacing w:before="0" w:after="0" w:line="240" w:lineRule="auto"/>
              <w:jc w:val="center"/>
            </w:pPr>
            <w:r>
              <w:rPr>
                <w:rFonts w:ascii="宋体" w:hAnsi="宋体" w:eastAsia="宋体"/>
                <w:b w:val="0"/>
                <w:i w:val="0"/>
                <w:color w:val="000000"/>
                <w:sz w:val="18"/>
              </w:rPr>
              <w:t>MA5/15</w:t>
            </w:r>
          </w:p>
        </w:tc>
        <w:tc>
          <w:tcPr>
            <w:tcW w:w="1296" w:type="dxa"/>
            <w:tcMar>
              <w:top w:w="0" w:type="dxa"/>
              <w:left w:w="5" w:type="dxa"/>
              <w:bottom w:w="0" w:type="dxa"/>
              <w:right w:w="5" w:type="dxa"/>
            </w:tcMar>
            <w:vAlign w:val="center"/>
          </w:tcPr>
          <w:p w14:paraId="3E08AE50">
            <w:pPr>
              <w:spacing w:before="0" w:after="0" w:line="240" w:lineRule="auto"/>
              <w:jc w:val="center"/>
            </w:pPr>
            <w:r>
              <w:rPr>
                <w:rFonts w:ascii="宋体" w:hAnsi="宋体" w:eastAsia="宋体"/>
                <w:b w:val="0"/>
                <w:i w:val="0"/>
                <w:color w:val="000000"/>
                <w:sz w:val="18"/>
              </w:rPr>
              <w:t>-13.73%</w:t>
            </w:r>
          </w:p>
        </w:tc>
        <w:tc>
          <w:tcPr>
            <w:tcW w:w="1296" w:type="dxa"/>
            <w:tcMar>
              <w:top w:w="0" w:type="dxa"/>
              <w:left w:w="5" w:type="dxa"/>
              <w:bottom w:w="0" w:type="dxa"/>
              <w:right w:w="5" w:type="dxa"/>
            </w:tcMar>
            <w:vAlign w:val="center"/>
          </w:tcPr>
          <w:p w14:paraId="7893807C">
            <w:pPr>
              <w:spacing w:before="0" w:after="0" w:line="240" w:lineRule="auto"/>
              <w:jc w:val="center"/>
            </w:pPr>
            <w:r>
              <w:rPr>
                <w:rFonts w:ascii="宋体" w:hAnsi="宋体" w:eastAsia="宋体"/>
                <w:b w:val="0"/>
                <w:i w:val="0"/>
                <w:color w:val="000000"/>
                <w:sz w:val="18"/>
              </w:rPr>
              <w:t>-26.47%</w:t>
            </w:r>
          </w:p>
        </w:tc>
        <w:tc>
          <w:tcPr>
            <w:tcW w:w="1296" w:type="dxa"/>
            <w:tcMar>
              <w:top w:w="0" w:type="dxa"/>
              <w:left w:w="5" w:type="dxa"/>
              <w:bottom w:w="0" w:type="dxa"/>
              <w:right w:w="5" w:type="dxa"/>
            </w:tcMar>
            <w:vAlign w:val="center"/>
          </w:tcPr>
          <w:p w14:paraId="609286EF">
            <w:pPr>
              <w:spacing w:before="0" w:after="0" w:line="240" w:lineRule="auto"/>
              <w:jc w:val="center"/>
            </w:pPr>
            <w:r>
              <w:rPr>
                <w:rFonts w:ascii="宋体" w:hAnsi="宋体" w:eastAsia="宋体"/>
                <w:b w:val="0"/>
                <w:i w:val="0"/>
                <w:color w:val="000000"/>
                <w:sz w:val="18"/>
              </w:rPr>
              <w:t>-0.6493</w:t>
            </w:r>
          </w:p>
        </w:tc>
        <w:tc>
          <w:tcPr>
            <w:tcW w:w="1296" w:type="dxa"/>
            <w:tcMar>
              <w:top w:w="0" w:type="dxa"/>
              <w:left w:w="5" w:type="dxa"/>
              <w:bottom w:w="0" w:type="dxa"/>
              <w:right w:w="5" w:type="dxa"/>
            </w:tcMar>
            <w:vAlign w:val="center"/>
          </w:tcPr>
          <w:p w14:paraId="18B7C11C">
            <w:pPr>
              <w:spacing w:before="0" w:after="0" w:line="240" w:lineRule="auto"/>
              <w:jc w:val="center"/>
            </w:pPr>
            <w:r>
              <w:rPr>
                <w:rFonts w:ascii="宋体" w:hAnsi="宋体" w:eastAsia="宋体"/>
                <w:b w:val="0"/>
                <w:i w:val="0"/>
                <w:color w:val="000000"/>
                <w:sz w:val="18"/>
              </w:rPr>
              <w:t>-12.93%</w:t>
            </w:r>
          </w:p>
        </w:tc>
        <w:tc>
          <w:tcPr>
            <w:tcW w:w="1296" w:type="dxa"/>
            <w:tcMar>
              <w:top w:w="0" w:type="dxa"/>
              <w:left w:w="5" w:type="dxa"/>
              <w:bottom w:w="0" w:type="dxa"/>
              <w:right w:w="5" w:type="dxa"/>
            </w:tcMar>
            <w:vAlign w:val="center"/>
          </w:tcPr>
          <w:p w14:paraId="53FA2A9B">
            <w:pPr>
              <w:spacing w:before="0" w:after="0" w:line="240" w:lineRule="auto"/>
              <w:jc w:val="center"/>
            </w:pPr>
            <w:r>
              <w:rPr>
                <w:rFonts w:ascii="宋体" w:hAnsi="宋体" w:eastAsia="宋体"/>
                <w:b w:val="0"/>
                <w:i w:val="0"/>
                <w:color w:val="000000"/>
                <w:sz w:val="18"/>
              </w:rPr>
              <w:t>22.99%</w:t>
            </w:r>
          </w:p>
        </w:tc>
        <w:tc>
          <w:tcPr>
            <w:tcW w:w="1296" w:type="dxa"/>
            <w:tcMar>
              <w:top w:w="0" w:type="dxa"/>
              <w:left w:w="5" w:type="dxa"/>
              <w:bottom w:w="0" w:type="dxa"/>
              <w:right w:w="5" w:type="dxa"/>
            </w:tcMar>
            <w:vAlign w:val="center"/>
          </w:tcPr>
          <w:p w14:paraId="28BAFF9C">
            <w:pPr>
              <w:spacing w:before="0" w:after="0" w:line="240" w:lineRule="auto"/>
              <w:jc w:val="center"/>
            </w:pPr>
            <w:r>
              <w:rPr>
                <w:rFonts w:ascii="宋体" w:hAnsi="宋体" w:eastAsia="宋体"/>
                <w:b w:val="0"/>
                <w:i w:val="0"/>
                <w:color w:val="000000"/>
                <w:sz w:val="18"/>
              </w:rPr>
              <w:t>16</w:t>
            </w:r>
          </w:p>
        </w:tc>
      </w:tr>
      <w:tr w14:paraId="1DB8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3015A5B0">
            <w:pPr>
              <w:spacing w:before="0" w:after="0" w:line="240" w:lineRule="auto"/>
              <w:jc w:val="center"/>
            </w:pPr>
            <w:r>
              <w:rPr>
                <w:rFonts w:ascii="宋体" w:hAnsi="宋体" w:eastAsia="宋体"/>
                <w:b w:val="0"/>
                <w:i w:val="0"/>
                <w:color w:val="000000"/>
                <w:sz w:val="18"/>
              </w:rPr>
              <w:t>MA10/30</w:t>
            </w:r>
          </w:p>
        </w:tc>
        <w:tc>
          <w:tcPr>
            <w:tcW w:w="1296" w:type="dxa"/>
            <w:tcMar>
              <w:top w:w="0" w:type="dxa"/>
              <w:left w:w="5" w:type="dxa"/>
              <w:bottom w:w="0" w:type="dxa"/>
              <w:right w:w="5" w:type="dxa"/>
            </w:tcMar>
            <w:vAlign w:val="center"/>
          </w:tcPr>
          <w:p w14:paraId="3A7D0811">
            <w:pPr>
              <w:spacing w:before="0" w:after="0" w:line="240" w:lineRule="auto"/>
              <w:jc w:val="center"/>
            </w:pPr>
            <w:r>
              <w:rPr>
                <w:rFonts w:ascii="宋体" w:hAnsi="宋体" w:eastAsia="宋体"/>
                <w:b w:val="0"/>
                <w:i w:val="0"/>
                <w:color w:val="000000"/>
                <w:sz w:val="18"/>
              </w:rPr>
              <w:t>-12.75%</w:t>
            </w:r>
          </w:p>
        </w:tc>
        <w:tc>
          <w:tcPr>
            <w:tcW w:w="1296" w:type="dxa"/>
            <w:tcMar>
              <w:top w:w="0" w:type="dxa"/>
              <w:left w:w="5" w:type="dxa"/>
              <w:bottom w:w="0" w:type="dxa"/>
              <w:right w:w="5" w:type="dxa"/>
            </w:tcMar>
            <w:vAlign w:val="center"/>
          </w:tcPr>
          <w:p w14:paraId="4721B764">
            <w:pPr>
              <w:spacing w:before="0" w:after="0" w:line="240" w:lineRule="auto"/>
              <w:jc w:val="center"/>
            </w:pPr>
            <w:r>
              <w:rPr>
                <w:rFonts w:ascii="宋体" w:hAnsi="宋体" w:eastAsia="宋体"/>
                <w:b w:val="0"/>
                <w:i w:val="0"/>
                <w:color w:val="000000"/>
                <w:sz w:val="18"/>
              </w:rPr>
              <w:t>-23.21%</w:t>
            </w:r>
          </w:p>
        </w:tc>
        <w:tc>
          <w:tcPr>
            <w:tcW w:w="1296" w:type="dxa"/>
            <w:tcMar>
              <w:top w:w="0" w:type="dxa"/>
              <w:left w:w="5" w:type="dxa"/>
              <w:bottom w:w="0" w:type="dxa"/>
              <w:right w:w="5" w:type="dxa"/>
            </w:tcMar>
            <w:vAlign w:val="center"/>
          </w:tcPr>
          <w:p w14:paraId="61590422">
            <w:pPr>
              <w:spacing w:before="0" w:after="0" w:line="240" w:lineRule="auto"/>
              <w:jc w:val="center"/>
            </w:pPr>
            <w:r>
              <w:rPr>
                <w:rFonts w:ascii="宋体" w:hAnsi="宋体" w:eastAsia="宋体"/>
                <w:b w:val="0"/>
                <w:i w:val="0"/>
                <w:color w:val="000000"/>
                <w:sz w:val="18"/>
              </w:rPr>
              <w:t>-0.7395</w:t>
            </w:r>
          </w:p>
        </w:tc>
        <w:tc>
          <w:tcPr>
            <w:tcW w:w="1296" w:type="dxa"/>
            <w:tcMar>
              <w:top w:w="0" w:type="dxa"/>
              <w:left w:w="5" w:type="dxa"/>
              <w:bottom w:w="0" w:type="dxa"/>
              <w:right w:w="5" w:type="dxa"/>
            </w:tcMar>
            <w:vAlign w:val="center"/>
          </w:tcPr>
          <w:p w14:paraId="4F36C324">
            <w:pPr>
              <w:spacing w:before="0" w:after="0" w:line="240" w:lineRule="auto"/>
              <w:jc w:val="center"/>
            </w:pPr>
            <w:r>
              <w:rPr>
                <w:rFonts w:ascii="宋体" w:hAnsi="宋体" w:eastAsia="宋体"/>
                <w:b w:val="0"/>
                <w:i w:val="0"/>
                <w:color w:val="000000"/>
                <w:sz w:val="18"/>
              </w:rPr>
              <w:t>-12.36%</w:t>
            </w:r>
          </w:p>
        </w:tc>
        <w:tc>
          <w:tcPr>
            <w:tcW w:w="1296" w:type="dxa"/>
            <w:tcMar>
              <w:top w:w="0" w:type="dxa"/>
              <w:left w:w="5" w:type="dxa"/>
              <w:bottom w:w="0" w:type="dxa"/>
              <w:right w:w="5" w:type="dxa"/>
            </w:tcMar>
            <w:vAlign w:val="center"/>
          </w:tcPr>
          <w:p w14:paraId="64D99BBF">
            <w:pPr>
              <w:spacing w:before="0" w:after="0" w:line="240" w:lineRule="auto"/>
              <w:jc w:val="center"/>
            </w:pPr>
            <w:r>
              <w:rPr>
                <w:rFonts w:ascii="宋体" w:hAnsi="宋体" w:eastAsia="宋体"/>
                <w:b w:val="0"/>
                <w:i w:val="0"/>
                <w:color w:val="000000"/>
                <w:sz w:val="18"/>
              </w:rPr>
              <w:t>19.42%</w:t>
            </w:r>
          </w:p>
        </w:tc>
        <w:tc>
          <w:tcPr>
            <w:tcW w:w="1296" w:type="dxa"/>
            <w:tcMar>
              <w:top w:w="0" w:type="dxa"/>
              <w:left w:w="5" w:type="dxa"/>
              <w:bottom w:w="0" w:type="dxa"/>
              <w:right w:w="5" w:type="dxa"/>
            </w:tcMar>
            <w:vAlign w:val="center"/>
          </w:tcPr>
          <w:p w14:paraId="5A31ECCE">
            <w:pPr>
              <w:spacing w:before="0" w:after="0" w:line="240" w:lineRule="auto"/>
              <w:jc w:val="center"/>
            </w:pPr>
            <w:r>
              <w:rPr>
                <w:rFonts w:ascii="宋体" w:hAnsi="宋体" w:eastAsia="宋体"/>
                <w:b w:val="0"/>
                <w:i w:val="0"/>
                <w:color w:val="000000"/>
                <w:sz w:val="18"/>
              </w:rPr>
              <w:t>10</w:t>
            </w:r>
          </w:p>
        </w:tc>
      </w:tr>
      <w:tr w14:paraId="4C44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47D8FAB2">
            <w:pPr>
              <w:spacing w:before="0" w:after="0" w:line="240" w:lineRule="auto"/>
              <w:jc w:val="center"/>
            </w:pPr>
            <w:r>
              <w:rPr>
                <w:rFonts w:ascii="宋体" w:hAnsi="宋体" w:eastAsia="宋体"/>
                <w:b w:val="0"/>
                <w:i w:val="0"/>
                <w:color w:val="000000"/>
                <w:sz w:val="18"/>
              </w:rPr>
              <w:t>MA20/60</w:t>
            </w:r>
          </w:p>
        </w:tc>
        <w:tc>
          <w:tcPr>
            <w:tcW w:w="1296" w:type="dxa"/>
            <w:tcMar>
              <w:top w:w="0" w:type="dxa"/>
              <w:left w:w="5" w:type="dxa"/>
              <w:bottom w:w="0" w:type="dxa"/>
              <w:right w:w="5" w:type="dxa"/>
            </w:tcMar>
            <w:vAlign w:val="center"/>
          </w:tcPr>
          <w:p w14:paraId="3B35AEBA">
            <w:pPr>
              <w:spacing w:before="0" w:after="0" w:line="240" w:lineRule="auto"/>
              <w:jc w:val="center"/>
            </w:pPr>
            <w:r>
              <w:rPr>
                <w:rFonts w:ascii="宋体" w:hAnsi="宋体" w:eastAsia="宋体"/>
                <w:b w:val="0"/>
                <w:i w:val="0"/>
                <w:color w:val="000000"/>
                <w:sz w:val="18"/>
              </w:rPr>
              <w:t>-17.09%</w:t>
            </w:r>
          </w:p>
        </w:tc>
        <w:tc>
          <w:tcPr>
            <w:tcW w:w="1296" w:type="dxa"/>
            <w:tcMar>
              <w:top w:w="0" w:type="dxa"/>
              <w:left w:w="5" w:type="dxa"/>
              <w:bottom w:w="0" w:type="dxa"/>
              <w:right w:w="5" w:type="dxa"/>
            </w:tcMar>
            <w:vAlign w:val="center"/>
          </w:tcPr>
          <w:p w14:paraId="1669B405">
            <w:pPr>
              <w:spacing w:before="0" w:after="0" w:line="240" w:lineRule="auto"/>
              <w:jc w:val="center"/>
            </w:pPr>
            <w:r>
              <w:rPr>
                <w:rFonts w:ascii="宋体" w:hAnsi="宋体" w:eastAsia="宋体"/>
                <w:b w:val="0"/>
                <w:i w:val="0"/>
                <w:color w:val="000000"/>
                <w:sz w:val="18"/>
              </w:rPr>
              <w:t>-25.21%</w:t>
            </w:r>
          </w:p>
        </w:tc>
        <w:tc>
          <w:tcPr>
            <w:tcW w:w="1296" w:type="dxa"/>
            <w:tcMar>
              <w:top w:w="0" w:type="dxa"/>
              <w:left w:w="5" w:type="dxa"/>
              <w:bottom w:w="0" w:type="dxa"/>
              <w:right w:w="5" w:type="dxa"/>
            </w:tcMar>
            <w:vAlign w:val="center"/>
          </w:tcPr>
          <w:p w14:paraId="6C32FCD1">
            <w:pPr>
              <w:spacing w:before="0" w:after="0" w:line="240" w:lineRule="auto"/>
              <w:jc w:val="center"/>
            </w:pPr>
            <w:r>
              <w:rPr>
                <w:rFonts w:ascii="宋体" w:hAnsi="宋体" w:eastAsia="宋体"/>
                <w:b w:val="0"/>
                <w:i w:val="0"/>
                <w:color w:val="000000"/>
                <w:sz w:val="18"/>
              </w:rPr>
              <w:t>-0.6055</w:t>
            </w:r>
          </w:p>
        </w:tc>
        <w:tc>
          <w:tcPr>
            <w:tcW w:w="1296" w:type="dxa"/>
            <w:tcMar>
              <w:top w:w="0" w:type="dxa"/>
              <w:left w:w="5" w:type="dxa"/>
              <w:bottom w:w="0" w:type="dxa"/>
              <w:right w:w="5" w:type="dxa"/>
            </w:tcMar>
            <w:vAlign w:val="center"/>
          </w:tcPr>
          <w:p w14:paraId="584BD39D">
            <w:pPr>
              <w:spacing w:before="0" w:after="0" w:line="240" w:lineRule="auto"/>
              <w:jc w:val="center"/>
            </w:pPr>
            <w:r>
              <w:rPr>
                <w:rFonts w:ascii="宋体" w:hAnsi="宋体" w:eastAsia="宋体"/>
                <w:b w:val="0"/>
                <w:i w:val="0"/>
                <w:color w:val="000000"/>
                <w:sz w:val="18"/>
              </w:rPr>
              <w:t>-15.02%</w:t>
            </w:r>
          </w:p>
        </w:tc>
        <w:tc>
          <w:tcPr>
            <w:tcW w:w="1296" w:type="dxa"/>
            <w:tcMar>
              <w:top w:w="0" w:type="dxa"/>
              <w:left w:w="5" w:type="dxa"/>
              <w:bottom w:w="0" w:type="dxa"/>
              <w:right w:w="5" w:type="dxa"/>
            </w:tcMar>
            <w:vAlign w:val="center"/>
          </w:tcPr>
          <w:p w14:paraId="1312CAE7">
            <w:pPr>
              <w:spacing w:before="0" w:after="0" w:line="240" w:lineRule="auto"/>
              <w:jc w:val="center"/>
            </w:pPr>
            <w:r>
              <w:rPr>
                <w:rFonts w:ascii="宋体" w:hAnsi="宋体" w:eastAsia="宋体"/>
                <w:b w:val="0"/>
                <w:i w:val="0"/>
                <w:color w:val="000000"/>
                <w:sz w:val="18"/>
              </w:rPr>
              <w:t>28.10%</w:t>
            </w:r>
          </w:p>
        </w:tc>
        <w:tc>
          <w:tcPr>
            <w:tcW w:w="1296" w:type="dxa"/>
            <w:tcMar>
              <w:top w:w="0" w:type="dxa"/>
              <w:left w:w="5" w:type="dxa"/>
              <w:bottom w:w="0" w:type="dxa"/>
              <w:right w:w="5" w:type="dxa"/>
            </w:tcMar>
            <w:vAlign w:val="center"/>
          </w:tcPr>
          <w:p w14:paraId="5A51B960">
            <w:pPr>
              <w:spacing w:before="0" w:after="0" w:line="240" w:lineRule="auto"/>
              <w:jc w:val="center"/>
            </w:pPr>
            <w:r>
              <w:rPr>
                <w:rFonts w:ascii="宋体" w:hAnsi="宋体" w:eastAsia="宋体"/>
                <w:b w:val="0"/>
                <w:i w:val="0"/>
                <w:color w:val="000000"/>
                <w:sz w:val="18"/>
              </w:rPr>
              <w:t>4</w:t>
            </w:r>
          </w:p>
        </w:tc>
      </w:tr>
      <w:tr w14:paraId="05FF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0DD0D132">
            <w:pPr>
              <w:spacing w:before="0" w:after="0" w:line="240" w:lineRule="auto"/>
              <w:jc w:val="center"/>
            </w:pPr>
            <w:r>
              <w:rPr>
                <w:rFonts w:ascii="宋体" w:hAnsi="宋体" w:eastAsia="宋体"/>
                <w:b w:val="0"/>
                <w:i w:val="0"/>
                <w:color w:val="000000"/>
                <w:sz w:val="18"/>
              </w:rPr>
              <w:t>MA5/20</w:t>
            </w:r>
          </w:p>
        </w:tc>
        <w:tc>
          <w:tcPr>
            <w:tcW w:w="1296" w:type="dxa"/>
            <w:tcMar>
              <w:top w:w="0" w:type="dxa"/>
              <w:left w:w="5" w:type="dxa"/>
              <w:bottom w:w="0" w:type="dxa"/>
              <w:right w:w="5" w:type="dxa"/>
            </w:tcMar>
            <w:vAlign w:val="center"/>
          </w:tcPr>
          <w:p w14:paraId="47E1E4E9">
            <w:pPr>
              <w:spacing w:before="0" w:after="0" w:line="240" w:lineRule="auto"/>
              <w:jc w:val="center"/>
            </w:pPr>
            <w:r>
              <w:rPr>
                <w:rFonts w:ascii="宋体" w:hAnsi="宋体" w:eastAsia="宋体"/>
                <w:b w:val="0"/>
                <w:i w:val="0"/>
                <w:color w:val="000000"/>
                <w:sz w:val="18"/>
              </w:rPr>
              <w:t>-12.35%</w:t>
            </w:r>
          </w:p>
        </w:tc>
        <w:tc>
          <w:tcPr>
            <w:tcW w:w="1296" w:type="dxa"/>
            <w:tcMar>
              <w:top w:w="0" w:type="dxa"/>
              <w:left w:w="5" w:type="dxa"/>
              <w:bottom w:w="0" w:type="dxa"/>
              <w:right w:w="5" w:type="dxa"/>
            </w:tcMar>
            <w:vAlign w:val="center"/>
          </w:tcPr>
          <w:p w14:paraId="11062106">
            <w:pPr>
              <w:spacing w:before="0" w:after="0" w:line="240" w:lineRule="auto"/>
              <w:jc w:val="center"/>
            </w:pPr>
            <w:r>
              <w:rPr>
                <w:rFonts w:ascii="宋体" w:hAnsi="宋体" w:eastAsia="宋体"/>
                <w:b w:val="0"/>
                <w:i w:val="0"/>
                <w:color w:val="000000"/>
                <w:sz w:val="18"/>
              </w:rPr>
              <w:t>-13.01%</w:t>
            </w:r>
          </w:p>
        </w:tc>
        <w:tc>
          <w:tcPr>
            <w:tcW w:w="1296" w:type="dxa"/>
            <w:tcMar>
              <w:top w:w="0" w:type="dxa"/>
              <w:left w:w="5" w:type="dxa"/>
              <w:bottom w:w="0" w:type="dxa"/>
              <w:right w:w="5" w:type="dxa"/>
            </w:tcMar>
            <w:vAlign w:val="center"/>
          </w:tcPr>
          <w:p w14:paraId="6EA0BB19">
            <w:pPr>
              <w:spacing w:before="0" w:after="0" w:line="240" w:lineRule="auto"/>
              <w:jc w:val="center"/>
            </w:pPr>
            <w:r>
              <w:rPr>
                <w:rFonts w:ascii="宋体" w:hAnsi="宋体" w:eastAsia="宋体"/>
                <w:b w:val="0"/>
                <w:i w:val="0"/>
                <w:color w:val="000000"/>
                <w:sz w:val="18"/>
              </w:rPr>
              <w:t>-0.7858</w:t>
            </w:r>
          </w:p>
        </w:tc>
        <w:tc>
          <w:tcPr>
            <w:tcW w:w="1296" w:type="dxa"/>
            <w:tcMar>
              <w:top w:w="0" w:type="dxa"/>
              <w:left w:w="5" w:type="dxa"/>
              <w:bottom w:w="0" w:type="dxa"/>
              <w:right w:w="5" w:type="dxa"/>
            </w:tcMar>
            <w:vAlign w:val="center"/>
          </w:tcPr>
          <w:p w14:paraId="0613470E">
            <w:pPr>
              <w:spacing w:before="0" w:after="0" w:line="240" w:lineRule="auto"/>
              <w:jc w:val="center"/>
            </w:pPr>
            <w:r>
              <w:rPr>
                <w:rFonts w:ascii="宋体" w:hAnsi="宋体" w:eastAsia="宋体"/>
                <w:b w:val="0"/>
                <w:i w:val="0"/>
                <w:color w:val="000000"/>
                <w:sz w:val="18"/>
              </w:rPr>
              <w:t>-12.19%</w:t>
            </w:r>
          </w:p>
        </w:tc>
        <w:tc>
          <w:tcPr>
            <w:tcW w:w="1296" w:type="dxa"/>
            <w:tcMar>
              <w:top w:w="0" w:type="dxa"/>
              <w:left w:w="5" w:type="dxa"/>
              <w:bottom w:w="0" w:type="dxa"/>
              <w:right w:w="5" w:type="dxa"/>
            </w:tcMar>
            <w:vAlign w:val="center"/>
          </w:tcPr>
          <w:p w14:paraId="7462E4C3">
            <w:pPr>
              <w:spacing w:before="0" w:after="0" w:line="240" w:lineRule="auto"/>
              <w:jc w:val="center"/>
            </w:pPr>
            <w:r>
              <w:rPr>
                <w:rFonts w:ascii="宋体" w:hAnsi="宋体" w:eastAsia="宋体"/>
                <w:b w:val="0"/>
                <w:i w:val="0"/>
                <w:color w:val="000000"/>
                <w:sz w:val="18"/>
              </w:rPr>
              <w:t>18.06%</w:t>
            </w:r>
          </w:p>
        </w:tc>
        <w:tc>
          <w:tcPr>
            <w:tcW w:w="1296" w:type="dxa"/>
            <w:tcMar>
              <w:top w:w="0" w:type="dxa"/>
              <w:left w:w="5" w:type="dxa"/>
              <w:bottom w:w="0" w:type="dxa"/>
              <w:right w:w="5" w:type="dxa"/>
            </w:tcMar>
            <w:vAlign w:val="center"/>
          </w:tcPr>
          <w:p w14:paraId="3FE6D80F">
            <w:pPr>
              <w:spacing w:before="0" w:after="0" w:line="240" w:lineRule="auto"/>
              <w:jc w:val="center"/>
            </w:pPr>
            <w:r>
              <w:rPr>
                <w:rFonts w:ascii="宋体" w:hAnsi="宋体" w:eastAsia="宋体"/>
                <w:b w:val="0"/>
                <w:i w:val="0"/>
                <w:color w:val="000000"/>
                <w:sz w:val="18"/>
              </w:rPr>
              <w:t>16</w:t>
            </w:r>
          </w:p>
        </w:tc>
      </w:tr>
      <w:tr w14:paraId="146F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62C0DD4D">
            <w:pPr>
              <w:spacing w:before="0" w:after="0" w:line="240" w:lineRule="auto"/>
              <w:jc w:val="center"/>
            </w:pPr>
            <w:r>
              <w:rPr>
                <w:rFonts w:ascii="宋体" w:hAnsi="宋体" w:eastAsia="宋体"/>
                <w:b w:val="0"/>
                <w:i w:val="0"/>
                <w:color w:val="000000"/>
                <w:sz w:val="18"/>
              </w:rPr>
              <w:t>MA10/20</w:t>
            </w:r>
          </w:p>
        </w:tc>
        <w:tc>
          <w:tcPr>
            <w:tcW w:w="1296" w:type="dxa"/>
            <w:tcMar>
              <w:top w:w="0" w:type="dxa"/>
              <w:left w:w="5" w:type="dxa"/>
              <w:bottom w:w="0" w:type="dxa"/>
              <w:right w:w="5" w:type="dxa"/>
            </w:tcMar>
            <w:vAlign w:val="center"/>
          </w:tcPr>
          <w:p w14:paraId="1EADA58B">
            <w:pPr>
              <w:spacing w:before="0" w:after="0" w:line="240" w:lineRule="auto"/>
              <w:jc w:val="center"/>
            </w:pPr>
            <w:r>
              <w:rPr>
                <w:rFonts w:ascii="宋体" w:hAnsi="宋体" w:eastAsia="宋体"/>
                <w:b w:val="0"/>
                <w:i w:val="0"/>
                <w:color w:val="000000"/>
                <w:sz w:val="18"/>
              </w:rPr>
              <w:t>-35.88%</w:t>
            </w:r>
          </w:p>
        </w:tc>
        <w:tc>
          <w:tcPr>
            <w:tcW w:w="1296" w:type="dxa"/>
            <w:tcMar>
              <w:top w:w="0" w:type="dxa"/>
              <w:left w:w="5" w:type="dxa"/>
              <w:bottom w:w="0" w:type="dxa"/>
              <w:right w:w="5" w:type="dxa"/>
            </w:tcMar>
            <w:vAlign w:val="center"/>
          </w:tcPr>
          <w:p w14:paraId="55E07B44">
            <w:pPr>
              <w:spacing w:before="0" w:after="0" w:line="240" w:lineRule="auto"/>
              <w:jc w:val="center"/>
            </w:pPr>
            <w:r>
              <w:rPr>
                <w:rFonts w:ascii="宋体" w:hAnsi="宋体" w:eastAsia="宋体"/>
                <w:b w:val="0"/>
                <w:i w:val="0"/>
                <w:color w:val="000000"/>
                <w:sz w:val="18"/>
              </w:rPr>
              <w:t>-38.86%</w:t>
            </w:r>
          </w:p>
        </w:tc>
        <w:tc>
          <w:tcPr>
            <w:tcW w:w="1296" w:type="dxa"/>
            <w:tcMar>
              <w:top w:w="0" w:type="dxa"/>
              <w:left w:w="5" w:type="dxa"/>
              <w:bottom w:w="0" w:type="dxa"/>
              <w:right w:w="5" w:type="dxa"/>
            </w:tcMar>
            <w:vAlign w:val="center"/>
          </w:tcPr>
          <w:p w14:paraId="18D8F6AF">
            <w:pPr>
              <w:spacing w:before="0" w:after="0" w:line="240" w:lineRule="auto"/>
              <w:jc w:val="center"/>
            </w:pPr>
            <w:r>
              <w:rPr>
                <w:rFonts w:ascii="宋体" w:hAnsi="宋体" w:eastAsia="宋体"/>
                <w:b w:val="0"/>
                <w:i w:val="0"/>
                <w:color w:val="000000"/>
                <w:sz w:val="18"/>
              </w:rPr>
              <w:t>-1.7071</w:t>
            </w:r>
          </w:p>
        </w:tc>
        <w:tc>
          <w:tcPr>
            <w:tcW w:w="1296" w:type="dxa"/>
            <w:tcMar>
              <w:top w:w="0" w:type="dxa"/>
              <w:left w:w="5" w:type="dxa"/>
              <w:bottom w:w="0" w:type="dxa"/>
              <w:right w:w="5" w:type="dxa"/>
            </w:tcMar>
            <w:vAlign w:val="center"/>
          </w:tcPr>
          <w:p w14:paraId="2FE502B8">
            <w:pPr>
              <w:spacing w:before="0" w:after="0" w:line="240" w:lineRule="auto"/>
              <w:jc w:val="center"/>
            </w:pPr>
            <w:r>
              <w:rPr>
                <w:rFonts w:ascii="宋体" w:hAnsi="宋体" w:eastAsia="宋体"/>
                <w:b w:val="0"/>
                <w:i w:val="0"/>
                <w:color w:val="000000"/>
                <w:sz w:val="18"/>
              </w:rPr>
              <w:t>-42.83%</w:t>
            </w:r>
          </w:p>
        </w:tc>
        <w:tc>
          <w:tcPr>
            <w:tcW w:w="1296" w:type="dxa"/>
            <w:tcMar>
              <w:top w:w="0" w:type="dxa"/>
              <w:left w:w="5" w:type="dxa"/>
              <w:bottom w:w="0" w:type="dxa"/>
              <w:right w:w="5" w:type="dxa"/>
            </w:tcMar>
            <w:vAlign w:val="center"/>
          </w:tcPr>
          <w:p w14:paraId="4DCF50F3">
            <w:pPr>
              <w:spacing w:before="0" w:after="0" w:line="240" w:lineRule="auto"/>
              <w:jc w:val="center"/>
            </w:pPr>
            <w:r>
              <w:rPr>
                <w:rFonts w:ascii="宋体" w:hAnsi="宋体" w:eastAsia="宋体"/>
                <w:b w:val="0"/>
                <w:i w:val="0"/>
                <w:color w:val="000000"/>
                <w:sz w:val="18"/>
              </w:rPr>
              <w:t>26.26%</w:t>
            </w:r>
          </w:p>
        </w:tc>
        <w:tc>
          <w:tcPr>
            <w:tcW w:w="1296" w:type="dxa"/>
            <w:tcMar>
              <w:top w:w="0" w:type="dxa"/>
              <w:left w:w="5" w:type="dxa"/>
              <w:bottom w:w="0" w:type="dxa"/>
              <w:right w:w="5" w:type="dxa"/>
            </w:tcMar>
            <w:vAlign w:val="center"/>
          </w:tcPr>
          <w:p w14:paraId="37A3C519">
            <w:pPr>
              <w:spacing w:before="0" w:after="0" w:line="240" w:lineRule="auto"/>
              <w:jc w:val="center"/>
            </w:pPr>
            <w:r>
              <w:rPr>
                <w:rFonts w:ascii="宋体" w:hAnsi="宋体" w:eastAsia="宋体"/>
                <w:b w:val="0"/>
                <w:i w:val="0"/>
                <w:color w:val="000000"/>
                <w:sz w:val="18"/>
              </w:rPr>
              <w:t>16</w:t>
            </w:r>
          </w:p>
        </w:tc>
      </w:tr>
      <w:tr w14:paraId="362C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343C0E19">
            <w:pPr>
              <w:spacing w:before="0" w:after="0" w:line="240" w:lineRule="auto"/>
              <w:jc w:val="center"/>
            </w:pPr>
            <w:r>
              <w:rPr>
                <w:rFonts w:ascii="宋体" w:hAnsi="宋体" w:eastAsia="宋体"/>
                <w:b w:val="0"/>
                <w:i w:val="0"/>
                <w:color w:val="000000"/>
                <w:sz w:val="18"/>
              </w:rPr>
              <w:t>**MA10/60**</w:t>
            </w:r>
          </w:p>
        </w:tc>
        <w:tc>
          <w:tcPr>
            <w:tcW w:w="1296" w:type="dxa"/>
            <w:tcMar>
              <w:top w:w="0" w:type="dxa"/>
              <w:left w:w="5" w:type="dxa"/>
              <w:bottom w:w="0" w:type="dxa"/>
              <w:right w:w="5" w:type="dxa"/>
            </w:tcMar>
            <w:vAlign w:val="center"/>
          </w:tcPr>
          <w:p w14:paraId="1D66900E">
            <w:pPr>
              <w:spacing w:before="0" w:after="0" w:line="240" w:lineRule="auto"/>
              <w:jc w:val="center"/>
            </w:pPr>
            <w:r>
              <w:rPr>
                <w:rFonts w:ascii="宋体" w:hAnsi="宋体" w:eastAsia="宋体"/>
                <w:b w:val="0"/>
                <w:i w:val="0"/>
                <w:color w:val="000000"/>
                <w:sz w:val="18"/>
              </w:rPr>
              <w:t>**-6.94%**</w:t>
            </w:r>
          </w:p>
        </w:tc>
        <w:tc>
          <w:tcPr>
            <w:tcW w:w="1296" w:type="dxa"/>
            <w:tcMar>
              <w:top w:w="0" w:type="dxa"/>
              <w:left w:w="5" w:type="dxa"/>
              <w:bottom w:w="0" w:type="dxa"/>
              <w:right w:w="5" w:type="dxa"/>
            </w:tcMar>
            <w:vAlign w:val="center"/>
          </w:tcPr>
          <w:p w14:paraId="51A4E71A">
            <w:pPr>
              <w:spacing w:before="0" w:after="0" w:line="240" w:lineRule="auto"/>
              <w:jc w:val="center"/>
            </w:pPr>
            <w:r>
              <w:rPr>
                <w:rFonts w:ascii="宋体" w:hAnsi="宋体" w:eastAsia="宋体"/>
                <w:b w:val="0"/>
                <w:i w:val="0"/>
                <w:color w:val="000000"/>
                <w:sz w:val="18"/>
              </w:rPr>
              <w:t>**-17.93%**</w:t>
            </w:r>
          </w:p>
        </w:tc>
        <w:tc>
          <w:tcPr>
            <w:tcW w:w="1296" w:type="dxa"/>
            <w:tcMar>
              <w:top w:w="0" w:type="dxa"/>
              <w:left w:w="5" w:type="dxa"/>
              <w:bottom w:w="0" w:type="dxa"/>
              <w:right w:w="5" w:type="dxa"/>
            </w:tcMar>
            <w:vAlign w:val="center"/>
          </w:tcPr>
          <w:p w14:paraId="4CFBC980">
            <w:pPr>
              <w:spacing w:before="0" w:after="0" w:line="240" w:lineRule="auto"/>
              <w:jc w:val="center"/>
            </w:pPr>
            <w:r>
              <w:rPr>
                <w:rFonts w:ascii="宋体" w:hAnsi="宋体" w:eastAsia="宋体"/>
                <w:b w:val="0"/>
                <w:i w:val="0"/>
                <w:color w:val="000000"/>
                <w:sz w:val="18"/>
              </w:rPr>
              <w:t>**-0.3939**</w:t>
            </w:r>
          </w:p>
        </w:tc>
        <w:tc>
          <w:tcPr>
            <w:tcW w:w="1296" w:type="dxa"/>
            <w:tcMar>
              <w:top w:w="0" w:type="dxa"/>
              <w:left w:w="5" w:type="dxa"/>
              <w:bottom w:w="0" w:type="dxa"/>
              <w:right w:w="5" w:type="dxa"/>
            </w:tcMar>
            <w:vAlign w:val="center"/>
          </w:tcPr>
          <w:p w14:paraId="3553D2F0">
            <w:pPr>
              <w:spacing w:before="0" w:after="0" w:line="240" w:lineRule="auto"/>
              <w:jc w:val="center"/>
            </w:pPr>
            <w:r>
              <w:rPr>
                <w:rFonts w:ascii="宋体" w:hAnsi="宋体" w:eastAsia="宋体"/>
                <w:b w:val="0"/>
                <w:i w:val="0"/>
                <w:color w:val="000000"/>
                <w:sz w:val="18"/>
              </w:rPr>
              <w:t>**-5.65%**</w:t>
            </w:r>
          </w:p>
        </w:tc>
        <w:tc>
          <w:tcPr>
            <w:tcW w:w="1296" w:type="dxa"/>
            <w:tcMar>
              <w:top w:w="0" w:type="dxa"/>
              <w:left w:w="5" w:type="dxa"/>
              <w:bottom w:w="0" w:type="dxa"/>
              <w:right w:w="5" w:type="dxa"/>
            </w:tcMar>
            <w:vAlign w:val="center"/>
          </w:tcPr>
          <w:p w14:paraId="219E79EC">
            <w:pPr>
              <w:spacing w:before="0" w:after="0" w:line="240" w:lineRule="auto"/>
              <w:jc w:val="center"/>
            </w:pPr>
            <w:r>
              <w:rPr>
                <w:rFonts w:ascii="宋体" w:hAnsi="宋体" w:eastAsia="宋体"/>
                <w:b w:val="0"/>
                <w:i w:val="0"/>
                <w:color w:val="000000"/>
                <w:sz w:val="18"/>
              </w:rPr>
              <w:t>19.43%</w:t>
            </w:r>
          </w:p>
        </w:tc>
        <w:tc>
          <w:tcPr>
            <w:tcW w:w="1296" w:type="dxa"/>
            <w:tcMar>
              <w:top w:w="0" w:type="dxa"/>
              <w:left w:w="5" w:type="dxa"/>
              <w:bottom w:w="0" w:type="dxa"/>
              <w:right w:w="5" w:type="dxa"/>
            </w:tcMar>
            <w:vAlign w:val="center"/>
          </w:tcPr>
          <w:p w14:paraId="5491CF48">
            <w:pPr>
              <w:spacing w:before="0" w:after="0" w:line="240" w:lineRule="auto"/>
              <w:jc w:val="center"/>
            </w:pPr>
            <w:r>
              <w:rPr>
                <w:rFonts w:ascii="宋体" w:hAnsi="宋体" w:eastAsia="宋体"/>
                <w:b w:val="0"/>
                <w:i w:val="0"/>
                <w:color w:val="000000"/>
                <w:sz w:val="18"/>
              </w:rPr>
              <w:t>6</w:t>
            </w:r>
          </w:p>
        </w:tc>
      </w:tr>
    </w:tbl>
    <w:p w14:paraId="06E5A827"/>
    <w:p w14:paraId="2BC32FA4">
      <w:pPr>
        <w:spacing w:before="0" w:after="0" w:line="360" w:lineRule="auto"/>
        <w:ind w:firstLine="420"/>
        <w:jc w:val="both"/>
      </w:pPr>
      <w:r>
        <w:rPr>
          <w:rFonts w:ascii="宋体" w:hAnsi="宋体" w:eastAsia="宋体"/>
          <w:b w:val="0"/>
          <w:i w:val="0"/>
          <w:color w:val="000000"/>
          <w:sz w:val="21"/>
        </w:rPr>
        <w:t>从六组参数的对比中可以看出以下规律：</w:t>
      </w:r>
    </w:p>
    <w:p w14:paraId="2578D534">
      <w:pPr>
        <w:spacing w:before="0" w:after="0" w:line="360" w:lineRule="auto"/>
        <w:ind w:firstLine="420"/>
        <w:jc w:val="both"/>
      </w:pPr>
      <w:r>
        <w:rPr>
          <w:rFonts w:ascii="宋体" w:hAnsi="宋体" w:eastAsia="宋体"/>
          <w:b w:val="0"/>
          <w:i w:val="0"/>
          <w:color w:val="000000"/>
          <w:sz w:val="21"/>
        </w:rPr>
        <w:t>第一，参数选择对策略表现的影响极为显著。六组参数均为负收益，但亏损幅度从 -6.94% 到 -35.88% 不等，夏普比率从 -0.39 到 -1.71 不等，差异巨大。其中 MA10/60 组合在累计回报（-6.94%）和夏普比率（-0.3939）两个维度上均表现最佳。</w:t>
      </w:r>
    </w:p>
    <w:p w14:paraId="68814284">
      <w:pPr>
        <w:spacing w:before="0" w:after="0" w:line="360" w:lineRule="auto"/>
        <w:ind w:firstLine="420"/>
        <w:jc w:val="both"/>
      </w:pPr>
      <w:r>
        <w:rPr>
          <w:rFonts w:ascii="宋体" w:hAnsi="宋体" w:eastAsia="宋体"/>
          <w:b w:val="0"/>
          <w:i w:val="0"/>
          <w:color w:val="000000"/>
          <w:sz w:val="21"/>
        </w:rPr>
        <w:t>第二，信号频率与策略表现并非单调关系。交易次数最多的 MA5/15、MA5/20 和 MA10/20（均为 16 次）表现最差，其中 MA10/20 的累计亏损高达 -35.88%、回撤达 -38.86%。而交易次数最少的 MA20/60（仅 4 次）同样表现不佳，累计亏损 -17.09%。信号次数居中的 MA10/30（10 次）和 MA10/60（6 次）反而相对稳健。这表明信号过少可能错过反转时机，信号过多则容易被震荡市打损，适中的信号频率往往效果更好。</w:t>
      </w:r>
    </w:p>
    <w:p w14:paraId="46BCFCF4">
      <w:pPr>
        <w:spacing w:before="0" w:after="0" w:line="360" w:lineRule="auto"/>
        <w:ind w:firstLine="420"/>
        <w:jc w:val="both"/>
      </w:pPr>
      <w:r>
        <w:rPr>
          <w:rFonts w:ascii="宋体" w:hAnsi="宋体" w:eastAsia="宋体"/>
          <w:b w:val="0"/>
          <w:i w:val="0"/>
          <w:color w:val="000000"/>
          <w:sz w:val="21"/>
        </w:rPr>
        <w:t>第三，短期均线与长期均线的周期差距（即带宽）对策略表现有重要影响。MA5/15 与 MA10/20 的带宽均为 10，但前者损失远小于后者（-13.73% 对 -35.88%），说明短期均线的基准位置同样关键。MA10/60 以 50 的带宽隔最大，信号间隔最长，反而在全年下行趋势中最大限度降低了损失。</w:t>
      </w:r>
    </w:p>
    <w:p w14:paraId="6015A4F5">
      <w:pPr>
        <w:spacing w:before="0" w:after="0" w:line="360" w:lineRule="auto"/>
        <w:ind w:firstLine="420"/>
        <w:jc w:val="both"/>
      </w:pPr>
      <w:r>
        <w:rPr>
          <w:rFonts w:ascii="宋体" w:hAnsi="宋体" w:eastAsia="宋体"/>
          <w:b w:val="0"/>
          <w:i w:val="0"/>
          <w:color w:val="000000"/>
          <w:sz w:val="21"/>
        </w:rPr>
        <w:t>不同参数下的策略净值曲线对比如图 2 所示。</w:t>
      </w:r>
    </w:p>
    <w:p w14:paraId="62481991">
      <w:pPr>
        <w:jc w:val="center"/>
      </w:pPr>
      <w:r>
        <w:drawing>
          <wp:inline distT="0" distB="0" distL="114300" distR="114300">
            <wp:extent cx="5486400" cy="301879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19053"/>
                    </a:xfrm>
                    <a:prstGeom prst="rect">
                      <a:avLst/>
                    </a:prstGeom>
                  </pic:spPr>
                </pic:pic>
              </a:graphicData>
            </a:graphic>
          </wp:inline>
        </w:drawing>
      </w:r>
    </w:p>
    <w:p w14:paraId="43B4FAFD">
      <w:pPr>
        <w:spacing w:before="0" w:after="0" w:line="360" w:lineRule="auto"/>
        <w:ind w:firstLine="420"/>
        <w:jc w:val="center"/>
      </w:pPr>
      <w:r>
        <w:rPr>
          <w:rFonts w:hint="eastAsia" w:ascii="宋体" w:eastAsia="宋体"/>
          <w:b w:val="0"/>
          <w:bCs/>
          <w:i w:val="0"/>
          <w:color w:val="000000"/>
          <w:sz w:val="18"/>
          <w:szCs w:val="18"/>
          <w:lang w:val="en-US" w:eastAsia="zh-CN"/>
        </w:rPr>
        <w:t>图</w:t>
      </w:r>
      <w:r>
        <w:rPr>
          <w:rFonts w:ascii="宋体" w:hAnsi="宋体" w:eastAsia="宋体"/>
          <w:b w:val="0"/>
          <w:bCs/>
          <w:i w:val="0"/>
          <w:color w:val="000000"/>
          <w:sz w:val="18"/>
          <w:szCs w:val="18"/>
        </w:rPr>
        <w:t xml:space="preserve"> </w:t>
      </w:r>
      <w:r>
        <w:rPr>
          <w:rFonts w:hint="eastAsia"/>
          <w:b w:val="0"/>
          <w:bCs/>
          <w:i w:val="0"/>
          <w:color w:val="000000"/>
          <w:sz w:val="18"/>
          <w:szCs w:val="18"/>
          <w:lang w:val="en-US" w:eastAsia="zh-CN"/>
        </w:rPr>
        <w:t>2</w:t>
      </w:r>
      <w:r>
        <w:rPr>
          <w:rFonts w:ascii="宋体" w:hAnsi="宋体" w:eastAsia="宋体"/>
          <w:b w:val="0"/>
          <w:bCs/>
          <w:i w:val="0"/>
          <w:color w:val="000000"/>
          <w:sz w:val="18"/>
          <w:szCs w:val="18"/>
        </w:rPr>
        <w:t xml:space="preserve"> </w:t>
      </w:r>
      <w:r>
        <w:rPr>
          <w:rFonts w:hint="eastAsia" w:ascii="宋体" w:hAnsi="宋体" w:eastAsia="宋体"/>
          <w:b w:val="0"/>
          <w:bCs/>
          <w:i w:val="0"/>
          <w:color w:val="000000"/>
          <w:sz w:val="18"/>
          <w:szCs w:val="18"/>
        </w:rPr>
        <w:t>策略净值曲线</w:t>
      </w:r>
    </w:p>
    <w:p w14:paraId="60794320">
      <w:pPr>
        <w:spacing w:before="0" w:after="0" w:line="360" w:lineRule="auto"/>
        <w:ind w:firstLine="420"/>
        <w:jc w:val="both"/>
      </w:pPr>
      <w:r>
        <w:rPr>
          <w:rFonts w:ascii="宋体" w:hAnsi="宋体" w:eastAsia="宋体"/>
          <w:b w:val="0"/>
          <w:i w:val="0"/>
          <w:color w:val="000000"/>
          <w:sz w:val="21"/>
        </w:rPr>
        <w:t>最优参数（MA10/60）的全景回测结果如图 3 所示，包含股价走势与买卖信号、策略净值曲线和回撤曲线。</w:t>
      </w:r>
    </w:p>
    <w:p w14:paraId="5A5816CA">
      <w:pPr>
        <w:jc w:val="center"/>
      </w:pPr>
      <w:r>
        <w:drawing>
          <wp:inline distT="0" distB="0" distL="114300" distR="114300">
            <wp:extent cx="5486400" cy="3729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729850"/>
                    </a:xfrm>
                    <a:prstGeom prst="rect">
                      <a:avLst/>
                    </a:prstGeom>
                  </pic:spPr>
                </pic:pic>
              </a:graphicData>
            </a:graphic>
          </wp:inline>
        </w:drawing>
      </w:r>
    </w:p>
    <w:p w14:paraId="012F643D">
      <w:pPr>
        <w:spacing w:before="0" w:after="0" w:line="360" w:lineRule="auto"/>
        <w:ind w:firstLine="420"/>
        <w:jc w:val="center"/>
      </w:pPr>
      <w:r>
        <w:rPr>
          <w:rFonts w:hint="eastAsia" w:ascii="宋体" w:eastAsia="宋体"/>
          <w:b w:val="0"/>
          <w:bCs/>
          <w:i w:val="0"/>
          <w:color w:val="000000"/>
          <w:sz w:val="18"/>
          <w:szCs w:val="18"/>
          <w:lang w:val="en-US" w:eastAsia="zh-CN"/>
        </w:rPr>
        <w:t>图</w:t>
      </w:r>
      <w:r>
        <w:rPr>
          <w:rFonts w:ascii="宋体" w:hAnsi="宋体" w:eastAsia="宋体"/>
          <w:b w:val="0"/>
          <w:bCs/>
          <w:i w:val="0"/>
          <w:color w:val="000000"/>
          <w:sz w:val="18"/>
          <w:szCs w:val="18"/>
        </w:rPr>
        <w:t xml:space="preserve"> </w:t>
      </w:r>
      <w:r>
        <w:rPr>
          <w:rFonts w:hint="eastAsia"/>
          <w:b w:val="0"/>
          <w:bCs/>
          <w:i w:val="0"/>
          <w:color w:val="000000"/>
          <w:sz w:val="18"/>
          <w:szCs w:val="18"/>
          <w:lang w:val="en-US" w:eastAsia="zh-CN"/>
        </w:rPr>
        <w:t>3</w:t>
      </w:r>
      <w:r>
        <w:rPr>
          <w:rFonts w:ascii="宋体" w:hAnsi="宋体" w:eastAsia="宋体"/>
          <w:b w:val="0"/>
          <w:bCs/>
          <w:i w:val="0"/>
          <w:color w:val="000000"/>
          <w:sz w:val="18"/>
          <w:szCs w:val="18"/>
        </w:rPr>
        <w:t xml:space="preserve"> </w:t>
      </w:r>
      <w:r>
        <w:rPr>
          <w:rFonts w:hint="eastAsia" w:ascii="宋体" w:hAnsi="宋体" w:eastAsia="宋体"/>
          <w:b w:val="0"/>
          <w:bCs/>
          <w:i w:val="0"/>
          <w:color w:val="000000"/>
          <w:sz w:val="18"/>
          <w:szCs w:val="18"/>
        </w:rPr>
        <w:t>最优参数（MA10/60）全景回测结果</w:t>
      </w:r>
    </w:p>
    <w:p w14:paraId="31F6EF5E">
      <w:pPr>
        <w:spacing w:before="120" w:after="120" w:line="360" w:lineRule="auto"/>
        <w:jc w:val="left"/>
      </w:pPr>
      <w:r>
        <w:rPr>
          <w:rFonts w:ascii="宋体" w:hAnsi="宋体" w:eastAsia="宋体"/>
          <w:b/>
          <w:i w:val="0"/>
          <w:color w:val="000000"/>
          <w:sz w:val="24"/>
        </w:rPr>
        <w:t>4.2 不同股票的对比分析</w:t>
      </w:r>
    </w:p>
    <w:p w14:paraId="237D25F5">
      <w:pPr>
        <w:spacing w:before="0" w:after="0" w:line="360" w:lineRule="auto"/>
        <w:ind w:firstLine="420"/>
        <w:jc w:val="both"/>
      </w:pPr>
      <w:r>
        <w:rPr>
          <w:rFonts w:ascii="宋体" w:hAnsi="宋体" w:eastAsia="宋体"/>
          <w:b w:val="0"/>
          <w:i w:val="0"/>
          <w:color w:val="000000"/>
          <w:sz w:val="21"/>
        </w:rPr>
        <w:t>为检验双均线策略在不同类型股票上的表现差异，选取寒武纪（688256.SH，高波动科技股）、宁德时代（300750.SZ，成长型新能源龙头）和贵州茅台（600519.SH，大盘蓝筹消费股）三只具有代表性的 A 股，统一采用 MA10/MA30 参数进行回测对比。回测期间为 2025 年 7 月至 2026 年 7 月，结果如表 3 所示。</w:t>
      </w:r>
    </w:p>
    <w:p w14:paraId="6165A63E">
      <w:pPr>
        <w:spacing w:before="0" w:after="0" w:line="360" w:lineRule="auto"/>
        <w:ind w:firstLine="420"/>
        <w:jc w:val="center"/>
        <w:rPr>
          <w:b w:val="0"/>
          <w:bCs/>
          <w:sz w:val="18"/>
          <w:szCs w:val="18"/>
        </w:rPr>
      </w:pPr>
      <w:r>
        <w:rPr>
          <w:rFonts w:ascii="宋体" w:hAnsi="宋体" w:eastAsia="宋体"/>
          <w:b w:val="0"/>
          <w:bCs/>
          <w:i w:val="0"/>
          <w:color w:val="000000"/>
          <w:sz w:val="18"/>
          <w:szCs w:val="18"/>
        </w:rPr>
        <w:t>表 3 三只股票 MA10/MA30 回测对比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51A9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0" w:type="dxa"/>
              <w:left w:w="5" w:type="dxa"/>
              <w:bottom w:w="0" w:type="dxa"/>
              <w:right w:w="5" w:type="dxa"/>
            </w:tcMar>
            <w:vAlign w:val="center"/>
          </w:tcPr>
          <w:p w14:paraId="0C7A7F4A">
            <w:pPr>
              <w:spacing w:before="0" w:after="0" w:line="240" w:lineRule="auto"/>
              <w:jc w:val="center"/>
            </w:pPr>
            <w:r>
              <w:rPr>
                <w:rFonts w:ascii="宋体" w:hAnsi="宋体" w:eastAsia="宋体"/>
                <w:b/>
                <w:i w:val="0"/>
                <w:color w:val="000000"/>
                <w:sz w:val="18"/>
              </w:rPr>
              <w:t>股票</w:t>
            </w:r>
          </w:p>
        </w:tc>
        <w:tc>
          <w:tcPr>
            <w:tcW w:w="1134" w:type="dxa"/>
            <w:tcMar>
              <w:top w:w="0" w:type="dxa"/>
              <w:left w:w="5" w:type="dxa"/>
              <w:bottom w:w="0" w:type="dxa"/>
              <w:right w:w="5" w:type="dxa"/>
            </w:tcMar>
            <w:vAlign w:val="center"/>
          </w:tcPr>
          <w:p w14:paraId="706AFC51">
            <w:pPr>
              <w:spacing w:before="0" w:after="0" w:line="240" w:lineRule="auto"/>
              <w:jc w:val="center"/>
            </w:pPr>
            <w:r>
              <w:rPr>
                <w:rFonts w:ascii="宋体" w:hAnsi="宋体" w:eastAsia="宋体"/>
                <w:b/>
                <w:i w:val="0"/>
                <w:color w:val="000000"/>
                <w:sz w:val="18"/>
              </w:rPr>
              <w:t>代码</w:t>
            </w:r>
          </w:p>
        </w:tc>
        <w:tc>
          <w:tcPr>
            <w:tcW w:w="1134" w:type="dxa"/>
            <w:tcMar>
              <w:top w:w="0" w:type="dxa"/>
              <w:left w:w="5" w:type="dxa"/>
              <w:bottom w:w="0" w:type="dxa"/>
              <w:right w:w="5" w:type="dxa"/>
            </w:tcMar>
            <w:vAlign w:val="center"/>
          </w:tcPr>
          <w:p w14:paraId="46FC1F2E">
            <w:pPr>
              <w:spacing w:before="0" w:after="0" w:line="240" w:lineRule="auto"/>
              <w:jc w:val="center"/>
            </w:pPr>
            <w:r>
              <w:rPr>
                <w:rFonts w:ascii="宋体" w:hAnsi="宋体" w:eastAsia="宋体"/>
                <w:b/>
                <w:i w:val="0"/>
                <w:color w:val="000000"/>
                <w:sz w:val="18"/>
              </w:rPr>
              <w:t>累计回报</w:t>
            </w:r>
          </w:p>
        </w:tc>
        <w:tc>
          <w:tcPr>
            <w:tcW w:w="1134" w:type="dxa"/>
            <w:tcMar>
              <w:top w:w="0" w:type="dxa"/>
              <w:left w:w="5" w:type="dxa"/>
              <w:bottom w:w="0" w:type="dxa"/>
              <w:right w:w="5" w:type="dxa"/>
            </w:tcMar>
            <w:vAlign w:val="center"/>
          </w:tcPr>
          <w:p w14:paraId="64D2C537">
            <w:pPr>
              <w:spacing w:before="0" w:after="0" w:line="240" w:lineRule="auto"/>
              <w:jc w:val="center"/>
            </w:pPr>
            <w:r>
              <w:rPr>
                <w:rFonts w:ascii="宋体" w:hAnsi="宋体" w:eastAsia="宋体"/>
                <w:b/>
                <w:i w:val="0"/>
                <w:color w:val="000000"/>
                <w:sz w:val="18"/>
              </w:rPr>
              <w:t>最大回撤</w:t>
            </w:r>
          </w:p>
        </w:tc>
        <w:tc>
          <w:tcPr>
            <w:tcW w:w="1134" w:type="dxa"/>
            <w:tcMar>
              <w:top w:w="0" w:type="dxa"/>
              <w:left w:w="5" w:type="dxa"/>
              <w:bottom w:w="0" w:type="dxa"/>
              <w:right w:w="5" w:type="dxa"/>
            </w:tcMar>
            <w:vAlign w:val="center"/>
          </w:tcPr>
          <w:p w14:paraId="35C8A6F6">
            <w:pPr>
              <w:spacing w:before="0" w:after="0" w:line="240" w:lineRule="auto"/>
              <w:jc w:val="center"/>
            </w:pPr>
            <w:r>
              <w:rPr>
                <w:rFonts w:ascii="宋体" w:hAnsi="宋体" w:eastAsia="宋体"/>
                <w:b/>
                <w:i w:val="0"/>
                <w:color w:val="000000"/>
                <w:sz w:val="18"/>
              </w:rPr>
              <w:t>夏普比率</w:t>
            </w:r>
          </w:p>
        </w:tc>
        <w:tc>
          <w:tcPr>
            <w:tcW w:w="1134" w:type="dxa"/>
            <w:tcMar>
              <w:top w:w="0" w:type="dxa"/>
              <w:left w:w="5" w:type="dxa"/>
              <w:bottom w:w="0" w:type="dxa"/>
              <w:right w:w="5" w:type="dxa"/>
            </w:tcMar>
            <w:vAlign w:val="center"/>
          </w:tcPr>
          <w:p w14:paraId="5E46B587">
            <w:pPr>
              <w:spacing w:before="0" w:after="0" w:line="240" w:lineRule="auto"/>
              <w:jc w:val="center"/>
            </w:pPr>
            <w:r>
              <w:rPr>
                <w:rFonts w:ascii="宋体" w:hAnsi="宋体" w:eastAsia="宋体"/>
                <w:b/>
                <w:i w:val="0"/>
                <w:color w:val="000000"/>
                <w:sz w:val="18"/>
              </w:rPr>
              <w:t>年化收益</w:t>
            </w:r>
          </w:p>
        </w:tc>
        <w:tc>
          <w:tcPr>
            <w:tcW w:w="1134" w:type="dxa"/>
            <w:tcMar>
              <w:top w:w="0" w:type="dxa"/>
              <w:left w:w="5" w:type="dxa"/>
              <w:bottom w:w="0" w:type="dxa"/>
              <w:right w:w="5" w:type="dxa"/>
            </w:tcMar>
            <w:vAlign w:val="center"/>
          </w:tcPr>
          <w:p w14:paraId="3C45C271">
            <w:pPr>
              <w:spacing w:before="0" w:after="0" w:line="240" w:lineRule="auto"/>
              <w:jc w:val="center"/>
            </w:pPr>
            <w:r>
              <w:rPr>
                <w:rFonts w:ascii="宋体" w:hAnsi="宋体" w:eastAsia="宋体"/>
                <w:b/>
                <w:i w:val="0"/>
                <w:color w:val="000000"/>
                <w:sz w:val="18"/>
              </w:rPr>
              <w:t>年化波动</w:t>
            </w:r>
          </w:p>
        </w:tc>
        <w:tc>
          <w:tcPr>
            <w:tcW w:w="1134" w:type="dxa"/>
            <w:tcMar>
              <w:top w:w="0" w:type="dxa"/>
              <w:left w:w="5" w:type="dxa"/>
              <w:bottom w:w="0" w:type="dxa"/>
              <w:right w:w="5" w:type="dxa"/>
            </w:tcMar>
            <w:vAlign w:val="center"/>
          </w:tcPr>
          <w:p w14:paraId="4DE977F4">
            <w:pPr>
              <w:spacing w:before="0" w:after="0" w:line="240" w:lineRule="auto"/>
              <w:jc w:val="center"/>
            </w:pPr>
            <w:r>
              <w:rPr>
                <w:rFonts w:ascii="宋体" w:hAnsi="宋体" w:eastAsia="宋体"/>
                <w:b/>
                <w:i w:val="0"/>
                <w:color w:val="000000"/>
                <w:sz w:val="18"/>
              </w:rPr>
              <w:t>交易次数</w:t>
            </w:r>
          </w:p>
        </w:tc>
      </w:tr>
      <w:tr w14:paraId="7AD4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0" w:type="dxa"/>
              <w:left w:w="5" w:type="dxa"/>
              <w:bottom w:w="0" w:type="dxa"/>
              <w:right w:w="5" w:type="dxa"/>
            </w:tcMar>
            <w:vAlign w:val="center"/>
          </w:tcPr>
          <w:p w14:paraId="773C61B7">
            <w:pPr>
              <w:spacing w:before="0" w:after="0" w:line="240" w:lineRule="auto"/>
              <w:jc w:val="center"/>
            </w:pPr>
            <w:r>
              <w:rPr>
                <w:rFonts w:ascii="宋体" w:hAnsi="宋体" w:eastAsia="宋体"/>
                <w:b w:val="0"/>
                <w:i w:val="0"/>
                <w:color w:val="000000"/>
                <w:sz w:val="18"/>
              </w:rPr>
              <w:t>寒武纪</w:t>
            </w:r>
          </w:p>
        </w:tc>
        <w:tc>
          <w:tcPr>
            <w:tcW w:w="1134" w:type="dxa"/>
            <w:tcMar>
              <w:top w:w="0" w:type="dxa"/>
              <w:left w:w="5" w:type="dxa"/>
              <w:bottom w:w="0" w:type="dxa"/>
              <w:right w:w="5" w:type="dxa"/>
            </w:tcMar>
            <w:vAlign w:val="center"/>
          </w:tcPr>
          <w:p w14:paraId="3DD1D54F">
            <w:pPr>
              <w:spacing w:before="0" w:after="0" w:line="240" w:lineRule="auto"/>
              <w:jc w:val="center"/>
            </w:pPr>
            <w:r>
              <w:rPr>
                <w:rFonts w:ascii="宋体" w:hAnsi="宋体" w:eastAsia="宋体"/>
                <w:b w:val="0"/>
                <w:i w:val="0"/>
                <w:color w:val="000000"/>
                <w:sz w:val="18"/>
              </w:rPr>
              <w:t>688256.SH</w:t>
            </w:r>
          </w:p>
        </w:tc>
        <w:tc>
          <w:tcPr>
            <w:tcW w:w="1134" w:type="dxa"/>
            <w:tcMar>
              <w:top w:w="0" w:type="dxa"/>
              <w:left w:w="5" w:type="dxa"/>
              <w:bottom w:w="0" w:type="dxa"/>
              <w:right w:w="5" w:type="dxa"/>
            </w:tcMar>
            <w:vAlign w:val="center"/>
          </w:tcPr>
          <w:p w14:paraId="0BE708F3">
            <w:pPr>
              <w:spacing w:before="0" w:after="0" w:line="240" w:lineRule="auto"/>
              <w:jc w:val="center"/>
            </w:pPr>
            <w:r>
              <w:rPr>
                <w:rFonts w:ascii="宋体" w:hAnsi="宋体" w:eastAsia="宋体"/>
                <w:b w:val="0"/>
                <w:i w:val="0"/>
                <w:color w:val="000000"/>
                <w:sz w:val="18"/>
              </w:rPr>
              <w:t>-12.75%</w:t>
            </w:r>
          </w:p>
        </w:tc>
        <w:tc>
          <w:tcPr>
            <w:tcW w:w="1134" w:type="dxa"/>
            <w:tcMar>
              <w:top w:w="0" w:type="dxa"/>
              <w:left w:w="5" w:type="dxa"/>
              <w:bottom w:w="0" w:type="dxa"/>
              <w:right w:w="5" w:type="dxa"/>
            </w:tcMar>
            <w:vAlign w:val="center"/>
          </w:tcPr>
          <w:p w14:paraId="26FB2794">
            <w:pPr>
              <w:spacing w:before="0" w:after="0" w:line="240" w:lineRule="auto"/>
              <w:jc w:val="center"/>
            </w:pPr>
            <w:r>
              <w:rPr>
                <w:rFonts w:ascii="宋体" w:hAnsi="宋体" w:eastAsia="宋体"/>
                <w:b w:val="0"/>
                <w:i w:val="0"/>
                <w:color w:val="000000"/>
                <w:sz w:val="18"/>
              </w:rPr>
              <w:t>-23.21%</w:t>
            </w:r>
          </w:p>
        </w:tc>
        <w:tc>
          <w:tcPr>
            <w:tcW w:w="1134" w:type="dxa"/>
            <w:tcMar>
              <w:top w:w="0" w:type="dxa"/>
              <w:left w:w="5" w:type="dxa"/>
              <w:bottom w:w="0" w:type="dxa"/>
              <w:right w:w="5" w:type="dxa"/>
            </w:tcMar>
            <w:vAlign w:val="center"/>
          </w:tcPr>
          <w:p w14:paraId="29E70381">
            <w:pPr>
              <w:spacing w:before="0" w:after="0" w:line="240" w:lineRule="auto"/>
              <w:jc w:val="center"/>
            </w:pPr>
            <w:r>
              <w:rPr>
                <w:rFonts w:ascii="宋体" w:hAnsi="宋体" w:eastAsia="宋体"/>
                <w:b w:val="0"/>
                <w:i w:val="0"/>
                <w:color w:val="000000"/>
                <w:sz w:val="18"/>
              </w:rPr>
              <w:t>-0.7395</w:t>
            </w:r>
          </w:p>
        </w:tc>
        <w:tc>
          <w:tcPr>
            <w:tcW w:w="1134" w:type="dxa"/>
            <w:tcMar>
              <w:top w:w="0" w:type="dxa"/>
              <w:left w:w="5" w:type="dxa"/>
              <w:bottom w:w="0" w:type="dxa"/>
              <w:right w:w="5" w:type="dxa"/>
            </w:tcMar>
            <w:vAlign w:val="center"/>
          </w:tcPr>
          <w:p w14:paraId="5564DA8B">
            <w:pPr>
              <w:spacing w:before="0" w:after="0" w:line="240" w:lineRule="auto"/>
              <w:jc w:val="center"/>
            </w:pPr>
            <w:r>
              <w:rPr>
                <w:rFonts w:ascii="宋体" w:hAnsi="宋体" w:eastAsia="宋体"/>
                <w:b w:val="0"/>
                <w:i w:val="0"/>
                <w:color w:val="000000"/>
                <w:sz w:val="18"/>
              </w:rPr>
              <w:t>-12.36%</w:t>
            </w:r>
          </w:p>
        </w:tc>
        <w:tc>
          <w:tcPr>
            <w:tcW w:w="1134" w:type="dxa"/>
            <w:tcMar>
              <w:top w:w="0" w:type="dxa"/>
              <w:left w:w="5" w:type="dxa"/>
              <w:bottom w:w="0" w:type="dxa"/>
              <w:right w:w="5" w:type="dxa"/>
            </w:tcMar>
            <w:vAlign w:val="center"/>
          </w:tcPr>
          <w:p w14:paraId="77CEC5F5">
            <w:pPr>
              <w:spacing w:before="0" w:after="0" w:line="240" w:lineRule="auto"/>
              <w:jc w:val="center"/>
            </w:pPr>
            <w:r>
              <w:rPr>
                <w:rFonts w:ascii="宋体" w:hAnsi="宋体" w:eastAsia="宋体"/>
                <w:b w:val="0"/>
                <w:i w:val="0"/>
                <w:color w:val="000000"/>
                <w:sz w:val="18"/>
              </w:rPr>
              <w:t>19.42%</w:t>
            </w:r>
          </w:p>
        </w:tc>
        <w:tc>
          <w:tcPr>
            <w:tcW w:w="1134" w:type="dxa"/>
            <w:tcMar>
              <w:top w:w="0" w:type="dxa"/>
              <w:left w:w="5" w:type="dxa"/>
              <w:bottom w:w="0" w:type="dxa"/>
              <w:right w:w="5" w:type="dxa"/>
            </w:tcMar>
            <w:vAlign w:val="center"/>
          </w:tcPr>
          <w:p w14:paraId="67EFFC4A">
            <w:pPr>
              <w:spacing w:before="0" w:after="0" w:line="240" w:lineRule="auto"/>
              <w:jc w:val="center"/>
            </w:pPr>
            <w:r>
              <w:rPr>
                <w:rFonts w:ascii="宋体" w:hAnsi="宋体" w:eastAsia="宋体"/>
                <w:b w:val="0"/>
                <w:i w:val="0"/>
                <w:color w:val="000000"/>
                <w:sz w:val="18"/>
              </w:rPr>
              <w:t>10</w:t>
            </w:r>
          </w:p>
        </w:tc>
      </w:tr>
      <w:tr w14:paraId="63D7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0" w:type="dxa"/>
              <w:left w:w="5" w:type="dxa"/>
              <w:bottom w:w="0" w:type="dxa"/>
              <w:right w:w="5" w:type="dxa"/>
            </w:tcMar>
            <w:vAlign w:val="center"/>
          </w:tcPr>
          <w:p w14:paraId="20970A60">
            <w:pPr>
              <w:spacing w:before="0" w:after="0" w:line="240" w:lineRule="auto"/>
              <w:jc w:val="center"/>
            </w:pPr>
            <w:r>
              <w:rPr>
                <w:rFonts w:ascii="宋体" w:hAnsi="宋体" w:eastAsia="宋体"/>
                <w:b w:val="0"/>
                <w:i w:val="0"/>
                <w:color w:val="000000"/>
                <w:sz w:val="18"/>
              </w:rPr>
              <w:t>宁德时代</w:t>
            </w:r>
          </w:p>
        </w:tc>
        <w:tc>
          <w:tcPr>
            <w:tcW w:w="1134" w:type="dxa"/>
            <w:tcMar>
              <w:top w:w="0" w:type="dxa"/>
              <w:left w:w="5" w:type="dxa"/>
              <w:bottom w:w="0" w:type="dxa"/>
              <w:right w:w="5" w:type="dxa"/>
            </w:tcMar>
            <w:vAlign w:val="center"/>
          </w:tcPr>
          <w:p w14:paraId="21FFA0E3">
            <w:pPr>
              <w:spacing w:before="0" w:after="0" w:line="240" w:lineRule="auto"/>
              <w:jc w:val="center"/>
            </w:pPr>
            <w:r>
              <w:rPr>
                <w:rFonts w:ascii="宋体" w:hAnsi="宋体" w:eastAsia="宋体"/>
                <w:b w:val="0"/>
                <w:i w:val="0"/>
                <w:color w:val="000000"/>
                <w:sz w:val="18"/>
              </w:rPr>
              <w:t>300750.SZ</w:t>
            </w:r>
          </w:p>
        </w:tc>
        <w:tc>
          <w:tcPr>
            <w:tcW w:w="1134" w:type="dxa"/>
            <w:tcMar>
              <w:top w:w="0" w:type="dxa"/>
              <w:left w:w="5" w:type="dxa"/>
              <w:bottom w:w="0" w:type="dxa"/>
              <w:right w:w="5" w:type="dxa"/>
            </w:tcMar>
            <w:vAlign w:val="center"/>
          </w:tcPr>
          <w:p w14:paraId="12D71030">
            <w:pPr>
              <w:spacing w:before="0" w:after="0" w:line="240" w:lineRule="auto"/>
              <w:jc w:val="center"/>
            </w:pPr>
            <w:r>
              <w:rPr>
                <w:rFonts w:ascii="宋体" w:hAnsi="宋体" w:eastAsia="宋体"/>
                <w:b w:val="0"/>
                <w:i w:val="0"/>
                <w:color w:val="000000"/>
                <w:sz w:val="18"/>
              </w:rPr>
              <w:t>**+25.08%**</w:t>
            </w:r>
          </w:p>
        </w:tc>
        <w:tc>
          <w:tcPr>
            <w:tcW w:w="1134" w:type="dxa"/>
            <w:tcMar>
              <w:top w:w="0" w:type="dxa"/>
              <w:left w:w="5" w:type="dxa"/>
              <w:bottom w:w="0" w:type="dxa"/>
              <w:right w:w="5" w:type="dxa"/>
            </w:tcMar>
            <w:vAlign w:val="center"/>
          </w:tcPr>
          <w:p w14:paraId="5C4B7F40">
            <w:pPr>
              <w:spacing w:before="0" w:after="0" w:line="240" w:lineRule="auto"/>
              <w:jc w:val="center"/>
            </w:pPr>
            <w:r>
              <w:rPr>
                <w:rFonts w:ascii="宋体" w:hAnsi="宋体" w:eastAsia="宋体"/>
                <w:b w:val="0"/>
                <w:i w:val="0"/>
                <w:color w:val="000000"/>
                <w:sz w:val="18"/>
              </w:rPr>
              <w:t>**-9.67%**</w:t>
            </w:r>
          </w:p>
        </w:tc>
        <w:tc>
          <w:tcPr>
            <w:tcW w:w="1134" w:type="dxa"/>
            <w:tcMar>
              <w:top w:w="0" w:type="dxa"/>
              <w:left w:w="5" w:type="dxa"/>
              <w:bottom w:w="0" w:type="dxa"/>
              <w:right w:w="5" w:type="dxa"/>
            </w:tcMar>
            <w:vAlign w:val="center"/>
          </w:tcPr>
          <w:p w14:paraId="595FAA2F">
            <w:pPr>
              <w:spacing w:before="0" w:after="0" w:line="240" w:lineRule="auto"/>
              <w:jc w:val="center"/>
            </w:pPr>
            <w:r>
              <w:rPr>
                <w:rFonts w:ascii="宋体" w:hAnsi="宋体" w:eastAsia="宋体"/>
                <w:b w:val="0"/>
                <w:i w:val="0"/>
                <w:color w:val="000000"/>
                <w:sz w:val="18"/>
              </w:rPr>
              <w:t>**+0.7471**</w:t>
            </w:r>
          </w:p>
        </w:tc>
        <w:tc>
          <w:tcPr>
            <w:tcW w:w="1134" w:type="dxa"/>
            <w:tcMar>
              <w:top w:w="0" w:type="dxa"/>
              <w:left w:w="5" w:type="dxa"/>
              <w:bottom w:w="0" w:type="dxa"/>
              <w:right w:w="5" w:type="dxa"/>
            </w:tcMar>
            <w:vAlign w:val="center"/>
          </w:tcPr>
          <w:p w14:paraId="2BBDC666">
            <w:pPr>
              <w:spacing w:before="0" w:after="0" w:line="240" w:lineRule="auto"/>
              <w:jc w:val="center"/>
            </w:pPr>
            <w:r>
              <w:rPr>
                <w:rFonts w:ascii="宋体" w:hAnsi="宋体" w:eastAsia="宋体"/>
                <w:b w:val="0"/>
                <w:i w:val="0"/>
                <w:color w:val="000000"/>
                <w:sz w:val="18"/>
              </w:rPr>
              <w:t>**+27.65%**</w:t>
            </w:r>
          </w:p>
        </w:tc>
        <w:tc>
          <w:tcPr>
            <w:tcW w:w="1134" w:type="dxa"/>
            <w:tcMar>
              <w:top w:w="0" w:type="dxa"/>
              <w:left w:w="5" w:type="dxa"/>
              <w:bottom w:w="0" w:type="dxa"/>
              <w:right w:w="5" w:type="dxa"/>
            </w:tcMar>
            <w:vAlign w:val="center"/>
          </w:tcPr>
          <w:p w14:paraId="6F76780E">
            <w:pPr>
              <w:spacing w:before="0" w:after="0" w:line="240" w:lineRule="auto"/>
              <w:jc w:val="center"/>
            </w:pPr>
            <w:r>
              <w:rPr>
                <w:rFonts w:ascii="宋体" w:hAnsi="宋体" w:eastAsia="宋体"/>
                <w:b w:val="0"/>
                <w:i w:val="0"/>
                <w:color w:val="000000"/>
                <w:sz w:val="18"/>
              </w:rPr>
              <w:t>34.33%</w:t>
            </w:r>
          </w:p>
        </w:tc>
        <w:tc>
          <w:tcPr>
            <w:tcW w:w="1134" w:type="dxa"/>
            <w:tcMar>
              <w:top w:w="0" w:type="dxa"/>
              <w:left w:w="5" w:type="dxa"/>
              <w:bottom w:w="0" w:type="dxa"/>
              <w:right w:w="5" w:type="dxa"/>
            </w:tcMar>
            <w:vAlign w:val="center"/>
          </w:tcPr>
          <w:p w14:paraId="7F4BB2CE">
            <w:pPr>
              <w:spacing w:before="0" w:after="0" w:line="240" w:lineRule="auto"/>
              <w:jc w:val="center"/>
            </w:pPr>
            <w:r>
              <w:rPr>
                <w:rFonts w:ascii="宋体" w:hAnsi="宋体" w:eastAsia="宋体"/>
                <w:b w:val="0"/>
                <w:i w:val="0"/>
                <w:color w:val="000000"/>
                <w:sz w:val="18"/>
              </w:rPr>
              <w:t>8</w:t>
            </w:r>
          </w:p>
        </w:tc>
      </w:tr>
      <w:tr w14:paraId="6ED9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0" w:type="dxa"/>
              <w:left w:w="5" w:type="dxa"/>
              <w:bottom w:w="0" w:type="dxa"/>
              <w:right w:w="5" w:type="dxa"/>
            </w:tcMar>
            <w:vAlign w:val="center"/>
          </w:tcPr>
          <w:p w14:paraId="5B324993">
            <w:pPr>
              <w:spacing w:before="0" w:after="0" w:line="240" w:lineRule="auto"/>
              <w:jc w:val="center"/>
            </w:pPr>
            <w:r>
              <w:rPr>
                <w:rFonts w:ascii="宋体" w:hAnsi="宋体" w:eastAsia="宋体"/>
                <w:b w:val="0"/>
                <w:i w:val="0"/>
                <w:color w:val="000000"/>
                <w:sz w:val="18"/>
              </w:rPr>
              <w:t>贵州茅台</w:t>
            </w:r>
          </w:p>
        </w:tc>
        <w:tc>
          <w:tcPr>
            <w:tcW w:w="1134" w:type="dxa"/>
            <w:tcMar>
              <w:top w:w="0" w:type="dxa"/>
              <w:left w:w="5" w:type="dxa"/>
              <w:bottom w:w="0" w:type="dxa"/>
              <w:right w:w="5" w:type="dxa"/>
            </w:tcMar>
            <w:vAlign w:val="center"/>
          </w:tcPr>
          <w:p w14:paraId="18CA4040">
            <w:pPr>
              <w:spacing w:before="0" w:after="0" w:line="240" w:lineRule="auto"/>
              <w:jc w:val="center"/>
            </w:pPr>
            <w:r>
              <w:rPr>
                <w:rFonts w:ascii="宋体" w:hAnsi="宋体" w:eastAsia="宋体"/>
                <w:b w:val="0"/>
                <w:i w:val="0"/>
                <w:color w:val="000000"/>
                <w:sz w:val="18"/>
              </w:rPr>
              <w:t>600519.SH</w:t>
            </w:r>
          </w:p>
        </w:tc>
        <w:tc>
          <w:tcPr>
            <w:tcW w:w="1134" w:type="dxa"/>
            <w:tcMar>
              <w:top w:w="0" w:type="dxa"/>
              <w:left w:w="5" w:type="dxa"/>
              <w:bottom w:w="0" w:type="dxa"/>
              <w:right w:w="5" w:type="dxa"/>
            </w:tcMar>
            <w:vAlign w:val="center"/>
          </w:tcPr>
          <w:p w14:paraId="50064463">
            <w:pPr>
              <w:spacing w:before="0" w:after="0" w:line="240" w:lineRule="auto"/>
              <w:jc w:val="center"/>
            </w:pPr>
            <w:r>
              <w:rPr>
                <w:rFonts w:ascii="宋体" w:hAnsi="宋体" w:eastAsia="宋体"/>
                <w:b w:val="0"/>
                <w:i w:val="0"/>
                <w:color w:val="000000"/>
                <w:sz w:val="18"/>
              </w:rPr>
              <w:t>-17.14%</w:t>
            </w:r>
          </w:p>
        </w:tc>
        <w:tc>
          <w:tcPr>
            <w:tcW w:w="1134" w:type="dxa"/>
            <w:tcMar>
              <w:top w:w="0" w:type="dxa"/>
              <w:left w:w="5" w:type="dxa"/>
              <w:bottom w:w="0" w:type="dxa"/>
              <w:right w:w="5" w:type="dxa"/>
            </w:tcMar>
            <w:vAlign w:val="center"/>
          </w:tcPr>
          <w:p w14:paraId="4B7F6885">
            <w:pPr>
              <w:spacing w:before="0" w:after="0" w:line="240" w:lineRule="auto"/>
              <w:jc w:val="center"/>
            </w:pPr>
            <w:r>
              <w:rPr>
                <w:rFonts w:ascii="宋体" w:hAnsi="宋体" w:eastAsia="宋体"/>
                <w:b w:val="0"/>
                <w:i w:val="0"/>
                <w:color w:val="000000"/>
                <w:sz w:val="18"/>
              </w:rPr>
              <w:t>-17.14%</w:t>
            </w:r>
          </w:p>
        </w:tc>
        <w:tc>
          <w:tcPr>
            <w:tcW w:w="1134" w:type="dxa"/>
            <w:tcMar>
              <w:top w:w="0" w:type="dxa"/>
              <w:left w:w="5" w:type="dxa"/>
              <w:bottom w:w="0" w:type="dxa"/>
              <w:right w:w="5" w:type="dxa"/>
            </w:tcMar>
            <w:vAlign w:val="center"/>
          </w:tcPr>
          <w:p w14:paraId="4833F76C">
            <w:pPr>
              <w:spacing w:before="0" w:after="0" w:line="240" w:lineRule="auto"/>
              <w:jc w:val="center"/>
            </w:pPr>
            <w:r>
              <w:rPr>
                <w:rFonts w:ascii="宋体" w:hAnsi="宋体" w:eastAsia="宋体"/>
                <w:b w:val="0"/>
                <w:i w:val="0"/>
                <w:color w:val="000000"/>
                <w:sz w:val="18"/>
              </w:rPr>
              <w:t>-1.8515</w:t>
            </w:r>
          </w:p>
        </w:tc>
        <w:tc>
          <w:tcPr>
            <w:tcW w:w="1134" w:type="dxa"/>
            <w:tcMar>
              <w:top w:w="0" w:type="dxa"/>
              <w:left w:w="5" w:type="dxa"/>
              <w:bottom w:w="0" w:type="dxa"/>
              <w:right w:w="5" w:type="dxa"/>
            </w:tcMar>
            <w:vAlign w:val="center"/>
          </w:tcPr>
          <w:p w14:paraId="59F61272">
            <w:pPr>
              <w:spacing w:before="0" w:after="0" w:line="240" w:lineRule="auto"/>
              <w:jc w:val="center"/>
            </w:pPr>
            <w:r>
              <w:rPr>
                <w:rFonts w:ascii="宋体" w:hAnsi="宋体" w:eastAsia="宋体"/>
                <w:b w:val="0"/>
                <w:i w:val="0"/>
                <w:color w:val="000000"/>
                <w:sz w:val="18"/>
              </w:rPr>
              <w:t>-18.46%</w:t>
            </w:r>
          </w:p>
        </w:tc>
        <w:tc>
          <w:tcPr>
            <w:tcW w:w="1134" w:type="dxa"/>
            <w:tcMar>
              <w:top w:w="0" w:type="dxa"/>
              <w:left w:w="5" w:type="dxa"/>
              <w:bottom w:w="0" w:type="dxa"/>
              <w:right w:w="5" w:type="dxa"/>
            </w:tcMar>
            <w:vAlign w:val="center"/>
          </w:tcPr>
          <w:p w14:paraId="59EA80C3">
            <w:pPr>
              <w:spacing w:before="0" w:after="0" w:line="240" w:lineRule="auto"/>
              <w:jc w:val="center"/>
            </w:pPr>
            <w:r>
              <w:rPr>
                <w:rFonts w:ascii="宋体" w:hAnsi="宋体" w:eastAsia="宋体"/>
                <w:b w:val="0"/>
                <w:i w:val="0"/>
                <w:color w:val="000000"/>
                <w:sz w:val="18"/>
              </w:rPr>
              <w:t>11.05%</w:t>
            </w:r>
          </w:p>
        </w:tc>
        <w:tc>
          <w:tcPr>
            <w:tcW w:w="1134" w:type="dxa"/>
            <w:tcMar>
              <w:top w:w="0" w:type="dxa"/>
              <w:left w:w="5" w:type="dxa"/>
              <w:bottom w:w="0" w:type="dxa"/>
              <w:right w:w="5" w:type="dxa"/>
            </w:tcMar>
            <w:vAlign w:val="center"/>
          </w:tcPr>
          <w:p w14:paraId="002F39EE">
            <w:pPr>
              <w:spacing w:before="0" w:after="0" w:line="240" w:lineRule="auto"/>
              <w:jc w:val="center"/>
            </w:pPr>
            <w:r>
              <w:rPr>
                <w:rFonts w:ascii="宋体" w:hAnsi="宋体" w:eastAsia="宋体"/>
                <w:b w:val="0"/>
                <w:i w:val="0"/>
                <w:color w:val="000000"/>
                <w:sz w:val="18"/>
              </w:rPr>
              <w:t>8</w:t>
            </w:r>
          </w:p>
        </w:tc>
      </w:tr>
    </w:tbl>
    <w:p w14:paraId="1B39F98F"/>
    <w:p w14:paraId="51E50F95">
      <w:pPr>
        <w:spacing w:before="0" w:after="0" w:line="360" w:lineRule="auto"/>
        <w:ind w:firstLine="420"/>
        <w:jc w:val="both"/>
      </w:pPr>
      <w:r>
        <w:rPr>
          <w:rFonts w:ascii="宋体" w:hAnsi="宋体" w:eastAsia="宋体"/>
          <w:b w:val="0"/>
          <w:i w:val="0"/>
          <w:color w:val="000000"/>
          <w:sz w:val="21"/>
        </w:rPr>
        <w:t>三只股票的策略净值曲线对比如图 4 所示。</w:t>
      </w:r>
    </w:p>
    <w:p w14:paraId="535B474A">
      <w:pPr>
        <w:jc w:val="center"/>
      </w:pPr>
      <w:r>
        <w:drawing>
          <wp:inline distT="0" distB="0" distL="114300" distR="114300">
            <wp:extent cx="5486400" cy="272542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725947"/>
                    </a:xfrm>
                    <a:prstGeom prst="rect">
                      <a:avLst/>
                    </a:prstGeom>
                  </pic:spPr>
                </pic:pic>
              </a:graphicData>
            </a:graphic>
          </wp:inline>
        </w:drawing>
      </w:r>
    </w:p>
    <w:p w14:paraId="3C2448E6">
      <w:pPr>
        <w:spacing w:before="0" w:after="0" w:line="360" w:lineRule="auto"/>
        <w:ind w:firstLine="420"/>
        <w:jc w:val="center"/>
      </w:pPr>
      <w:r>
        <w:rPr>
          <w:rFonts w:hint="eastAsia" w:ascii="宋体" w:eastAsia="宋体"/>
          <w:b w:val="0"/>
          <w:bCs/>
          <w:i w:val="0"/>
          <w:color w:val="000000"/>
          <w:sz w:val="18"/>
          <w:szCs w:val="18"/>
          <w:lang w:val="en-US" w:eastAsia="zh-CN"/>
        </w:rPr>
        <w:t>图</w:t>
      </w:r>
      <w:r>
        <w:rPr>
          <w:rFonts w:ascii="宋体" w:hAnsi="宋体" w:eastAsia="宋体"/>
          <w:b w:val="0"/>
          <w:bCs/>
          <w:i w:val="0"/>
          <w:color w:val="000000"/>
          <w:sz w:val="18"/>
          <w:szCs w:val="18"/>
        </w:rPr>
        <w:t xml:space="preserve"> </w:t>
      </w:r>
      <w:r>
        <w:rPr>
          <w:rFonts w:hint="eastAsia"/>
          <w:b w:val="0"/>
          <w:bCs/>
          <w:i w:val="0"/>
          <w:color w:val="000000"/>
          <w:sz w:val="18"/>
          <w:szCs w:val="18"/>
          <w:lang w:val="en-US" w:eastAsia="zh-CN"/>
        </w:rPr>
        <w:t>4</w:t>
      </w:r>
      <w:r>
        <w:rPr>
          <w:rFonts w:ascii="宋体" w:hAnsi="宋体" w:eastAsia="宋体"/>
          <w:b w:val="0"/>
          <w:bCs/>
          <w:i w:val="0"/>
          <w:color w:val="000000"/>
          <w:sz w:val="18"/>
          <w:szCs w:val="18"/>
        </w:rPr>
        <w:t xml:space="preserve"> </w:t>
      </w:r>
      <w:r>
        <w:rPr>
          <w:rFonts w:hint="eastAsia" w:ascii="宋体" w:hAnsi="宋体" w:eastAsia="宋体"/>
          <w:b w:val="0"/>
          <w:bCs/>
          <w:i w:val="0"/>
          <w:color w:val="000000"/>
          <w:sz w:val="18"/>
          <w:szCs w:val="18"/>
        </w:rPr>
        <w:t>策略净值曲线对比</w:t>
      </w:r>
      <w:bookmarkStart w:id="0" w:name="_GoBack"/>
      <w:bookmarkEnd w:id="0"/>
    </w:p>
    <w:p w14:paraId="65C3BD0E">
      <w:pPr>
        <w:spacing w:before="0" w:after="0" w:line="360" w:lineRule="auto"/>
        <w:ind w:firstLine="420"/>
        <w:jc w:val="both"/>
      </w:pPr>
      <w:r>
        <w:rPr>
          <w:rFonts w:ascii="宋体" w:hAnsi="宋体" w:eastAsia="宋体"/>
          <w:b w:val="0"/>
          <w:i w:val="0"/>
          <w:color w:val="000000"/>
          <w:sz w:val="21"/>
        </w:rPr>
        <w:t>从上述对比中可以得出以下结论：</w:t>
      </w:r>
    </w:p>
    <w:p w14:paraId="1A89A43E">
      <w:pPr>
        <w:spacing w:before="0" w:after="0" w:line="360" w:lineRule="auto"/>
        <w:ind w:firstLine="420"/>
        <w:jc w:val="both"/>
      </w:pPr>
      <w:r>
        <w:rPr>
          <w:rFonts w:ascii="宋体" w:hAnsi="宋体" w:eastAsia="宋体"/>
          <w:b w:val="0"/>
          <w:i w:val="0"/>
          <w:color w:val="000000"/>
          <w:sz w:val="21"/>
        </w:rPr>
        <w:t>第一，</w:t>
      </w:r>
      <w:r>
        <w:rPr>
          <w:rFonts w:ascii="宋体" w:hAnsi="宋体" w:eastAsia="宋体"/>
          <w:b w:val="0"/>
          <w:bCs/>
          <w:i w:val="0"/>
          <w:color w:val="000000"/>
          <w:sz w:val="21"/>
        </w:rPr>
        <w:t>双均线策略在相同参数下对不同股票的表现差异悬殊</w:t>
      </w:r>
      <w:r>
        <w:rPr>
          <w:rFonts w:ascii="宋体" w:hAnsi="宋体" w:eastAsia="宋体"/>
          <w:b w:val="0"/>
          <w:i w:val="0"/>
          <w:color w:val="000000"/>
          <w:sz w:val="21"/>
        </w:rPr>
        <w:t>。宁德时代在 MA10/MA30 参数下实现了正收益（累计回报 +25.08%，夏普比率 0.7471），而同样参数下寒武纪和贵州茅台均为负收益。这说明策略的有效性高度依赖于标的股票的价格走势特征，而非通用的参数设定所能保证。</w:t>
      </w:r>
    </w:p>
    <w:p w14:paraId="514DD8F5">
      <w:pPr>
        <w:spacing w:before="0" w:after="0" w:line="360" w:lineRule="auto"/>
        <w:ind w:firstLine="420"/>
        <w:jc w:val="both"/>
      </w:pPr>
      <w:r>
        <w:rPr>
          <w:rFonts w:ascii="宋体" w:hAnsi="宋体" w:eastAsia="宋体"/>
          <w:b w:val="0"/>
          <w:bCs w:val="0"/>
          <w:i w:val="0"/>
          <w:color w:val="000000"/>
          <w:sz w:val="21"/>
        </w:rPr>
        <w:t>第二，波动率本身并非决定因素。宁德时代的年化波动率最高（34.33%），但策略收益也最高；贵州茅台的波动率最低（11.05%），但策略亏损反而最大。这一现象表明，双均线策略更依赖于价格走势的趋势性而非波动幅度——宁德时代在回测期内形成了较为清晰的中期上涨趋势，均线交叉信号能够有效跟随；而贵州茅台虽然波动温和，但全</w:t>
      </w:r>
      <w:r>
        <w:rPr>
          <w:rFonts w:ascii="宋体" w:hAnsi="宋体" w:eastAsia="宋体"/>
          <w:b w:val="0"/>
          <w:i w:val="0"/>
          <w:color w:val="000000"/>
          <w:sz w:val="21"/>
        </w:rPr>
        <w:t>年呈现震荡下行态势，均线交叉难以获利。</w:t>
      </w:r>
    </w:p>
    <w:p w14:paraId="5EFE3AFD">
      <w:pPr>
        <w:spacing w:before="0" w:after="0" w:line="360" w:lineRule="auto"/>
        <w:ind w:firstLine="420"/>
        <w:jc w:val="both"/>
      </w:pPr>
      <w:r>
        <w:rPr>
          <w:rFonts w:ascii="宋体" w:hAnsi="宋体" w:eastAsia="宋体"/>
          <w:b w:val="0"/>
          <w:bCs w:val="0"/>
          <w:i w:val="0"/>
          <w:color w:val="000000"/>
          <w:sz w:val="21"/>
        </w:rPr>
        <w:t>第三，宁德时代的优异表现验证了双均线策略在趋势行情中的有效性。其 8 次交易信号（4 次金叉、4 次死叉）捕获了主要上涨波段，最大回撤仅 -9.67%，风险控制良好。相比之下，寒武纪虽然波动特征与宁德时代类似，但其全年价格走势缺乏持续的单边方向，导</w:t>
      </w:r>
      <w:r>
        <w:rPr>
          <w:rFonts w:ascii="宋体" w:hAnsi="宋体" w:eastAsia="宋体"/>
          <w:b w:val="0"/>
          <w:i w:val="0"/>
          <w:color w:val="000000"/>
          <w:sz w:val="21"/>
        </w:rPr>
        <w:t>致策略反复受损。</w:t>
      </w:r>
    </w:p>
    <w:p w14:paraId="4146D870">
      <w:pPr>
        <w:spacing w:before="120" w:after="120" w:line="360" w:lineRule="auto"/>
        <w:jc w:val="left"/>
      </w:pPr>
      <w:r>
        <w:rPr>
          <w:rFonts w:ascii="宋体" w:hAnsi="宋体" w:eastAsia="宋体"/>
          <w:b/>
          <w:i w:val="0"/>
          <w:color w:val="000000"/>
          <w:sz w:val="24"/>
        </w:rPr>
        <w:t>4.3 双均线策略试用场景总结与应用心得</w:t>
      </w:r>
    </w:p>
    <w:p w14:paraId="44E245FC">
      <w:pPr>
        <w:spacing w:before="0" w:after="0" w:line="360" w:lineRule="auto"/>
        <w:ind w:firstLine="420"/>
        <w:jc w:val="both"/>
        <w:rPr>
          <w:b w:val="0"/>
          <w:bCs w:val="0"/>
        </w:rPr>
      </w:pPr>
      <w:r>
        <w:rPr>
          <w:rFonts w:ascii="宋体" w:hAnsi="宋体" w:eastAsia="宋体"/>
          <w:b w:val="0"/>
          <w:bCs w:val="0"/>
          <w:i w:val="0"/>
          <w:color w:val="000000"/>
          <w:sz w:val="21"/>
        </w:rPr>
        <w:t>综合以上全部实证分析，对双均线策略的试用场景总结如下：</w:t>
      </w:r>
    </w:p>
    <w:p w14:paraId="27625EB8">
      <w:pPr>
        <w:spacing w:before="0" w:after="0" w:line="360" w:lineRule="auto"/>
        <w:ind w:firstLine="420"/>
        <w:jc w:val="both"/>
        <w:rPr>
          <w:b w:val="0"/>
          <w:bCs w:val="0"/>
        </w:rPr>
      </w:pPr>
      <w:r>
        <w:rPr>
          <w:rFonts w:ascii="宋体" w:hAnsi="宋体" w:eastAsia="宋体"/>
          <w:b w:val="0"/>
          <w:bCs w:val="0"/>
          <w:i w:val="0"/>
          <w:color w:val="000000"/>
          <w:sz w:val="21"/>
        </w:rPr>
        <w:t>适用场景：双均线策略最适合有明确单边趋势的市场环境——在趋势行情中，金叉和死叉能够有效捕获主要涨跌波段。对趋势性较强的标的（如处于上升通道的成长股），策略表现往往优于横盘震荡的标的。</w:t>
      </w:r>
    </w:p>
    <w:p w14:paraId="2814B4D3">
      <w:pPr>
        <w:spacing w:before="0" w:after="0" w:line="360" w:lineRule="auto"/>
        <w:ind w:firstLine="420"/>
        <w:jc w:val="both"/>
        <w:rPr>
          <w:b w:val="0"/>
          <w:bCs w:val="0"/>
        </w:rPr>
      </w:pPr>
      <w:r>
        <w:rPr>
          <w:rFonts w:ascii="宋体" w:hAnsi="宋体" w:eastAsia="宋体"/>
          <w:b w:val="0"/>
          <w:bCs w:val="0"/>
          <w:i w:val="0"/>
          <w:color w:val="000000"/>
          <w:sz w:val="21"/>
        </w:rPr>
        <w:t>不适用场景：在横盘震荡或"猴市"中，均线频繁交叉产生大量虚假信号，策略表现显著恶化。对波动率极高的科技股，若缺乏持续的趋势方向，双均线策略容易被剧烈波动反复打损。</w:t>
      </w:r>
    </w:p>
    <w:p w14:paraId="0D4725B7">
      <w:pPr>
        <w:spacing w:before="0" w:after="0" w:line="360" w:lineRule="auto"/>
        <w:ind w:firstLine="420"/>
        <w:jc w:val="both"/>
        <w:rPr>
          <w:b w:val="0"/>
          <w:bCs w:val="0"/>
        </w:rPr>
      </w:pPr>
      <w:r>
        <w:rPr>
          <w:rFonts w:ascii="宋体" w:hAnsi="宋体" w:eastAsia="宋体"/>
          <w:b w:val="0"/>
          <w:bCs w:val="0"/>
          <w:i w:val="0"/>
          <w:color w:val="000000"/>
          <w:sz w:val="21"/>
        </w:rPr>
        <w:t>应用心得：</w:t>
      </w:r>
    </w:p>
    <w:p w14:paraId="146EE797">
      <w:pPr>
        <w:spacing w:before="0" w:after="0" w:line="360" w:lineRule="auto"/>
        <w:ind w:firstLine="420"/>
        <w:jc w:val="both"/>
        <w:rPr>
          <w:b w:val="0"/>
          <w:bCs w:val="0"/>
        </w:rPr>
      </w:pPr>
      <w:r>
        <w:rPr>
          <w:rFonts w:ascii="宋体" w:hAnsi="宋体" w:eastAsia="宋体"/>
          <w:b w:val="0"/>
          <w:bCs w:val="0"/>
          <w:i w:val="0"/>
          <w:color w:val="000000"/>
          <w:sz w:val="21"/>
        </w:rPr>
        <w:t>其一，参数需与标的特性匹配。寒武纪六组参数的对比显示，同一只股票使用不同均线参数，累计回报可从 -35.88% 到 -6.94% 不等，差异之大远超预期。MA10/60 在寒武纪表现最佳，说明对高波动标的宜用较大带宽的参数组合以过滤短期噪音；而对趋势稳定的标的可适当收窄参数。没有通用最优参数，必须针对具体标的做回测优化。</w:t>
      </w:r>
    </w:p>
    <w:p w14:paraId="1EF50525">
      <w:pPr>
        <w:spacing w:before="0" w:after="0" w:line="360" w:lineRule="auto"/>
        <w:ind w:firstLine="420"/>
        <w:jc w:val="both"/>
        <w:rPr>
          <w:b w:val="0"/>
          <w:bCs w:val="0"/>
        </w:rPr>
      </w:pPr>
      <w:r>
        <w:rPr>
          <w:rFonts w:ascii="宋体" w:hAnsi="宋体" w:eastAsia="宋体"/>
          <w:b w:val="0"/>
          <w:bCs w:val="0"/>
          <w:i w:val="0"/>
          <w:color w:val="000000"/>
          <w:sz w:val="21"/>
        </w:rPr>
        <w:t>其二，信号频率是把双刃剑。信号过多（如 MA10/20 的 16 次交易）在震荡市中反复受损，信号过少（如 MA20/60 仅 4 次）则可能错过关键反转。MA10/60 的 6 次信号在寒武纪上效果最好——适中的信号频率既能捕捉主要趋势变化，又不会被短期波动过度干扰。</w:t>
      </w:r>
    </w:p>
    <w:p w14:paraId="381BF9FD">
      <w:pPr>
        <w:spacing w:before="0" w:after="0" w:line="360" w:lineRule="auto"/>
        <w:ind w:firstLine="420"/>
        <w:jc w:val="both"/>
        <w:rPr>
          <w:b w:val="0"/>
          <w:bCs w:val="0"/>
        </w:rPr>
      </w:pPr>
      <w:r>
        <w:rPr>
          <w:rFonts w:ascii="宋体" w:hAnsi="宋体" w:eastAsia="宋体"/>
          <w:b w:val="0"/>
          <w:bCs w:val="0"/>
          <w:i w:val="0"/>
          <w:color w:val="000000"/>
          <w:sz w:val="21"/>
        </w:rPr>
        <w:t>其三，绝对收益不是唯一的评价标准。在整体下行的市场环境中，双均线策略难以创造正收益，但这不意味着策略本身无效。更合理的评价方式是将其与基准（如买入持有策略）进行比较。例如，寒武纪在回测期内价格从 1000 元附近跌至约 530 元（跌幅约 47%），而双均线策略最大亏损为 -26.47%，在一定程度上起到了控制下行风险的作用。</w:t>
      </w:r>
    </w:p>
    <w:p w14:paraId="74A889AE">
      <w:pPr>
        <w:spacing w:before="0" w:after="0" w:line="360" w:lineRule="auto"/>
        <w:ind w:firstLine="420"/>
        <w:jc w:val="both"/>
        <w:rPr>
          <w:b w:val="0"/>
          <w:bCs w:val="0"/>
        </w:rPr>
      </w:pPr>
      <w:r>
        <w:rPr>
          <w:rFonts w:ascii="宋体" w:hAnsi="宋体" w:eastAsia="宋体"/>
          <w:b w:val="0"/>
          <w:bCs w:val="0"/>
          <w:i w:val="0"/>
          <w:color w:val="000000"/>
          <w:sz w:val="21"/>
        </w:rPr>
        <w:t>其四，应与其他工具结合使用。双均线策略的一阶本质决定了它无法区分趋势行情与震荡行情。结合更大周期均线的方向做趋势过滤、引入成交量确认避免假突破、配合布林带 Bandwidth 识别震荡区间并暂停交易，是三种行之有效的改进方向。策略的改进永无止境，回测中的历史表现不能保证未来的收益，风险管理始终应当置于首位。</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687EF4"/>
    <w:rsid w:val="07390DAF"/>
    <w:rsid w:val="0D5E2C77"/>
    <w:rsid w:val="10FB387F"/>
    <w:rsid w:val="3A76593B"/>
    <w:rsid w:val="4B672735"/>
    <w:rsid w:val="4CC85000"/>
    <w:rsid w:val="66192E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3507</Words>
  <Characters>4254</Characters>
  <Lines>0</Lines>
  <Paragraphs>0</Paragraphs>
  <TotalTime>0</TotalTime>
  <ScaleCrop>false</ScaleCrop>
  <LinksUpToDate>false</LinksUpToDate>
  <CharactersWithSpaces>4538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Always</cp:lastModifiedBy>
  <dcterms:modified xsi:type="dcterms:W3CDTF">2026-07-11T06:19:38Z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eyJoZGlkIjoiNmExMTQ2NGNhMGYzYmVkYTVlMzgwZDA1MTlhYjAwYzQiLCJ1c2VySWQiOiI3NjM0NTc1ODAifQ==</vt:lpwstr>
  </property>
  <property fmtid="{D5CDD505-2E9C-101B-9397-08002B2CF9AE}" pid="3" name="KSOProductBuildVer">
    <vt:lpwstr>2052-12.1.0.26895</vt:lpwstr>
  </property>
  <property fmtid="{D5CDD505-2E9C-101B-9397-08002B2CF9AE}" pid="4" name="ICV">
    <vt:lpwstr>8F457063878C42F381A733A79D60F789_12</vt:lpwstr>
  </property>
</Properties>
</file>