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CD" w:rsidRDefault="00CC1ACD" w:rsidP="00A43090"/>
    <w:p w:rsidR="00CC1ACD" w:rsidRDefault="00CC1ACD" w:rsidP="00A43090">
      <w:r>
        <w:rPr>
          <w:noProof/>
          <w:lang w:eastAsia="en-US"/>
        </w:rPr>
        <w:drawing>
          <wp:inline distT="0" distB="0" distL="0" distR="0" wp14:anchorId="34012EAF" wp14:editId="2EF8FD16">
            <wp:extent cx="5486400" cy="5306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ACD" w:rsidRDefault="00CC1ACD" w:rsidP="00A43090"/>
    <w:p w:rsidR="00CC1ACD" w:rsidRDefault="00CC1ACD" w:rsidP="00A43090">
      <w:pPr>
        <w:rPr>
          <w:rFonts w:ascii="Courier New" w:hAnsi="Courier New" w:cs="Courier New"/>
          <w:color w:val="000000"/>
          <w:sz w:val="23"/>
          <w:szCs w:val="23"/>
          <w:shd w:val="clear" w:color="auto" w:fill="E5ECEC"/>
        </w:rPr>
      </w:pPr>
      <w:r w:rsidRPr="00CC1ACD">
        <w:rPr>
          <w:rFonts w:ascii="Courier New" w:hAnsi="Courier New" w:cs="Courier New"/>
          <w:b/>
          <w:color w:val="000000"/>
          <w:sz w:val="23"/>
          <w:szCs w:val="23"/>
          <w:shd w:val="clear" w:color="auto" w:fill="E5ECEC"/>
        </w:rPr>
        <w:t>DATE_TRUNC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5ECEC"/>
        </w:rPr>
        <w:t>(‘[interval]’, time_column)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microsecond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millisecond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second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minute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hour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day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week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month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quarter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year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decade</w:t>
      </w:r>
    </w:p>
    <w:p w:rsidR="00CC1ACD" w:rsidRPr="00CC1ACD" w:rsidRDefault="00CC1ACD" w:rsidP="00CC1A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century</w:t>
      </w:r>
    </w:p>
    <w:p w:rsidR="00CC1ACD" w:rsidRPr="00CC1ACD" w:rsidRDefault="00CC1ACD" w:rsidP="00A430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</w:pPr>
      <w:r w:rsidRPr="00CC1ACD">
        <w:rPr>
          <w:rFonts w:asciiTheme="majorHAnsi" w:eastAsia="Times New Roman" w:hAnsiTheme="majorHAnsi" w:cstheme="majorHAnsi"/>
          <w:color w:val="394242"/>
          <w:sz w:val="20"/>
          <w:szCs w:val="20"/>
          <w:lang w:eastAsia="en-US"/>
        </w:rPr>
        <w:t>millenium</w:t>
      </w:r>
    </w:p>
    <w:p w:rsidR="00CC1ACD" w:rsidRDefault="00CC1ACD" w:rsidP="00A43090">
      <w:pPr>
        <w:rPr>
          <w:rFonts w:ascii="Helvetica" w:hAnsi="Helvetica" w:cs="Helvetica"/>
          <w:color w:val="394242"/>
          <w:shd w:val="clear" w:color="auto" w:fill="FFFFFF"/>
        </w:rPr>
      </w:pPr>
      <w:r>
        <w:rPr>
          <w:rStyle w:val="HTMLCode"/>
          <w:rFonts w:eastAsiaTheme="minorHAnsi"/>
          <w:color w:val="000000"/>
          <w:sz w:val="23"/>
          <w:szCs w:val="23"/>
          <w:bdr w:val="single" w:sz="6" w:space="2" w:color="C7CCCB" w:frame="1"/>
          <w:shd w:val="clear" w:color="auto" w:fill="E5ECEC"/>
        </w:rPr>
        <w:lastRenderedPageBreak/>
        <w:t>DATE_TRUNC()</w:t>
      </w:r>
      <w:r>
        <w:rPr>
          <w:rStyle w:val="apple-converted-space"/>
          <w:rFonts w:ascii="Helvetica" w:hAnsi="Helvetica" w:cs="Helvetica"/>
          <w:color w:val="394242"/>
          <w:shd w:val="clear" w:color="auto" w:fill="FFFFFF"/>
        </w:rPr>
        <w:t> </w:t>
      </w:r>
      <w:r>
        <w:rPr>
          <w:rFonts w:ascii="Helvetica" w:hAnsi="Helvetica" w:cs="Helvetica"/>
          <w:color w:val="394242"/>
          <w:shd w:val="clear" w:color="auto" w:fill="FFFFFF"/>
        </w:rPr>
        <w:t>is particularly useful when you want to aggregate information over an interval of time.</w:t>
      </w:r>
    </w:p>
    <w:p w:rsidR="00CC1ACD" w:rsidRDefault="00CC1ACD" w:rsidP="00A43090">
      <w:pPr>
        <w:rPr>
          <w:rFonts w:ascii="Helvetica" w:hAnsi="Helvetica" w:cs="Helvetica"/>
          <w:color w:val="394242"/>
          <w:shd w:val="clear" w:color="auto" w:fill="FFFFFF"/>
        </w:rPr>
      </w:pPr>
    </w:p>
    <w:p w:rsidR="00CC1ACD" w:rsidRDefault="00CC1ACD" w:rsidP="00A43090">
      <w:pPr>
        <w:rPr>
          <w:rFonts w:ascii="Helvetica" w:hAnsi="Helvetica" w:cs="Helvetica"/>
          <w:color w:val="394242"/>
          <w:shd w:val="clear" w:color="auto" w:fill="FFFFFF"/>
        </w:rPr>
      </w:pPr>
    </w:p>
    <w:p w:rsidR="00CC1ACD" w:rsidRDefault="00CC1ACD" w:rsidP="00CC1ACD">
      <w:r>
        <w:t>select date_trunc('day',occurred_at),count(user_id)</w:t>
      </w:r>
    </w:p>
    <w:p w:rsidR="00CC1ACD" w:rsidRDefault="00CC1ACD" w:rsidP="00CC1ACD">
      <w:r>
        <w:t>FROM benn.fake_fact_events</w:t>
      </w:r>
    </w:p>
    <w:p w:rsidR="00CC1ACD" w:rsidRDefault="00CC1ACD" w:rsidP="00CC1ACD">
      <w:r>
        <w:t>where event_name='complete_signup'</w:t>
      </w:r>
    </w:p>
    <w:p w:rsidR="00CC1ACD" w:rsidRDefault="00CC1ACD" w:rsidP="00CC1ACD">
      <w:r>
        <w:t>and occurred_at &gt;='2014-03-10'</w:t>
      </w:r>
    </w:p>
    <w:p w:rsidR="00CC1ACD" w:rsidRDefault="00CC1ACD" w:rsidP="00CC1ACD">
      <w:r>
        <w:t>and occurred_at &lt;='2014-05-26'</w:t>
      </w:r>
    </w:p>
    <w:p w:rsidR="00CC1ACD" w:rsidRDefault="00CC1ACD" w:rsidP="00CC1ACD">
      <w:r>
        <w:t>group by 1</w:t>
      </w:r>
    </w:p>
    <w:p w:rsidR="00CC1ACD" w:rsidRDefault="00CC1ACD" w:rsidP="00CC1ACD">
      <w:r>
        <w:t>order by 1 desc</w:t>
      </w:r>
    </w:p>
    <w:p w:rsidR="00CC1ACD" w:rsidRDefault="00CC1ACD" w:rsidP="00A43090"/>
    <w:p w:rsidR="00CC1ACD" w:rsidRDefault="00CC1ACD" w:rsidP="00A43090"/>
    <w:p w:rsidR="00CC1ACD" w:rsidRPr="00A43090" w:rsidRDefault="00CC1ACD" w:rsidP="00A43090">
      <w:r>
        <w:rPr>
          <w:noProof/>
          <w:lang w:eastAsia="en-US"/>
        </w:rPr>
        <w:drawing>
          <wp:inline distT="0" distB="0" distL="0" distR="0" wp14:anchorId="26A645B7" wp14:editId="53CD5765">
            <wp:extent cx="5653267" cy="2436009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120" cy="245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ACD" w:rsidRPr="00A43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ACD" w:rsidRDefault="00CC1ACD" w:rsidP="00850D93">
      <w:r>
        <w:separator/>
      </w:r>
    </w:p>
  </w:endnote>
  <w:endnote w:type="continuationSeparator" w:id="0">
    <w:p w:rsidR="00CC1ACD" w:rsidRDefault="00CC1ACD" w:rsidP="0085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ACD" w:rsidRDefault="00CC1ACD" w:rsidP="00850D93">
      <w:r>
        <w:separator/>
      </w:r>
    </w:p>
  </w:footnote>
  <w:footnote w:type="continuationSeparator" w:id="0">
    <w:p w:rsidR="00CC1ACD" w:rsidRDefault="00CC1ACD" w:rsidP="0085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204D"/>
    <w:multiLevelType w:val="multilevel"/>
    <w:tmpl w:val="DC2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CD"/>
    <w:rsid w:val="000A4FBC"/>
    <w:rsid w:val="000C63F5"/>
    <w:rsid w:val="00174EBA"/>
    <w:rsid w:val="0029262F"/>
    <w:rsid w:val="003E5122"/>
    <w:rsid w:val="003E7FE2"/>
    <w:rsid w:val="005A3BD1"/>
    <w:rsid w:val="007A45D0"/>
    <w:rsid w:val="00850D93"/>
    <w:rsid w:val="008F7C7C"/>
    <w:rsid w:val="009E6E8E"/>
    <w:rsid w:val="009F6913"/>
    <w:rsid w:val="00A43090"/>
    <w:rsid w:val="00B978A6"/>
    <w:rsid w:val="00CB5902"/>
    <w:rsid w:val="00CC1ACD"/>
    <w:rsid w:val="00D90F36"/>
    <w:rsid w:val="00DB0AA8"/>
    <w:rsid w:val="00DF15A2"/>
    <w:rsid w:val="00DF7704"/>
    <w:rsid w:val="00E44330"/>
    <w:rsid w:val="00FC3BF4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FA41A-39A3-4BFF-9703-6F617C25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93"/>
    <w:rPr>
      <w:rFonts w:asciiTheme="minorHAnsi" w:hAnsiTheme="minorHAnsi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rsid w:val="00850D93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1AC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C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pdated Default PPT Template">
  <a:themeElements>
    <a:clrScheme name="BLK 2016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3594"/>
      </a:accent1>
      <a:accent2>
        <a:srgbClr val="82BC00"/>
      </a:accent2>
      <a:accent3>
        <a:srgbClr val="27AFAF"/>
      </a:accent3>
      <a:accent4>
        <a:srgbClr val="F8971D"/>
      </a:accent4>
      <a:accent5>
        <a:srgbClr val="13B5EA"/>
      </a:accent5>
      <a:accent6>
        <a:srgbClr val="6C207E"/>
      </a:accent6>
      <a:hlink>
        <a:srgbClr val="003594"/>
      </a:hlink>
      <a:folHlink>
        <a:srgbClr val="82BC00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64592" indent="-164592">
          <a:buClr>
            <a:schemeClr val="tx2"/>
          </a:buClr>
          <a:buSzPct val="110000"/>
          <a:buFont typeface="Arial" panose="020B0604020202020204" pitchFamily="34" charset="0"/>
          <a:buChar char="•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G1">
      <a:srgbClr val="7F7F7F"/>
    </a:custClr>
    <a:custClr name="661-TINT1">
      <a:srgbClr val="6686BF"/>
    </a:custClr>
    <a:custClr name="376-TINT1">
      <a:srgbClr val="B4D766"/>
    </a:custClr>
    <a:custClr name="7466-TINT1">
      <a:srgbClr val="7DCFCF"/>
    </a:custClr>
    <a:custClr name="144-TINT1">
      <a:srgbClr val="FBC177"/>
    </a:custClr>
    <a:custClr name="298-TINT1">
      <a:srgbClr val="71D3F2"/>
    </a:custClr>
    <a:custClr name="2613-TINT1">
      <a:srgbClr val="A779B2"/>
    </a:custClr>
    <a:custClr name="blank">
      <a:srgbClr val="FFFFFF"/>
    </a:custClr>
    <a:custClr name="blank">
      <a:srgbClr val="FFFFFF"/>
    </a:custClr>
    <a:custClr name="blank">
      <a:srgbClr val="FFFFFF"/>
    </a:custClr>
    <a:custClr name="G2">
      <a:srgbClr val="D9D9D9"/>
    </a:custClr>
    <a:custClr name="661-TINT2">
      <a:srgbClr val="CCD7EA"/>
    </a:custClr>
    <a:custClr name="376-TINT2">
      <a:srgbClr val="E6F2CC"/>
    </a:custClr>
    <a:custClr name="7466-TINT2">
      <a:srgbClr val="D4EFEF"/>
    </a:custClr>
    <a:custClr name="144-TINT2">
      <a:srgbClr val="FEEAD2"/>
    </a:custClr>
    <a:custClr name="298-TINT2">
      <a:srgbClr val="D0F0FB"/>
    </a:custClr>
    <a:custClr name="2613-TINT2">
      <a:srgbClr val="E2D2E5"/>
    </a:custClr>
    <a:custClr name="BLK8-1797">
      <a:srgbClr val="E31B23"/>
    </a:custClr>
    <a:custClr name="IS7-233">
      <a:srgbClr val="C50084"/>
    </a:custClr>
    <a:custClr name="300">
      <a:srgbClr val="0079C1"/>
    </a:custClr>
    <a:custClr name="355">
      <a:srgbClr val="00A94F"/>
    </a:custClr>
    <a:custClr name="3135">
      <a:srgbClr val="117C8E"/>
    </a:custClr>
    <a:custClr name="654">
      <a:srgbClr val="002C5F"/>
    </a:custClr>
    <a:custClr name="115">
      <a:srgbClr val="FCD015"/>
    </a:custClr>
    <a:custClr name="342">
      <a:srgbClr val="006F51"/>
    </a:custClr>
  </a:custClrLst>
  <a:extLst>
    <a:ext uri="{05A4C25C-085E-4340-85A3-A5531E510DB2}">
      <thm15:themeFamily xmlns:thm15="http://schemas.microsoft.com/office/thememl/2012/main" name="Updated Default PPT Template" id="{F5BF1277-1173-44EC-8CFA-7F08D143120A}" vid="{A3545DDA-D709-483B-83D0-91FC41E6EF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Yuan</dc:creator>
  <cp:keywords/>
  <dc:description/>
  <cp:lastModifiedBy>Li, Yuan</cp:lastModifiedBy>
  <cp:revision>1</cp:revision>
  <dcterms:created xsi:type="dcterms:W3CDTF">2017-04-03T23:07:00Z</dcterms:created>
  <dcterms:modified xsi:type="dcterms:W3CDTF">2017-04-03T23:27:00Z</dcterms:modified>
</cp:coreProperties>
</file>