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Compliance Overview – SentinelX / SentinelStack AB</w:t>
      </w:r>
    </w:p>
    <w:p>
      <w:pPr>
        <w:pStyle w:val="Heading1"/>
      </w:pPr>
      <w:r>
        <w:t>1. Syfte</w:t>
      </w:r>
    </w:p>
    <w:p>
      <w:r>
        <w:t>Detta dokument sammanfattar SentinelStacks strategi för att uppfylla kraven i den europeiska AI-förordningen (AI Act 2026), med särskilt fokus på SentinelX-plattformens komponenter, risknivå och säkerhetsåtgärder.</w:t>
      </w:r>
    </w:p>
    <w:p>
      <w:pPr>
        <w:pStyle w:val="Heading1"/>
      </w:pPr>
      <w:r>
        <w:t>2. Systemöversikt</w:t>
      </w:r>
    </w:p>
    <w:p>
      <w:r>
        <w:t>SentinelX är en AI-baserad säkerhetsplattform bestående av:</w:t>
        <w:br/>
        <w:t>- GuardianAgent (Android, on-device NLP)</w:t>
        <w:br/>
        <w:t>- SentinelControlKit (CLI-agent för Windows/Linux)</w:t>
        <w:br/>
        <w:t>- TelegramPanel (för fjärrstyrning och notifiering)</w:t>
        <w:br/>
        <w:t>- PDF-rapportering (WeasyPrint)</w:t>
        <w:br/>
        <w:br/>
        <w:t>Systemet är modulärt, körs lokalt ('local-first') och är designat för att fungera utan moln.</w:t>
      </w:r>
    </w:p>
    <w:p>
      <w:pPr>
        <w:pStyle w:val="Heading1"/>
      </w:pPr>
      <w:r>
        <w:t>3. Riskklassificering enligt AI Act</w:t>
      </w:r>
    </w:p>
    <w:p>
      <w:r>
        <w:t>- Potentiellt high-risk enligt Annex III (2.e): Biometrisk identifikation &amp; sårbara grupper (barn, äldre)</w:t>
        <w:br/>
        <w:t>- SentinelX behandlar inte biometriska data men agerar inom barnskydd</w:t>
        <w:br/>
        <w:t>- Riskreducering sker via full lokal hantering, transparens, användarkontroll och frånvaron av molnintegration</w:t>
      </w:r>
    </w:p>
    <w:p>
      <w:pPr>
        <w:pStyle w:val="Heading1"/>
      </w:pPr>
      <w:r>
        <w:t>4. Säkerhetsåtgärder</w:t>
      </w:r>
    </w:p>
    <w:p>
      <w:r>
        <w:t>- Lokal datalagring och loggning</w:t>
        <w:br/>
        <w:t>- Full manuell kontroll av användare över aktivering/stopp</w:t>
        <w:br/>
        <w:t>- Ingen tredjepartsöverföring utan uttryckligt samtycke</w:t>
        <w:br/>
        <w:t>- Kodsignering och PDF-tidsstämpling</w:t>
        <w:br/>
        <w:t>- Automatisk fallback vid systemfel</w:t>
      </w:r>
    </w:p>
    <w:p>
      <w:pPr>
        <w:pStyle w:val="Heading1"/>
      </w:pPr>
      <w:r>
        <w:t>5. Dokumentation och transparens</w:t>
      </w:r>
    </w:p>
    <w:p>
      <w:r>
        <w:t>Systemet dokumenteras enligt Artikel 13–15:</w:t>
        <w:br/>
        <w:t>- Manualer för användare och administratörer</w:t>
        <w:br/>
        <w:t>- Offentliggörande av AI-modellernas kapacitet och begränsningar</w:t>
        <w:br/>
        <w:t>- Information om risker, säkerhetsrutiner och dataskyddsstruktur</w:t>
        <w:br/>
        <w:t>- Möjlighet till granskning av CLI-källkod (open source-delar)</w:t>
      </w:r>
    </w:p>
    <w:p>
      <w:pPr>
        <w:pStyle w:val="Heading1"/>
      </w:pPr>
      <w:r>
        <w:t>6. Kontakt</w:t>
      </w:r>
    </w:p>
    <w:p>
      <w:r>
        <w:t>Ansvarig organisation: SentinelStack AB</w:t>
        <w:br/>
        <w:t>Kontakt: info@sentinelstack.tech</w:t>
        <w:br/>
        <w:t>Compliance-ansvarig: [Fyll i vid etablering av bolag]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