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i w:val="0"/>
          <w:caps w:val="0"/>
          <w:color w:val="333333"/>
          <w:spacing w:val="8"/>
          <w:sz w:val="33"/>
          <w:szCs w:val="33"/>
          <w:bdr w:val="none" w:color="auto" w:sz="0" w:space="0"/>
          <w:shd w:val="clear" w:fill="FFFFFF"/>
        </w:rPr>
        <w:t>刘鹤、易纲、郭树清、易会满同台开板科创板，他们说了什么？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ascii="Microsoft YaHei UI" w:hAnsi="Microsoft YaHei UI" w:eastAsia="Microsoft YaHei UI" w:cs="Microsoft YaHei UI"/>
          <w:b w:val="0"/>
          <w:i w:val="0"/>
          <w:caps w:val="0"/>
          <w:color w:val="333333"/>
          <w:spacing w:val="8"/>
          <w:sz w:val="0"/>
          <w:szCs w:val="0"/>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CF40</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instrText xml:space="preserve"> HYPERLINK "https://mp.weixin.qq.com/javascript:void(0);" </w:instrTex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政事堂2019</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end"/>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Style w:val="7"/>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ascii="PingFangTC-light" w:hAnsi="PingFangTC-light" w:eastAsia="PingFangTC-light" w:cs="PingFangTC-light"/>
          <w:b w:val="0"/>
          <w:i w:val="0"/>
          <w:caps w:val="0"/>
          <w:color w:val="252526"/>
          <w:spacing w:val="15"/>
          <w:sz w:val="22"/>
          <w:szCs w:val="22"/>
          <w:bdr w:val="none" w:color="auto" w:sz="0" w:space="0"/>
          <w:shd w:val="clear" w:fill="FFFFFF"/>
        </w:rPr>
        <w:t>6月13日，中国国务院副总理刘鹤、中国人民银行行长易纲、银保监会主席郭树清、证监会主席易会满共同出席“第十一届陆家嘴论坛”。易会满在致辞时宣布，科创板今日正式开板。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在此次会上，刘鹤发表主旨演讲，他表示，</w:t>
      </w:r>
      <w:r>
        <w:rPr>
          <w:rStyle w:val="6"/>
          <w:rFonts w:hint="default" w:ascii="PingFangTC-light" w:hAnsi="PingFangTC-light" w:eastAsia="PingFangTC-light" w:cs="PingFangTC-light"/>
          <w:i w:val="0"/>
          <w:caps w:val="0"/>
          <w:color w:val="FF4C00"/>
          <w:spacing w:val="15"/>
          <w:sz w:val="22"/>
          <w:szCs w:val="22"/>
          <w:bdr w:val="none" w:color="auto" w:sz="0" w:space="0"/>
          <w:shd w:val="clear" w:fill="FFFFFF"/>
        </w:rPr>
        <w:t>不管发生什么情况，中国经济长期向好趋势不会改变。</w:t>
      </w:r>
      <w:r>
        <w:rPr>
          <w:rFonts w:hint="default" w:ascii="PingFangTC-light" w:hAnsi="PingFangTC-light" w:eastAsia="PingFangTC-light" w:cs="PingFangTC-light"/>
          <w:b w:val="0"/>
          <w:i w:val="0"/>
          <w:caps w:val="0"/>
          <w:color w:val="252526"/>
          <w:spacing w:val="15"/>
          <w:sz w:val="22"/>
          <w:szCs w:val="22"/>
          <w:bdr w:val="none" w:color="auto" w:sz="0" w:space="0"/>
          <w:shd w:val="clear" w:fill="FFFFFF"/>
        </w:rPr>
        <w:t>“我国宏观经济空间大，结构性去杠杆，政策工具储备充足，有充分信心迎接挑战，我们确实有些外部压力，但这正是中国经济转型升级的考量。”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对于下一步金融工作重点，他指出当前尤其需要抓好五个重点：1、加快推进股票发行上市、退市等基础制度改革。2、以加强公司治理和信息披露为重点，提高上市公司质量。3、以更加市场化、便利化为导向推进交易制度改革。4、加快提升中介机构能力。5、稳步扩大各类机构投资者队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他表示，科创板建设的重中之重，是着力做好两项工作：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1、落实好以信息披露为核心的注册制改革，注册制实质含义是，把选择权交给市场。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2、完善法治，提高违法成本，加大监管执法力度。要有透明严格可预期的法律和制度条件，要全面提高违法成本。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此外，易纲和易会满在会上也发表了主题演讲，郭树清致开幕辞。</w:t>
      </w:r>
      <w:r>
        <w:rPr>
          <w:rStyle w:val="6"/>
          <w:rFonts w:ascii="楷体" w:hAnsi="楷体" w:eastAsia="楷体" w:cs="楷体"/>
          <w:i w:val="0"/>
          <w:caps w:val="0"/>
          <w:color w:val="252526"/>
          <w:spacing w:val="15"/>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center"/>
        <w:rPr>
          <w:spacing w:val="8"/>
        </w:rPr>
      </w:pPr>
      <w:r>
        <w:rPr>
          <w:rStyle w:val="6"/>
          <w:rFonts w:hint="default" w:ascii="PingFangTC-light" w:hAnsi="PingFangTC-light" w:eastAsia="PingFangTC-light" w:cs="PingFangTC-light"/>
          <w:i w:val="0"/>
          <w:caps w:val="0"/>
          <w:color w:val="252526"/>
          <w:spacing w:val="15"/>
          <w:sz w:val="22"/>
          <w:szCs w:val="22"/>
          <w:bdr w:val="none" w:color="auto" w:sz="0" w:space="0"/>
          <w:shd w:val="clear" w:fill="FFFFFF"/>
        </w:rPr>
        <w:t>刘鹤：加大金融支持经济高质量发展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刘鹤在参加“第十一届陆家嘴论坛”时表示，加大金融对经济高质量发展的支持。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left"/>
        <w:rPr>
          <w:spacing w:val="8"/>
        </w:rPr>
      </w:pPr>
      <w:r>
        <w:rPr>
          <w:rStyle w:val="6"/>
          <w:rFonts w:hint="default" w:ascii="PingFangTC-light" w:hAnsi="PingFangTC-light" w:eastAsia="PingFangTC-light" w:cs="PingFangTC-light"/>
          <w:i w:val="0"/>
          <w:caps w:val="0"/>
          <w:color w:val="252526"/>
          <w:spacing w:val="15"/>
          <w:sz w:val="22"/>
          <w:szCs w:val="22"/>
          <w:bdr w:val="none" w:color="auto" w:sz="0" w:space="0"/>
          <w:shd w:val="clear" w:fill="FFFFFF"/>
        </w:rPr>
        <w:t>1、中国经济长期向好的趋势不会改变，外部压力有利发展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刘鹤表示，要加大金融对经济高质量发展的支持，这件事至关重要，中国经济已经从高速增长阶段转变为高质量发展阶段。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一是供给体系要不断优化。40年改革开放中国已经形成完整的产业体系，进入新的发展阶段，需要我们坚持深化供给侧结构性改革，加快新旧动能转化，强化公平的市场环境，增强科技创新在经济发展中的作用，增强企业家在经济发展中的引领作用，大力提高制造业、服务业，形成国际分工产业链的完整性，使现代产业大趋势进一步延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二是需求体系需要进一步升级。国内庞大的中等收入群体正在形成，我国目前中等收入有4亿，有住房汽车和稳定的工作，需求各具特色，高度重视质量。中国经济从外需导向转向国内巨大市场驱动，国内市场正在成为全球市场的一个重要组成部分，是全世界最大的成长性市场，为全世界提供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三是金融体系要高质量适配。目前金融正在进行供给侧结构性改革，要加大直接融资比例，提高金融适应性、竞争性、普惠性。加快提升金融的服务能力，聚焦中小企业和科创企业，缓解小微企业融资难融资贵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他指出，供给、需求和金融是三角框架，在全球化背景下，它们是开放的系统而不是封闭的系统。三者相互支撑的过程中，中国经济形成了良好态势，中国经济再平衡正在持续推进，取得了全面进展。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刘鹤指出，有些专家很重视当月数据变化，但我们应采取更长期的分析方法去看我国经济发展。巨大的市场潜力正在拉动中国经济增长，不管发生什么情况，中国经济长期向好趋势不会改变。我国宏观经济空间大，结构性去杠杆，政策工具储备充足，有充分信心迎接挑战，我们确实有些外部压力，但这正是中国经济转型升级的考量。中国将加快改革开放的步伐，更好实现高质量发展。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left"/>
        <w:rPr>
          <w:spacing w:val="8"/>
        </w:rPr>
      </w:pPr>
      <w:r>
        <w:rPr>
          <w:rStyle w:val="6"/>
          <w:rFonts w:hint="default" w:ascii="PingFangTC-light" w:hAnsi="PingFangTC-light" w:eastAsia="PingFangTC-light" w:cs="PingFangTC-light"/>
          <w:i w:val="0"/>
          <w:caps w:val="0"/>
          <w:color w:val="333333"/>
          <w:spacing w:val="8"/>
          <w:sz w:val="22"/>
          <w:szCs w:val="22"/>
          <w:bdr w:val="none" w:color="auto" w:sz="0" w:space="0"/>
          <w:shd w:val="clear" w:fill="FFFFFF"/>
        </w:rPr>
        <w:t>2、目前形势在全面好转，大局已经稳定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谈及金融市场的风险，刘鹤指出，精准拆弹时要防止跨市场、跨区域市场的风险传染。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他指出，要积极实施好金融调控，加强货币政策、宏观审慎政策、微观审慎监管的协调配合。要防止顺周期的效应和预期带来的收缩效应，这种收缩对金融机构而言是有风险的，金融机构要加强逆周期调节力度，保证流动性合理充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刘鹤表示，目前形势正在全面地好转，大局已经得到稳定。“我们对一些风险点进行精准拆弹，增强了监管部门的处置经验，实现了防范化解金融攻坚战的阶段性目标。”他说。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left"/>
        <w:rPr>
          <w:spacing w:val="8"/>
        </w:rPr>
      </w:pPr>
      <w:r>
        <w:rPr>
          <w:rStyle w:val="6"/>
          <w:rFonts w:hint="default" w:ascii="PingFangTC-light" w:hAnsi="PingFangTC-light" w:eastAsia="PingFangTC-light" w:cs="PingFangTC-light"/>
          <w:i w:val="0"/>
          <w:caps w:val="0"/>
          <w:color w:val="333333"/>
          <w:spacing w:val="8"/>
          <w:sz w:val="22"/>
          <w:szCs w:val="22"/>
          <w:bdr w:val="none" w:color="auto" w:sz="0" w:space="0"/>
          <w:shd w:val="clear" w:fill="FFFFFF"/>
        </w:rPr>
        <w:t>3、下一阶段金融工作：五大方面、四大重点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他表示，下一阶段，金融工作将主要聚焦五大方面，分别是：回归本源，坚定服务实体经济，提高金融供给的适应性；打好防范化金融风险攻坚战，注意把握好处置风险的力度和节奏；实施好金融调控，加强货币政策，宏观审慎政策，微观审慎的协调配合；强化金融基础设施建设，统筹规划，加强信息共享；进一步加快改革开放，加快推进市场准入、平等竞争、保护产权和知识产权等。 相信不久的将来，中国政府将进一步推出有力度的改革开放新举措。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他认为，当前尤其需要抓好几个重点：1、加快推进股票发行上市、退市等基础制度改革。2、以加强公司治理和信息披露为重点，提高上市公司质量。3、以更加市场化、便利化为导向推进交易制度改革。4、加快提升中介机构能力。5、稳步扩大各类机构投资者队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刘鹤指出，科创板建设重中之重的是要着力做好两项工作：1、落实好以信息披露为核心的注册制改革，注册制实质含义是，把选择权交给市场。2、完善法治，提高违法成本，加大监管执法力度。要有透明严格可预期的法律和制度条件，要全面提高违法成本。</w:t>
      </w:r>
      <w:r>
        <w:rPr>
          <w:rStyle w:val="6"/>
          <w:rFonts w:hint="eastAsia" w:ascii="楷体" w:hAnsi="楷体" w:eastAsia="楷体" w:cs="楷体"/>
          <w:i w:val="0"/>
          <w:caps w:val="0"/>
          <w:color w:val="252526"/>
          <w:spacing w:val="15"/>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center"/>
        <w:rPr>
          <w:spacing w:val="8"/>
        </w:rPr>
      </w:pPr>
      <w:r>
        <w:rPr>
          <w:rStyle w:val="6"/>
          <w:rFonts w:hint="default" w:ascii="PingFangTC-light" w:hAnsi="PingFangTC-light" w:eastAsia="PingFangTC-light" w:cs="PingFangTC-light"/>
          <w:i w:val="0"/>
          <w:caps w:val="0"/>
          <w:color w:val="333333"/>
          <w:spacing w:val="8"/>
          <w:sz w:val="22"/>
          <w:szCs w:val="22"/>
          <w:bdr w:val="none" w:color="auto" w:sz="0" w:space="0"/>
          <w:shd w:val="clear" w:fill="FFFFFF"/>
        </w:rPr>
        <w:t>易纲：大力支持上海加快国际金融中心建设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央行行长易纲在致辞时表示，如今人民币汇率越来越市场化，境内外投资者需要各种金融工具，同时需要进行资产定价、对冲风险，上海金融市场要精准给各种金融工具定价，建成资产定价中心，拓宽金融市场深度，提高市场流动性，完善风险对冲工具，积极发展各类衍生产品，加强人民币资本项目兑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他随后在主题演讲时表示，上海国际金融中心建设，核心是使得上海成为全球人民币金融资产配置和管理中心。“将来一定是基于人民币资产形成的国际金融中心。”他说，未来全球的金融增长点在于金融科技，国际金融中心的竞争点也在金融科技。易纲表示，中国人民银行将继续大力支持上海加快国际金融中心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易纲指出，上海在国际金融中心建设取得了积极进展，金融市场要素更加完备，金融体系更加健全，金融中心影响力大幅提升，国际竞争力大幅提高 。现在上海市场体系非常完备，随着人民币资产加入明晟指数、彭博指数、巴克莱指数等国际普遍使用的股票、债券指数，全球资产管理者，特别是被动的指数型资产管理者，将会增加人民币股票债券资产配置。当前，60多家全球央行增持人民币资产，并且将人民币作为储备，带动了股票和债券投资者投资人民币资产，这要求上海加快金融市场交易、服务、咨询等一系列配套建设，满足全球投资者的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他强调，进一步加快以人民币金融市场和资产管理为基础的上海国际金融中心的建设，一是要把上海建立成人民币金融资产的配置中心；二是把上海建立成人民币金融资产的风险管理中心；三是把上海建立成金融科技中心，金融科技大有可为，人民银行积极支持上海探索大数据、区块链、人工智能、云计算等技术在金融领域的应用；四是把上海建立成优质营商环境的中心；五是把上海建立成金融人才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他指出，国际金融中心的竞争根本在于金融人才的竞争，人民银行支持上海健全吸引人才体制环境，将全球金融人才聚集到上海，使得上海成为全球金融人才向往的城市。</w:t>
      </w:r>
      <w:r>
        <w:rPr>
          <w:rStyle w:val="6"/>
          <w:rFonts w:hint="eastAsia" w:ascii="楷体" w:hAnsi="楷体" w:eastAsia="楷体" w:cs="楷体"/>
          <w:i w:val="0"/>
          <w:caps w:val="0"/>
          <w:color w:val="252526"/>
          <w:spacing w:val="15"/>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6" w:afterAutospacing="0" w:line="368" w:lineRule="atLeast"/>
        <w:ind w:left="240" w:right="240"/>
        <w:jc w:val="center"/>
        <w:rPr>
          <w:spacing w:val="8"/>
        </w:rPr>
      </w:pPr>
      <w:r>
        <w:rPr>
          <w:rStyle w:val="6"/>
          <w:rFonts w:hint="default" w:ascii="PingFangTC-light" w:hAnsi="PingFangTC-light" w:eastAsia="PingFangTC-light" w:cs="PingFangTC-light"/>
          <w:i w:val="0"/>
          <w:caps w:val="0"/>
          <w:color w:val="333333"/>
          <w:spacing w:val="15"/>
          <w:sz w:val="22"/>
          <w:szCs w:val="22"/>
          <w:bdr w:val="none" w:color="auto" w:sz="0" w:space="0"/>
          <w:shd w:val="clear" w:fill="FFFFFF"/>
        </w:rPr>
        <w:t>郭树清：大力发展资本市场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center"/>
        <w:rPr>
          <w:spacing w:val="8"/>
        </w:rPr>
      </w:pPr>
      <w:r>
        <w:rPr>
          <w:rStyle w:val="6"/>
          <w:rFonts w:hint="default" w:ascii="PingFangTC-light" w:hAnsi="PingFangTC-light" w:eastAsia="PingFangTC-light" w:cs="PingFangTC-light"/>
          <w:i w:val="0"/>
          <w:caps w:val="0"/>
          <w:color w:val="333333"/>
          <w:spacing w:val="15"/>
          <w:sz w:val="22"/>
          <w:szCs w:val="22"/>
          <w:bdr w:val="none" w:color="auto" w:sz="0" w:space="0"/>
          <w:shd w:val="clear" w:fill="FFFFFF"/>
        </w:rPr>
        <w:t>彻底解决“一条腿长一条腿短”的不平衡格局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银保监会主席郭树清在论坛致辞时谈到了直接融资与间接融资、金融机构公司治理、房地产金融化等问题，重点主要有以下几点：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Style w:val="6"/>
          <w:rFonts w:hint="default" w:ascii="PingFangTC-light" w:hAnsi="PingFangTC-light" w:eastAsia="PingFangTC-light" w:cs="PingFangTC-light"/>
          <w:i w:val="0"/>
          <w:caps w:val="0"/>
          <w:color w:val="333333"/>
          <w:spacing w:val="15"/>
          <w:sz w:val="22"/>
          <w:szCs w:val="22"/>
          <w:bdr w:val="none" w:color="auto" w:sz="0" w:space="0"/>
          <w:shd w:val="clear" w:fill="FFFFFF"/>
        </w:rPr>
        <w:t>1、着力发展更多专业化、个性化金融机构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郭树清表示，我国银行渗透率、保险深度密度和资本市场影响力仍然处于很低水平，金融机构种类不丰富，布局不合理，特色不鲜明，过度竞争与服务空白同时存在。在新的金融科技快速发展形势下，行业形态，盈利模式和企业机构都不可能简单重复其它国家的发展路径，需要同时在数量和质量上提高金融机构的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郭树清称，要扶持服务社区、服务小微企业的中小型机构，服务专业的金融企业。“我们热烈欢迎境外金融机构参与进来，我们将进一步扩大银行、保险、证券、信托的开放，尤其欢迎有经验的资产管理机构”。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Style w:val="6"/>
          <w:rFonts w:hint="default" w:ascii="PingFangTC-light" w:hAnsi="PingFangTC-light" w:eastAsia="PingFangTC-light" w:cs="PingFangTC-light"/>
          <w:i w:val="0"/>
          <w:caps w:val="0"/>
          <w:color w:val="333333"/>
          <w:spacing w:val="15"/>
          <w:sz w:val="22"/>
          <w:szCs w:val="22"/>
          <w:bdr w:val="none" w:color="auto" w:sz="0" w:space="0"/>
          <w:shd w:val="clear" w:fill="FFFFFF"/>
        </w:rPr>
        <w:t>2、彻底改变直接融资与间接融资“一条腿短一条腿长”的不平衡格局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“不同发展阶段的企业具有不同的特点和不同的融资需求，风险投资适合初创企业，银行信贷更能满足成长期企业，证券股票对发展成熟企业十分重要。”郭树清认为，市场体系要更好地适应企业生命周期。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目前，信贷在金融融资结构中的占比超过80%，占比过高，企业过度依赖银行。企业生命周期和生产周期不能很好匹配，既容易造成大中型银行过度挤占信贷资源，又使小微企业和创新型企业缺少必要的孵化资金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“金融管理部门和行业企业形成了高度共识，一定要齐心协力，大力发展资本市场，彻底改变直接融资与间接融资一条腿短一条腿长的不平衡格局。”郭树清称。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Style w:val="6"/>
          <w:rFonts w:hint="default" w:ascii="PingFangTC-light" w:hAnsi="PingFangTC-light" w:eastAsia="PingFangTC-light" w:cs="PingFangTC-light"/>
          <w:i w:val="0"/>
          <w:caps w:val="0"/>
          <w:color w:val="333333"/>
          <w:spacing w:val="15"/>
          <w:sz w:val="22"/>
          <w:szCs w:val="22"/>
          <w:bdr w:val="none" w:color="auto" w:sz="0" w:space="0"/>
          <w:shd w:val="clear" w:fill="FFFFFF"/>
        </w:rPr>
        <w:t>3、公司治理不健全一直是内在隐患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有的大股东把金融机构视为提款机，有的高管人员胡作非为。”郭树清指出，由于绝大部分金融机构具有较强公众利益相关属性，建立现代企业制度和加强党的领导，必须一以贯之，形成各公司治理机构积极配合、相互制约的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252526"/>
          <w:spacing w:val="15"/>
          <w:sz w:val="22"/>
          <w:szCs w:val="22"/>
          <w:bdr w:val="none" w:color="auto" w:sz="0" w:space="0"/>
          <w:shd w:val="clear" w:fill="FFFFFF"/>
        </w:rPr>
        <w:t>过去一段时期，机构信息披露不实、人为操纵资产质量分类甚至作假。郭树清表示，形成这方面的原因很多，但市场约束不严格、监管执法不严格也是重要原因。违规违法成本太低，只能助长践踏法律行为持续蔓延。对此，监管部门必须敢于斗争，严格执法，坚决捍卫法律法规的尊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Style w:val="6"/>
          <w:rFonts w:hint="default" w:ascii="PingFangTC-light" w:hAnsi="PingFangTC-light" w:eastAsia="PingFangTC-light" w:cs="PingFangTC-light"/>
          <w:i w:val="0"/>
          <w:caps w:val="0"/>
          <w:color w:val="333333"/>
          <w:spacing w:val="15"/>
          <w:sz w:val="22"/>
          <w:szCs w:val="22"/>
          <w:bdr w:val="none" w:color="auto" w:sz="0" w:space="0"/>
          <w:shd w:val="clear" w:fill="FFFFFF"/>
        </w:rPr>
        <w:t>4、坚决防止结构复杂产品死灰复燃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333333"/>
          <w:spacing w:val="15"/>
          <w:sz w:val="22"/>
          <w:szCs w:val="22"/>
          <w:bdr w:val="none" w:color="auto" w:sz="0" w:space="0"/>
          <w:shd w:val="clear" w:fill="FFFFFF"/>
        </w:rPr>
        <w:t>郭树清表示，提高资金使用效率，要解决好脱实向虚问题，要下大力气清理金融体系内部的空转资金。“两年多，我们持续整治市场乱象，压降高风险资产，由此缩短了融资链条，降低了融资成本。目前，国际上正在出现放松监管使影子银行回潮的趋势，需要引起我们的高度警惕。”郭树清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Style w:val="6"/>
          <w:rFonts w:hint="default" w:ascii="PingFangTC-light" w:hAnsi="PingFangTC-light" w:eastAsia="PingFangTC-light" w:cs="PingFangTC-light"/>
          <w:i w:val="0"/>
          <w:caps w:val="0"/>
          <w:color w:val="333333"/>
          <w:spacing w:val="15"/>
          <w:sz w:val="22"/>
          <w:szCs w:val="22"/>
          <w:bdr w:val="none" w:color="auto" w:sz="0" w:space="0"/>
          <w:shd w:val="clear" w:fill="FFFFFF"/>
        </w:rPr>
        <w:t>5、要谨防一些地方房地产金融化的问题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333333"/>
          <w:spacing w:val="15"/>
          <w:sz w:val="22"/>
          <w:szCs w:val="22"/>
          <w:bdr w:val="none" w:color="auto" w:sz="0" w:space="0"/>
          <w:shd w:val="clear" w:fill="FFFFFF"/>
        </w:rPr>
        <w:t>近年来，我国一些城市住户部门杠杆率急速攀升，相当大比例居民家庭负债率达到难以持续的水平。“更严重的是全社会的新增储蓄资源一半左右投入到房地产领域，一些房地产企业融资过度挤占了信贷资源，导致资金使用效率进一步降低，助长了房地产投资投机行为。”郭树清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333333"/>
          <w:spacing w:val="15"/>
          <w:sz w:val="22"/>
          <w:szCs w:val="22"/>
          <w:bdr w:val="none" w:color="auto" w:sz="0" w:space="0"/>
          <w:shd w:val="clear" w:fill="FFFFFF"/>
        </w:rPr>
        <w:t>郭树清表示，历史证明，凡是过度依赖房地产实现经济繁荣的国家和地区，最终都要付出沉重代价，凡是靠投资投机房地产理财的居民和企业，最终都会发现其实很不划算。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both"/>
        <w:rPr>
          <w:spacing w:val="8"/>
        </w:rPr>
      </w:pPr>
      <w:r>
        <w:rPr>
          <w:rFonts w:hint="default" w:ascii="PingFangTC-light" w:hAnsi="PingFangTC-light" w:eastAsia="PingFangTC-light" w:cs="PingFangTC-light"/>
          <w:b w:val="0"/>
          <w:i w:val="0"/>
          <w:caps w:val="0"/>
          <w:color w:val="333333"/>
          <w:spacing w:val="15"/>
          <w:sz w:val="22"/>
          <w:szCs w:val="22"/>
          <w:bdr w:val="none" w:color="auto" w:sz="0" w:space="0"/>
          <w:shd w:val="clear" w:fill="FFFFFF"/>
        </w:rPr>
        <w:t>郭树清强调，当前我国经济进入转型升级和结构性改革关键时期，新旧动能转换不断加速，金融服务实体经济能力持续提升，银行和保险投向工商企业的资金快速增长。小微企业融资难融资贵的问题得到缓解。5月末，5大银行对于普惠型小微企业贷款比去年底增长了23.7%，已完成全年计划的绝大部分。平均利率为4.79%，较去年全年下降了0.65个百分点。</w:t>
      </w:r>
      <w:r>
        <w:rPr>
          <w:rStyle w:val="6"/>
          <w:rFonts w:hint="eastAsia" w:ascii="楷体" w:hAnsi="楷体" w:eastAsia="楷体" w:cs="楷体"/>
          <w:i w:val="0"/>
          <w:caps w:val="0"/>
          <w:color w:val="252526"/>
          <w:spacing w:val="15"/>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6" w:afterAutospacing="0" w:line="368" w:lineRule="atLeast"/>
        <w:ind w:left="240" w:right="240"/>
        <w:jc w:val="center"/>
        <w:rPr>
          <w:spacing w:val="8"/>
        </w:rPr>
      </w:pPr>
      <w:r>
        <w:rPr>
          <w:rStyle w:val="6"/>
          <w:rFonts w:hint="default" w:ascii="PingFangTC-light" w:hAnsi="PingFangTC-light" w:eastAsia="PingFangTC-light" w:cs="PingFangTC-light"/>
          <w:i w:val="0"/>
          <w:caps w:val="0"/>
          <w:color w:val="333333"/>
          <w:spacing w:val="8"/>
          <w:sz w:val="22"/>
          <w:szCs w:val="22"/>
          <w:bdr w:val="none" w:color="auto" w:sz="0" w:space="0"/>
          <w:shd w:val="clear" w:fill="FFFFFF"/>
        </w:rPr>
        <w:t>易会满：九条对外开放举措正在路上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240" w:right="240"/>
        <w:jc w:val="both"/>
        <w:rPr>
          <w:spacing w:val="8"/>
        </w:rPr>
      </w:pPr>
      <w:r>
        <w:rPr>
          <w:rFonts w:hint="default" w:ascii="PingFangTC-light" w:hAnsi="PingFangTC-light" w:eastAsia="PingFangTC-light" w:cs="PingFangTC-light"/>
          <w:b w:val="0"/>
          <w:i w:val="0"/>
          <w:caps w:val="0"/>
          <w:color w:val="333333"/>
          <w:spacing w:val="15"/>
          <w:sz w:val="22"/>
          <w:szCs w:val="22"/>
          <w:bdr w:val="none" w:color="auto" w:sz="0" w:space="0"/>
          <w:shd w:val="clear" w:fill="FFFFFF"/>
        </w:rPr>
        <w:t>中国证监会主席易会满在论坛上发表主题演讲，对资本市场当前推进对外开放工作作出重要阐述，他还重点提到了加强科创板监管工作的发力方向。</w:t>
      </w:r>
      <w:r>
        <w:rPr>
          <w:rStyle w:val="7"/>
          <w:rFonts w:hint="default" w:ascii="PingFangTC-light" w:hAnsi="PingFangTC-light" w:eastAsia="PingFangTC-light" w:cs="PingFangTC-light"/>
          <w:b w:val="0"/>
          <w:i/>
          <w:caps w:val="0"/>
          <w:color w:val="333333"/>
          <w:spacing w:val="15"/>
          <w:sz w:val="22"/>
          <w:szCs w:val="22"/>
          <w:bdr w:val="none" w:color="auto" w:sz="0" w:space="0"/>
          <w:shd w:val="clear" w:fill="FFFFFF"/>
        </w:rPr>
        <w:t>（以下是其讲话重点，更多内容详见二条）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240" w:right="240"/>
        <w:jc w:val="both"/>
        <w:rPr>
          <w:spacing w:val="8"/>
        </w:rPr>
      </w:pPr>
      <w:r>
        <w:rPr>
          <w:rFonts w:hint="default" w:ascii="PingFangTC-light" w:hAnsi="PingFangTC-light" w:eastAsia="PingFangTC-light" w:cs="PingFangTC-light"/>
          <w:b w:val="0"/>
          <w:i w:val="0"/>
          <w:caps w:val="0"/>
          <w:color w:val="333333"/>
          <w:spacing w:val="15"/>
          <w:sz w:val="22"/>
          <w:szCs w:val="22"/>
          <w:bdr w:val="none" w:color="auto" w:sz="0" w:space="0"/>
          <w:shd w:val="clear" w:fill="FFFFFF"/>
        </w:rPr>
        <w:t>易会满明确，下一步，证监会将围绕“科创板建设需要把握好的四个关键点”，尤其落实好“以信息披露为核心的注册制改革”，以及“完善法制、加大违法成本和监管执法力度”两方面的工作要求，下大功夫、下苦功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240" w:right="240"/>
        <w:jc w:val="both"/>
        <w:rPr>
          <w:spacing w:val="8"/>
        </w:rPr>
      </w:pPr>
      <w:r>
        <w:rPr>
          <w:rFonts w:hint="default" w:ascii="PingFangTC-light" w:hAnsi="PingFangTC-light" w:eastAsia="PingFangTC-light" w:cs="PingFangTC-light"/>
          <w:b w:val="0"/>
          <w:i w:val="0"/>
          <w:caps w:val="0"/>
          <w:color w:val="333333"/>
          <w:spacing w:val="15"/>
          <w:sz w:val="22"/>
          <w:szCs w:val="22"/>
          <w:bdr w:val="none" w:color="auto" w:sz="0" w:space="0"/>
          <w:shd w:val="clear" w:fill="FFFFFF"/>
        </w:rPr>
        <w:t>他说，在科创板建设过程中，证监会将切实树立以信息披露为中心的监管理念，全面建立严格的信息披露体系，完善市场激励约束机制，压实中介机构责任，给投资者一个真实、透明、合规的上市公司，同时，积极推动增加司法供给，大幅提升违法违规成本，严厉打击虚假披露、欺诈发行等各种乱象，净化市场生态。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240" w:right="240"/>
        <w:jc w:val="both"/>
        <w:rPr>
          <w:spacing w:val="8"/>
        </w:rPr>
      </w:pPr>
      <w:r>
        <w:rPr>
          <w:rFonts w:hint="default" w:ascii="PingFangTC-light" w:hAnsi="PingFangTC-light" w:eastAsia="PingFangTC-light" w:cs="PingFangTC-light"/>
          <w:b w:val="0"/>
          <w:i w:val="0"/>
          <w:caps w:val="0"/>
          <w:color w:val="333333"/>
          <w:spacing w:val="15"/>
          <w:sz w:val="22"/>
          <w:szCs w:val="22"/>
          <w:bdr w:val="none" w:color="auto" w:sz="0" w:space="0"/>
          <w:shd w:val="clear" w:fill="FFFFFF"/>
        </w:rPr>
        <w:t>此外，在会上，易会满还表示，证监会将陆续推出以下九项对外开放举措：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240" w:right="240"/>
        <w:jc w:val="both"/>
        <w:rPr>
          <w:spacing w:val="8"/>
        </w:rPr>
      </w:pPr>
      <w:r>
        <w:rPr>
          <w:rFonts w:hint="default" w:ascii="PingFangTC-light" w:hAnsi="PingFangTC-light" w:eastAsia="PingFangTC-light" w:cs="PingFangTC-light"/>
          <w:b w:val="0"/>
          <w:i w:val="0"/>
          <w:caps w:val="0"/>
          <w:color w:val="333333"/>
          <w:spacing w:val="15"/>
          <w:sz w:val="22"/>
          <w:szCs w:val="22"/>
          <w:bdr w:val="none" w:color="auto" w:sz="0" w:space="0"/>
          <w:shd w:val="clear" w:fill="FFFFFF"/>
        </w:rPr>
        <w:t>1、 推动修订QFII和RQFII制度规则，进一步便利境外机构投资者参与中国资本市场。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240" w:right="240"/>
        <w:jc w:val="both"/>
        <w:rPr>
          <w:spacing w:val="8"/>
        </w:rPr>
      </w:pPr>
      <w:r>
        <w:rPr>
          <w:rFonts w:hint="default" w:ascii="PingFangTC-light" w:hAnsi="PingFangTC-light" w:eastAsia="PingFangTC-light" w:cs="PingFangTC-light"/>
          <w:b w:val="0"/>
          <w:i w:val="0"/>
          <w:caps w:val="0"/>
          <w:color w:val="333333"/>
          <w:spacing w:val="15"/>
          <w:sz w:val="22"/>
          <w:szCs w:val="22"/>
          <w:bdr w:val="none" w:color="auto" w:sz="0" w:space="0"/>
          <w:shd w:val="clear" w:fill="FFFFFF"/>
        </w:rPr>
        <w:t>2、 按内外资一致原则，允许合资证券和基金管理公司的境外股东实现“一参一控”。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240" w:right="240"/>
        <w:jc w:val="both"/>
        <w:rPr>
          <w:spacing w:val="8"/>
        </w:rPr>
      </w:pPr>
      <w:r>
        <w:rPr>
          <w:rFonts w:hint="default" w:ascii="PingFangTC-light" w:hAnsi="PingFangTC-light" w:eastAsia="PingFangTC-light" w:cs="PingFangTC-light"/>
          <w:b w:val="0"/>
          <w:i w:val="0"/>
          <w:caps w:val="0"/>
          <w:color w:val="333333"/>
          <w:spacing w:val="15"/>
          <w:sz w:val="22"/>
          <w:szCs w:val="22"/>
          <w:bdr w:val="none" w:color="auto" w:sz="0" w:space="0"/>
          <w:shd w:val="clear" w:fill="FFFFFF"/>
        </w:rPr>
        <w:t>3、 合理设置综合类券商控股股东的资质要求，特别是净资产要求。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240" w:right="240"/>
        <w:jc w:val="both"/>
        <w:rPr>
          <w:spacing w:val="8"/>
        </w:rPr>
      </w:pPr>
      <w:r>
        <w:rPr>
          <w:rFonts w:hint="default" w:ascii="PingFangTC-light" w:hAnsi="PingFangTC-light" w:eastAsia="PingFangTC-light" w:cs="PingFangTC-light"/>
          <w:b w:val="0"/>
          <w:i w:val="0"/>
          <w:caps w:val="0"/>
          <w:color w:val="333333"/>
          <w:spacing w:val="15"/>
          <w:sz w:val="22"/>
          <w:szCs w:val="22"/>
          <w:bdr w:val="none" w:color="auto" w:sz="0" w:space="0"/>
          <w:shd w:val="clear" w:fill="FFFFFF"/>
        </w:rPr>
        <w:t>4、 适当考虑外资银行母行资产规模和业务经验，放宽外资银行在华从事证券投资基金托管业务的准入限制。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240" w:right="240"/>
        <w:jc w:val="both"/>
        <w:rPr>
          <w:spacing w:val="8"/>
        </w:rPr>
      </w:pPr>
      <w:r>
        <w:rPr>
          <w:rFonts w:hint="default" w:ascii="PingFangTC-light" w:hAnsi="PingFangTC-light" w:eastAsia="PingFangTC-light" w:cs="PingFangTC-light"/>
          <w:b w:val="0"/>
          <w:i w:val="0"/>
          <w:caps w:val="0"/>
          <w:color w:val="333333"/>
          <w:spacing w:val="15"/>
          <w:sz w:val="22"/>
          <w:szCs w:val="22"/>
          <w:bdr w:val="none" w:color="auto" w:sz="0" w:space="0"/>
          <w:shd w:val="clear" w:fill="FFFFFF"/>
        </w:rPr>
        <w:t>5、 全面推开H股“全流通”改革。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240" w:right="240"/>
        <w:jc w:val="both"/>
        <w:rPr>
          <w:spacing w:val="8"/>
        </w:rPr>
      </w:pPr>
      <w:r>
        <w:rPr>
          <w:rFonts w:hint="default" w:ascii="PingFangTC-light" w:hAnsi="PingFangTC-light" w:eastAsia="PingFangTC-light" w:cs="PingFangTC-light"/>
          <w:b w:val="0"/>
          <w:i w:val="0"/>
          <w:caps w:val="0"/>
          <w:color w:val="333333"/>
          <w:spacing w:val="15"/>
          <w:sz w:val="22"/>
          <w:szCs w:val="22"/>
          <w:bdr w:val="none" w:color="auto" w:sz="0" w:space="0"/>
          <w:shd w:val="clear" w:fill="FFFFFF"/>
        </w:rPr>
        <w:t>6、 持续加大期货市场开放力度，扩大特定品种范围。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240" w:right="240"/>
        <w:jc w:val="both"/>
        <w:rPr>
          <w:spacing w:val="8"/>
        </w:rPr>
      </w:pPr>
      <w:r>
        <w:rPr>
          <w:rFonts w:hint="default" w:ascii="PingFangTC-light" w:hAnsi="PingFangTC-light" w:eastAsia="PingFangTC-light" w:cs="PingFangTC-light"/>
          <w:b w:val="0"/>
          <w:i w:val="0"/>
          <w:caps w:val="0"/>
          <w:color w:val="333333"/>
          <w:spacing w:val="15"/>
          <w:sz w:val="22"/>
          <w:szCs w:val="22"/>
          <w:bdr w:val="none" w:color="auto" w:sz="0" w:space="0"/>
          <w:shd w:val="clear" w:fill="FFFFFF"/>
        </w:rPr>
        <w:t>7、 放开外资私募证券投资基金管理人管理的私募产品参与“沪港通”、“深港通”交易的限制。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240" w:right="240"/>
        <w:jc w:val="both"/>
        <w:rPr>
          <w:spacing w:val="8"/>
        </w:rPr>
      </w:pPr>
      <w:r>
        <w:rPr>
          <w:rFonts w:hint="default" w:ascii="PingFangTC-light" w:hAnsi="PingFangTC-light" w:eastAsia="PingFangTC-light" w:cs="PingFangTC-light"/>
          <w:b w:val="0"/>
          <w:i w:val="0"/>
          <w:caps w:val="0"/>
          <w:color w:val="333333"/>
          <w:spacing w:val="15"/>
          <w:sz w:val="22"/>
          <w:szCs w:val="22"/>
          <w:bdr w:val="none" w:color="auto" w:sz="0" w:space="0"/>
          <w:shd w:val="clear" w:fill="FFFFFF"/>
        </w:rPr>
        <w:t>8、 研究扩大交易所债券市场对外开放，拓展境外机构投资者进入交易所债券市场的渠道。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240" w:right="240"/>
        <w:jc w:val="both"/>
        <w:rPr>
          <w:spacing w:val="8"/>
        </w:rPr>
      </w:pPr>
      <w:r>
        <w:rPr>
          <w:rFonts w:hint="default" w:ascii="PingFangTC-light" w:hAnsi="PingFangTC-light" w:eastAsia="PingFangTC-light" w:cs="PingFangTC-light"/>
          <w:b w:val="0"/>
          <w:i w:val="0"/>
          <w:caps w:val="0"/>
          <w:color w:val="333333"/>
          <w:spacing w:val="15"/>
          <w:sz w:val="22"/>
          <w:szCs w:val="22"/>
          <w:bdr w:val="none" w:color="auto" w:sz="0" w:space="0"/>
          <w:shd w:val="clear" w:fill="FFFFFF"/>
        </w:rPr>
        <w:t>9、 研究制定交易所熊猫债管理办法，更加便利境外机构发债融资。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8" w:lineRule="atLeast"/>
        <w:ind w:left="240" w:right="240"/>
        <w:jc w:val="both"/>
        <w:rPr>
          <w:spacing w:val="8"/>
        </w:rPr>
      </w:pPr>
      <w:r>
        <w:rPr>
          <w:rFonts w:hint="default" w:ascii="PingFangTC-light" w:hAnsi="PingFangTC-light" w:eastAsia="PingFangTC-light" w:cs="PingFangTC-light"/>
          <w:b w:val="0"/>
          <w:i w:val="0"/>
          <w:caps w:val="0"/>
          <w:color w:val="333333"/>
          <w:spacing w:val="15"/>
          <w:sz w:val="22"/>
          <w:szCs w:val="22"/>
          <w:bdr w:val="none" w:color="auto" w:sz="0" w:space="0"/>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阅读 3.7万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 在看151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F61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2019-06-14T01:15:36Z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