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Gestartet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0.2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D6492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C0FDC" w:rsidRPr="00FC0FDC" w:rsidRDefault="00FC0FDC" w:rsidP="00FD1265">
      <w:r>
        <w:t xml:space="preserve">Dieses Dokument enthält alle Benötigten Information für die </w:t>
      </w:r>
      <w:proofErr w:type="gramStart"/>
      <w:r>
        <w:t>Entwickler</w:t>
      </w:r>
      <w:proofErr w:type="gramEnd"/>
      <w:r>
        <w:t xml:space="preserve"> die sie in der Realisierungsphase benötigen. Ebenfalls ist es für den Auftraggeber Interessant der somit nachvollziehen kann wie die Appliance aufgebaut sein wird.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5C3EEE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Sie übereinstimmen wird Resultat Nr.1 In die Datenbank </w:t>
            </w:r>
            <w:r>
              <w:lastRenderedPageBreak/>
              <w:t>gespeichert.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 wird eine Fehlermeldung ausgegeben.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5C3EEE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BD5C16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</w:tcPr>
          <w:p w:rsidR="000133FD" w:rsidRPr="00AD66CB" w:rsidRDefault="00854BB8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5C3EEE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7"/>
              <w:gridCol w:w="2368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</w:tbl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410741999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410742000"/>
      <w:r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410742001"/>
      <w:r>
        <w:t>Gliederung der Lösung in Module</w:t>
      </w:r>
      <w:bookmarkEnd w:id="22"/>
      <w:bookmarkEnd w:id="23"/>
      <w:bookmarkEnd w:id="24"/>
      <w:bookmarkEnd w:id="25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lastRenderedPageBreak/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>
      <w:pPr>
        <w:suppressAutoHyphens w:val="0"/>
      </w:pP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6" w:name="_Toc410722969"/>
      <w:bookmarkStart w:id="27" w:name="_Toc378079218"/>
      <w:bookmarkStart w:id="28" w:name="_Toc217802593"/>
      <w:bookmarkStart w:id="29" w:name="_Toc410742002"/>
      <w:r>
        <w:t>Schnittstellen</w:t>
      </w:r>
      <w:bookmarkEnd w:id="26"/>
      <w:bookmarkEnd w:id="27"/>
      <w:bookmarkEnd w:id="28"/>
      <w:bookmarkEnd w:id="29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0" w:name="_Toc410742003"/>
      <w:r>
        <w:t>Testkonzept</w:t>
      </w:r>
      <w:bookmarkEnd w:id="30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1" w:name="_Toc410722971"/>
      <w:bookmarkStart w:id="32" w:name="_Toc378079220"/>
      <w:bookmarkStart w:id="33" w:name="_Toc410742004"/>
      <w:r>
        <w:t>Weiterführ</w:t>
      </w:r>
      <w:r w:rsidR="00FD1265">
        <w:t>ung der Projektplanung</w:t>
      </w:r>
      <w:bookmarkEnd w:id="31"/>
      <w:bookmarkEnd w:id="32"/>
      <w:bookmarkEnd w:id="33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4" w:name="_Toc410722972"/>
      <w:bookmarkStart w:id="35" w:name="_Toc378079221"/>
      <w:bookmarkStart w:id="36" w:name="_Toc410742005"/>
      <w:r w:rsidRPr="005D07BD">
        <w:t>Abgleich von Planung und tatsächlichem Verlauf der Phase</w:t>
      </w:r>
      <w:bookmarkEnd w:id="34"/>
      <w:bookmarkEnd w:id="35"/>
      <w:r w:rsidR="005D07BD">
        <w:t xml:space="preserve"> Konzept</w:t>
      </w:r>
      <w:bookmarkEnd w:id="36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</w:t>
            </w:r>
            <w:r>
              <w:t>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FD1265" w:rsidRDefault="00FD1265" w:rsidP="00FD1265">
      <w:pPr>
        <w:pStyle w:val="Textkrper"/>
      </w:pPr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7" w:name="_Toc410722973"/>
      <w:bookmarkStart w:id="38" w:name="_Toc378079222"/>
      <w:bookmarkStart w:id="39" w:name="_Toc410742006"/>
      <w:r>
        <w:t xml:space="preserve">Aktualisierung der </w:t>
      </w:r>
      <w:r w:rsidR="00FD1265" w:rsidRPr="005D07BD">
        <w:t>Risikosituation</w:t>
      </w:r>
      <w:bookmarkEnd w:id="37"/>
      <w:bookmarkEnd w:id="38"/>
      <w:bookmarkEnd w:id="39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</w:t>
            </w:r>
            <w:r>
              <w:t>. Weiters Vorgehen Besprechen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F51632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Einige Mitarbeiter verstehen nicht was 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Gelangweilte Arbeiter, Gestresster Projektleiter</w:t>
            </w:r>
          </w:p>
        </w:tc>
        <w:tc>
          <w:tcPr>
            <w:tcW w:w="1963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Erklärt Arbeiter die Aufgabe.</w:t>
            </w:r>
          </w:p>
        </w:tc>
        <w:tc>
          <w:tcPr>
            <w:tcW w:w="1606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F51632">
            <w:r>
              <w:t>04 (NEU)</w:t>
            </w:r>
          </w:p>
        </w:tc>
        <w:tc>
          <w:tcPr>
            <w:tcW w:w="2171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>D</w:t>
            </w:r>
            <w:r>
              <w:rPr>
                <w:rStyle w:val="Fett"/>
                <w:b w:val="0"/>
              </w:rPr>
              <w:t xml:space="preserve">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  <w:bookmarkStart w:id="40" w:name="_GoBack"/>
            <w:bookmarkEnd w:id="40"/>
          </w:p>
        </w:tc>
        <w:tc>
          <w:tcPr>
            <w:tcW w:w="1963" w:type="dxa"/>
          </w:tcPr>
          <w:p w:rsidR="00856424" w:rsidRDefault="00AE0435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C0FDC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p w:rsidR="00FC0FDC" w:rsidRDefault="00FC0FDC">
      <w:pPr>
        <w:suppressAutoHyphens w:val="0"/>
        <w:rPr>
          <w:color w:val="B2A1C7" w:themeColor="accent4" w:themeTint="99"/>
        </w:rPr>
      </w:pPr>
      <w:r>
        <w:rPr>
          <w:color w:val="B2A1C7" w:themeColor="accent4" w:themeTint="99"/>
        </w:rPr>
        <w:br w:type="page"/>
      </w: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6725431" cy="7073297"/>
            <wp:effectExtent l="0" t="0" r="0" b="0"/>
            <wp:docPr id="9" name="Grafik 9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3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92E" w:rsidRDefault="00D6492E">
      <w:r>
        <w:separator/>
      </w:r>
    </w:p>
  </w:endnote>
  <w:endnote w:type="continuationSeparator" w:id="0">
    <w:p w:rsidR="00D6492E" w:rsidRDefault="00D6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92E" w:rsidRDefault="00D6492E">
      <w:r>
        <w:separator/>
      </w:r>
    </w:p>
  </w:footnote>
  <w:footnote w:type="continuationSeparator" w:id="0">
    <w:p w:rsidR="00D6492E" w:rsidRDefault="00D6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6942F1" w:rsidP="005A36ED">
          <w:pPr>
            <w:pStyle w:val="Kopfzeile"/>
            <w:jc w:val="right"/>
          </w:pPr>
          <w:r>
            <w:t>Network Snapshot Appliance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24AD8"/>
    <w:rsid w:val="000B5EA7"/>
    <w:rsid w:val="000C5ED3"/>
    <w:rsid w:val="000E219D"/>
    <w:rsid w:val="001043CB"/>
    <w:rsid w:val="00114661"/>
    <w:rsid w:val="00123093"/>
    <w:rsid w:val="001501D4"/>
    <w:rsid w:val="00172762"/>
    <w:rsid w:val="00173065"/>
    <w:rsid w:val="001C16E2"/>
    <w:rsid w:val="001E119F"/>
    <w:rsid w:val="00217D6E"/>
    <w:rsid w:val="002259D2"/>
    <w:rsid w:val="00254D4D"/>
    <w:rsid w:val="00257E57"/>
    <w:rsid w:val="00277CC8"/>
    <w:rsid w:val="00287194"/>
    <w:rsid w:val="002A0D7B"/>
    <w:rsid w:val="002F58F8"/>
    <w:rsid w:val="00322E48"/>
    <w:rsid w:val="0037586A"/>
    <w:rsid w:val="003A3249"/>
    <w:rsid w:val="003A7A3C"/>
    <w:rsid w:val="00415ADE"/>
    <w:rsid w:val="004A2A4D"/>
    <w:rsid w:val="004C309B"/>
    <w:rsid w:val="004D05BB"/>
    <w:rsid w:val="004F6CEE"/>
    <w:rsid w:val="00547D7C"/>
    <w:rsid w:val="00551ECD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0603E"/>
    <w:rsid w:val="007A471B"/>
    <w:rsid w:val="007A6F4A"/>
    <w:rsid w:val="007B4953"/>
    <w:rsid w:val="007C7AC3"/>
    <w:rsid w:val="007D4269"/>
    <w:rsid w:val="00810BEE"/>
    <w:rsid w:val="008136A0"/>
    <w:rsid w:val="00813FB2"/>
    <w:rsid w:val="00831A33"/>
    <w:rsid w:val="00854BB8"/>
    <w:rsid w:val="00854F1A"/>
    <w:rsid w:val="00856424"/>
    <w:rsid w:val="00857266"/>
    <w:rsid w:val="00863BFF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67CDD"/>
    <w:rsid w:val="00F956FF"/>
    <w:rsid w:val="00FB56CB"/>
    <w:rsid w:val="00FC0FDC"/>
    <w:rsid w:val="00FD1265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6FE62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D2E1-3E94-409C-8B64-C198F8E7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1189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8663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36</cp:revision>
  <cp:lastPrinted>2008-12-21T10:23:00Z</cp:lastPrinted>
  <dcterms:created xsi:type="dcterms:W3CDTF">2015-02-03T09:42:00Z</dcterms:created>
  <dcterms:modified xsi:type="dcterms:W3CDTF">2018-10-19T07:50:00Z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