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memo: FY25 close and FY26 plan</w:t>
      </w:r>
    </w:p>
    <w:p>
      <w:r>
        <w:rPr>
          <w:sz w:val="18"/>
        </w:rPr>
        <w:t>Prepared for the Acme board. Confidential.</w:t>
      </w:r>
    </w:p>
    <w:p>
      <w:pPr>
        <w:pStyle w:val="Heading1"/>
      </w:pPr>
      <w:r>
        <w:t>Summary</w:t>
      </w:r>
    </w:p>
    <w:p>
      <w:r>
        <w:t>FY25 closed with revenue of $54,880 thousand and EBITDA of $6,772 thousand, a margin of 12.3 percent against a commitment of 15 percent. The shortfall is entirely an operating expense story: gross margin held at 65 percent in every quarter, while operating expenses grew 9 percent from Q1 to Q4.</w:t>
      </w:r>
    </w:p>
    <w:p>
      <w:r>
        <w:t>The FY26 plan carries revenue to $68,500 thousand, a 25 percent increase, and holds operating expenses to $34,500 thousand. That combination produces EBITDA of $10,710 thousand, a 15.6 percent margin, which clears the commitment for the first time.</w:t>
      </w:r>
    </w:p>
    <w:p>
      <w:pPr>
        <w:pStyle w:val="Heading1"/>
      </w:pPr>
      <w:r>
        <w:t>Quarterly EBITDA bridge</w:t>
      </w:r>
    </w:p>
    <w:p>
      <w:r>
        <w:t>All figures in $ thousands. Source: management accounts, P&amp;L tab.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Line</w:t>
            </w:r>
          </w:p>
        </w:tc>
        <w:tc>
          <w:tcPr>
            <w:tcW w:type="dxa" w:w="1728"/>
          </w:tcPr>
          <w:p>
            <w:r>
              <w:t>Q1</w:t>
            </w:r>
          </w:p>
        </w:tc>
        <w:tc>
          <w:tcPr>
            <w:tcW w:type="dxa" w:w="1728"/>
          </w:tcPr>
          <w:p>
            <w:r>
              <w:t>Q2</w:t>
            </w:r>
          </w:p>
        </w:tc>
        <w:tc>
          <w:tcPr>
            <w:tcW w:type="dxa" w:w="1728"/>
          </w:tcPr>
          <w:p>
            <w:r>
              <w:t>Q3</w:t>
            </w:r>
          </w:p>
        </w:tc>
        <w:tc>
          <w:tcPr>
            <w:tcW w:type="dxa" w:w="1728"/>
          </w:tcPr>
          <w:p>
            <w:r>
              <w:t>Q4</w:t>
            </w:r>
          </w:p>
        </w:tc>
      </w:tr>
      <w:tr>
        <w:tc>
          <w:tcPr>
            <w:tcW w:type="dxa" w:w="1728"/>
          </w:tcPr>
          <w:p>
            <w:r>
              <w:t>Revenue</w:t>
            </w:r>
          </w:p>
        </w:tc>
        <w:tc>
          <w:tcPr>
            <w:tcW w:type="dxa" w:w="1728"/>
          </w:tcPr>
          <w:p>
            <w:r>
              <w:t>12,400</w:t>
            </w:r>
          </w:p>
        </w:tc>
        <w:tc>
          <w:tcPr>
            <w:tcW w:type="dxa" w:w="1728"/>
          </w:tcPr>
          <w:p>
            <w:r>
              <w:t>13,150</w:t>
            </w:r>
          </w:p>
        </w:tc>
        <w:tc>
          <w:tcPr>
            <w:tcW w:type="dxa" w:w="1728"/>
          </w:tcPr>
          <w:p>
            <w:r>
              <w:t>14,020</w:t>
            </w:r>
          </w:p>
        </w:tc>
        <w:tc>
          <w:tcPr>
            <w:tcW w:type="dxa" w:w="1728"/>
          </w:tcPr>
          <w:p>
            <w:r>
              <w:t>15,310</w:t>
            </w:r>
          </w:p>
        </w:tc>
      </w:tr>
      <w:tr>
        <w:tc>
          <w:tcPr>
            <w:tcW w:type="dxa" w:w="1728"/>
          </w:tcPr>
          <w:p>
            <w:r>
              <w:t>Gross margin</w:t>
            </w:r>
          </w:p>
        </w:tc>
        <w:tc>
          <w:tcPr>
            <w:tcW w:type="dxa" w:w="1728"/>
          </w:tcPr>
          <w:p>
            <w:r>
              <w:t>8,060</w:t>
            </w:r>
          </w:p>
        </w:tc>
        <w:tc>
          <w:tcPr>
            <w:tcW w:type="dxa" w:w="1728"/>
          </w:tcPr>
          <w:p>
            <w:r>
              <w:t>8,548</w:t>
            </w:r>
          </w:p>
        </w:tc>
        <w:tc>
          <w:tcPr>
            <w:tcW w:type="dxa" w:w="1728"/>
          </w:tcPr>
          <w:p>
            <w:r>
              <w:t>9,113</w:t>
            </w:r>
          </w:p>
        </w:tc>
        <w:tc>
          <w:tcPr>
            <w:tcW w:type="dxa" w:w="1728"/>
          </w:tcPr>
          <w:p>
            <w:r>
              <w:t>9,951</w:t>
            </w:r>
          </w:p>
        </w:tc>
      </w:tr>
      <w:tr>
        <w:tc>
          <w:tcPr>
            <w:tcW w:type="dxa" w:w="1728"/>
          </w:tcPr>
          <w:p>
            <w:r>
              <w:t>Total opex</w:t>
            </w:r>
          </w:p>
        </w:tc>
        <w:tc>
          <w:tcPr>
            <w:tcW w:type="dxa" w:w="1728"/>
          </w:tcPr>
          <w:p>
            <w:r>
              <w:t>6,820</w:t>
            </w:r>
          </w:p>
        </w:tc>
        <w:tc>
          <w:tcPr>
            <w:tcW w:type="dxa" w:w="1728"/>
          </w:tcPr>
          <w:p>
            <w:r>
              <w:t>7,080</w:t>
            </w:r>
          </w:p>
        </w:tc>
        <w:tc>
          <w:tcPr>
            <w:tcW w:type="dxa" w:w="1728"/>
          </w:tcPr>
          <w:p>
            <w:r>
              <w:t>7,340</w:t>
            </w:r>
          </w:p>
        </w:tc>
        <w:tc>
          <w:tcPr>
            <w:tcW w:type="dxa" w:w="1728"/>
          </w:tcPr>
          <w:p>
            <w:r>
              <w:t>7,660</w:t>
            </w:r>
          </w:p>
        </w:tc>
      </w:tr>
      <w:tr>
        <w:tc>
          <w:tcPr>
            <w:tcW w:type="dxa" w:w="1728"/>
          </w:tcPr>
          <w:p>
            <w:r>
              <w:t>EBITDA</w:t>
            </w:r>
          </w:p>
        </w:tc>
        <w:tc>
          <w:tcPr>
            <w:tcW w:type="dxa" w:w="1728"/>
          </w:tcPr>
          <w:p>
            <w:r>
              <w:t>1,240</w:t>
            </w:r>
          </w:p>
        </w:tc>
        <w:tc>
          <w:tcPr>
            <w:tcW w:type="dxa" w:w="1728"/>
          </w:tcPr>
          <w:p>
            <w:r>
              <w:t>1,468</w:t>
            </w:r>
          </w:p>
        </w:tc>
        <w:tc>
          <w:tcPr>
            <w:tcW w:type="dxa" w:w="1728"/>
          </w:tcPr>
          <w:p>
            <w:r>
              <w:t>1,773</w:t>
            </w:r>
          </w:p>
        </w:tc>
        <w:tc>
          <w:tcPr>
            <w:tcW w:type="dxa" w:w="1728"/>
          </w:tcPr>
          <w:p>
            <w:r>
              <w:t>2,291</w:t>
            </w:r>
          </w:p>
        </w:tc>
      </w:tr>
    </w:tbl>
    <w:p>
      <w:pPr>
        <w:pStyle w:val="Heading1"/>
      </w:pPr>
      <w:r>
        <w:t>Churn and retention</w:t>
      </w:r>
    </w:p>
    <w:p>
      <w:r>
        <w:t>Sixteen customers churned in FY25 out of two hundred. The headline rate of 8 percent is not the problem; the mix is. Enterprise churn ran at 13.6 percent against 7.0 percent in mid-market and 5.9 percent in SMB. Enterprise accounts are the ones we cannot replace inside a year, and every one of the six that left had a single production use case.</w:t>
      </w:r>
    </w:p>
    <w:p>
      <w:r>
        <w:t>Net revenue retention of 118 percent in enterprise masks this. Expansion inside the accounts that stay is covering the ones that leave, and that will not hold if the logo count keeps falling.</w:t>
      </w:r>
    </w:p>
    <w:p>
      <w:pPr>
        <w:pStyle w:val="Heading1"/>
      </w:pPr>
      <w:r>
        <w:t>Regional detail</w:t>
      </w:r>
    </w:p>
    <w:p>
      <w:r>
        <w:t>North America contributes $30,184 thousand of FY25 revenue across 96 customers. EMEA contributes $16,464 thousand across 58. APAC is $6,036 thousand across 31 customers and is the only region without a dedicated sales leader. LATAM remains a reseller motion at $2,196 thousand.</w:t>
      </w:r>
    </w:p>
    <w:p>
      <w:pPr>
        <w:pStyle w:val="Heading1"/>
      </w:pPr>
      <w:r>
        <w:t>Asks</w:t>
      </w:r>
    </w:p>
    <w:p>
      <w:pPr>
        <w:pStyle w:val="ListNumber"/>
      </w:pPr>
      <w:r>
        <w:t>Approve the FY26 operating expense envelope of $34,500 thousand.</w:t>
      </w:r>
    </w:p>
    <w:p>
      <w:pPr>
        <w:pStyle w:val="ListNumber"/>
      </w:pPr>
      <w:r>
        <w:t>Approve two APAC sales hires in the first quarter.</w:t>
      </w:r>
    </w:p>
    <w:p>
      <w:pPr>
        <w:pStyle w:val="ListNumber"/>
      </w:pPr>
      <w:r>
        <w:t>Note the change in churn reporting to a segment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