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Heading1"/>
      </w:pPr>
      <w:r>
        <w:t>QuantFold Analytics</w:t>
      </w:r>
    </w:p>
    <w:p>
      <w:r>
        <w:rPr>
          <w:b/>
        </w:rPr>
        <w:t xml:space="preserve">Sector: </w:t>
      </w:r>
      <w:r>
        <w:t>FinTech / Quantitative Research</w:t>
        <w:br/>
      </w:r>
      <w:r>
        <w:rPr>
          <w:b/>
        </w:rPr>
        <w:t xml:space="preserve">Headquarters: </w:t>
      </w:r>
      <w:r>
        <w:t>Amsterdam, Netherlands</w:t>
        <w:br/>
      </w:r>
      <w:r>
        <w:rPr>
          <w:b/>
        </w:rPr>
        <w:t xml:space="preserve">Founded: </w:t>
      </w:r>
      <w:r>
        <w:t>2016</w:t>
        <w:br/>
        <w:br/>
      </w:r>
    </w:p>
    <w:p>
      <w:pPr>
        <w:pStyle w:val="Heading2"/>
      </w:pPr>
      <w:r>
        <w:t>Mission</w:t>
      </w:r>
    </w:p>
    <w:p>
      <w:r>
        <w:t>To provide institutional investors with transparent, reproducible quantitative analytics and alpha-generation tools.</w:t>
      </w:r>
    </w:p>
    <w:p>
      <w:pPr>
        <w:pStyle w:val="Heading2"/>
      </w:pPr>
      <w:r>
        <w:t>Overview</w:t>
      </w:r>
    </w:p>
    <w:p>
      <w:r>
        <w:t>QuantFold blends academic research and engineering to deliver factor libraries, backtesting platforms, and data pipelines optimized for latency-sensitive strategies.</w:t>
      </w:r>
    </w:p>
    <w:p>
      <w:pPr>
        <w:pStyle w:val="Heading2"/>
      </w:pPr>
      <w:r>
        <w:t>Products &amp; Services</w:t>
      </w:r>
    </w:p>
    <w:p>
      <w:r>
        <w:t>• FoldBack – backtesting &amp; event study platform</w:t>
      </w:r>
    </w:p>
    <w:p>
      <w:r>
        <w:t>• FactorDB – normalized factor datasets</w:t>
      </w:r>
    </w:p>
    <w:p>
      <w:r>
        <w:t>• StreamGrid – low-latency data feeds and connectors</w:t>
      </w:r>
    </w:p>
    <w:p>
      <w:pPr>
        <w:pStyle w:val="Heading2"/>
      </w:pPr>
      <w:r>
        <w:t>Leadership</w:t>
      </w:r>
    </w:p>
    <w:p>
      <w:r>
        <w:t>CEO: Dr. Sander Koop; Head of Research: Prof. Anika Müller</w:t>
      </w:r>
    </w:p>
    <w:p>
      <w:pPr>
        <w:pStyle w:val="Heading2"/>
      </w:pPr>
      <w:r>
        <w:t>Contact</w:t>
      </w:r>
    </w:p>
    <w:p>
      <w:r>
        <w:t>info@quantfold.io | +31 20 222 3344</w:t>
      </w:r>
    </w:p>
    <w:p>
      <w:pPr>
        <w:pStyle w:val="Heading2"/>
      </w:pPr>
      <w:r>
        <w:t>RAG Metadata</w:t>
      </w:r>
    </w:p>
    <w:p>
      <w:r>
        <w:t>tags: fintech, amsterdam</w:t>
      </w:r>
    </w:p>
    <w:p>
      <w:r>
        <w:t>confidentiality: public</w:t>
      </w:r>
    </w:p>
    <w:p>
      <w:r>
        <w:t>doc_type: company_introduction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