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 Progress Report</w:t>
      </w:r>
    </w:p>
    <w:p>
      <w:pPr>
        <w:pStyle w:val="Subtitle"/>
      </w:pPr>
      <w:r>
        <w:t xml:space="preserve">Getting Started</w:t>
      </w:r>
    </w:p>
    <w:p>
      <w:pPr>
        <w:pStyle w:val="Author"/>
      </w:pPr>
      <w:r>
        <w:t xml:space="preserve">Jody Holland</w:t>
      </w:r>
    </w:p>
    <w:p>
      <w:pPr>
        <w:pStyle w:val="Date"/>
      </w:pPr>
      <w:r>
        <w:t xml:space="preserve">2025-10-20</w:t>
      </w:r>
    </w:p>
    <w:bookmarkStart w:id="20" w:name="progress-this-week"/>
    <w:p>
      <w:pPr>
        <w:pStyle w:val="Heading2"/>
      </w:pPr>
      <w:r>
        <w:t xml:space="preserve">Progress This Week</w:t>
      </w:r>
    </w:p>
    <w:p>
      <w:pPr>
        <w:numPr>
          <w:ilvl w:val="0"/>
          <w:numId w:val="1001"/>
        </w:numPr>
      </w:pPr>
      <w:r>
        <w:t xml:space="preserve">Moved into College and restarted work</w:t>
      </w:r>
    </w:p>
    <w:p>
      <w:pPr>
        <w:numPr>
          <w:ilvl w:val="0"/>
          <w:numId w:val="1001"/>
        </w:numPr>
      </w:pPr>
      <w:r>
        <w:t xml:space="preserve">Have determiend what funding is available to me through my bursary (£75 a month for books, £3000 over the course for conferences, £500 a year for equipment).</w:t>
      </w:r>
    </w:p>
    <w:p>
      <w:pPr>
        <w:pStyle w:val="Compact"/>
        <w:numPr>
          <w:ilvl w:val="1"/>
          <w:numId w:val="1002"/>
        </w:numPr>
      </w:pPr>
      <w:r>
        <w:t xml:space="preserve">Also some options for field work funding in SEA</w:t>
      </w:r>
    </w:p>
    <w:p>
      <w:pPr>
        <w:numPr>
          <w:ilvl w:val="0"/>
          <w:numId w:val="1001"/>
        </w:numPr>
      </w:pPr>
      <w:r>
        <w:t xml:space="preserve">Started Feasibility Report and made good progress</w:t>
      </w:r>
    </w:p>
    <w:p>
      <w:pPr>
        <w:pStyle w:val="Compact"/>
        <w:numPr>
          <w:ilvl w:val="1"/>
          <w:numId w:val="1003"/>
        </w:numPr>
      </w:pPr>
      <w:r>
        <w:t xml:space="preserve">Fleshed out background section (500 words)</w:t>
      </w:r>
    </w:p>
    <w:p>
      <w:pPr>
        <w:pStyle w:val="Compact"/>
        <w:numPr>
          <w:ilvl w:val="1"/>
          <w:numId w:val="1003"/>
        </w:numPr>
      </w:pPr>
      <w:r>
        <w:t xml:space="preserve">Have aimed to produce a brief overview of the current</w:t>
      </w:r>
      <w:r>
        <w:t xml:space="preserve"> </w:t>
      </w:r>
      <w:r>
        <w:t xml:space="preserve">“state of the science”</w:t>
      </w:r>
    </w:p>
    <w:p>
      <w:pPr>
        <w:pStyle w:val="Compact"/>
        <w:numPr>
          <w:ilvl w:val="1"/>
          <w:numId w:val="1003"/>
        </w:numPr>
      </w:pPr>
      <w:r>
        <w:t xml:space="preserve">Pretty happy with the introduction</w:t>
      </w:r>
    </w:p>
    <w:p>
      <w:pPr>
        <w:numPr>
          <w:ilvl w:val="0"/>
          <w:numId w:val="1001"/>
        </w:numPr>
      </w:pPr>
      <w:r>
        <w:t xml:space="preserve">Began work on a conceptual framework to hypothesise what could induce a landscape to be more or less prone to local leakage</w:t>
      </w:r>
    </w:p>
    <w:p>
      <w:pPr>
        <w:pStyle w:val="Compact"/>
        <w:numPr>
          <w:ilvl w:val="1"/>
          <w:numId w:val="1004"/>
        </w:numPr>
      </w:pPr>
      <w:r>
        <w:t xml:space="preserve">Emphasised the context of the economic activities occurring</w:t>
      </w:r>
    </w:p>
    <w:p>
      <w:pPr>
        <w:pStyle w:val="Compact"/>
        <w:numPr>
          <w:ilvl w:val="1"/>
          <w:numId w:val="1004"/>
        </w:numPr>
      </w:pPr>
      <w:r>
        <w:t xml:space="preserve">Exploring the concept of</w:t>
      </w:r>
      <w:r>
        <w:t xml:space="preserve"> </w:t>
      </w:r>
      <w:r>
        <w:t xml:space="preserve">“Factor Mobility”</w:t>
      </w:r>
    </w:p>
    <w:p>
      <w:pPr>
        <w:pStyle w:val="Compact"/>
        <w:numPr>
          <w:ilvl w:val="2"/>
          <w:numId w:val="1005"/>
        </w:numPr>
      </w:pPr>
      <w:r>
        <w:t xml:space="preserve">A concept taken from New Economic Geography (Krugman etc.)</w:t>
      </w:r>
    </w:p>
    <w:p>
      <w:pPr>
        <w:pStyle w:val="Compact"/>
        <w:numPr>
          <w:ilvl w:val="2"/>
          <w:numId w:val="1005"/>
        </w:numPr>
      </w:pPr>
      <w:r>
        <w:t xml:space="preserve">Denotes the degree to which an activity/industry could move across borders and landscapes</w:t>
      </w:r>
    </w:p>
    <w:p>
      <w:pPr>
        <w:pStyle w:val="Compact"/>
        <w:numPr>
          <w:ilvl w:val="2"/>
          <w:numId w:val="1005"/>
        </w:numPr>
      </w:pPr>
      <w:r>
        <w:t xml:space="preserve">Incorporates both how mobile the workforce might be and how regionally specific a particular activity might be</w:t>
      </w:r>
    </w:p>
    <w:p>
      <w:pPr>
        <w:pStyle w:val="Compact"/>
        <w:numPr>
          <w:ilvl w:val="1"/>
          <w:numId w:val="1004"/>
        </w:numPr>
      </w:pPr>
      <w:r>
        <w:t xml:space="preserve">Also examined how landscape topography could interact with local leakage propensity beyond factor mobility</w:t>
      </w:r>
    </w:p>
    <w:p>
      <w:pPr>
        <w:pStyle w:val="Compact"/>
        <w:numPr>
          <w:ilvl w:val="2"/>
          <w:numId w:val="1006"/>
        </w:numPr>
      </w:pPr>
      <w:r>
        <w:t xml:space="preserve">Specifically the positioning on the protected area within the landscape</w:t>
      </w:r>
    </w:p>
    <w:p>
      <w:pPr>
        <w:pStyle w:val="Compact"/>
        <w:numPr>
          <w:ilvl w:val="2"/>
          <w:numId w:val="1006"/>
        </w:numPr>
      </w:pPr>
      <w:r>
        <w:t xml:space="preserve">PAs are often located in the most politically convenient places - not the most ecologically critical</w:t>
      </w:r>
    </w:p>
    <w:p>
      <w:pPr>
        <w:pStyle w:val="Compact"/>
        <w:numPr>
          <w:ilvl w:val="2"/>
          <w:numId w:val="1006"/>
        </w:numPr>
      </w:pPr>
      <w:r>
        <w:t xml:space="preserve">Could mean that there is little economic pressure on the periphery of projects</w:t>
      </w:r>
    </w:p>
    <w:p>
      <w:pPr>
        <w:pStyle w:val="Compact"/>
        <w:numPr>
          <w:ilvl w:val="2"/>
          <w:numId w:val="1006"/>
        </w:numPr>
      </w:pPr>
      <w:r>
        <w:t xml:space="preserve">Could also mean that the people living in the vicinity of the PA have little political or economic power to resist the imposition of a PA</w:t>
      </w:r>
    </w:p>
    <w:p>
      <w:pPr>
        <w:numPr>
          <w:ilvl w:val="0"/>
          <w:numId w:val="1001"/>
        </w:numPr>
      </w:pPr>
      <w:r>
        <w:t xml:space="preserve">Read Dasguta’s Natural Capital</w:t>
      </w:r>
    </w:p>
    <w:p>
      <w:pPr>
        <w:pStyle w:val="Compact"/>
        <w:numPr>
          <w:ilvl w:val="1"/>
          <w:numId w:val="1007"/>
        </w:numPr>
      </w:pPr>
      <w:r>
        <w:t xml:space="preserve">Not too much that I hadn’t already been introduced to</w:t>
      </w:r>
    </w:p>
    <w:p>
      <w:pPr>
        <w:pStyle w:val="Compact"/>
        <w:numPr>
          <w:ilvl w:val="1"/>
          <w:numId w:val="1007"/>
        </w:numPr>
      </w:pPr>
      <w:r>
        <w:t xml:space="preserve">Was a pretty eloquent framing of ecological damage as a</w:t>
      </w:r>
      <w:r>
        <w:t xml:space="preserve"> </w:t>
      </w:r>
      <w:r>
        <w:t xml:space="preserve">“tragedy of the commons”</w:t>
      </w:r>
      <w:r>
        <w:t xml:space="preserve"> </w:t>
      </w:r>
      <w:r>
        <w:t xml:space="preserve">in absence of accurate pricing of natural captial</w:t>
      </w:r>
    </w:p>
    <w:p>
      <w:pPr>
        <w:numPr>
          <w:ilvl w:val="0"/>
          <w:numId w:val="1001"/>
        </w:numPr>
      </w:pPr>
      <w:r>
        <w:t xml:space="preserve">Studied Brodie et al. (2023)</w:t>
      </w:r>
    </w:p>
    <w:p>
      <w:pPr>
        <w:pStyle w:val="Compact"/>
        <w:numPr>
          <w:ilvl w:val="1"/>
          <w:numId w:val="1008"/>
        </w:numPr>
      </w:pPr>
      <w:r>
        <w:t xml:space="preserve">Pretty fascinating how they conclude that PAs can have positive impacts on biodiversity across a landscape</w:t>
      </w:r>
    </w:p>
    <w:p>
      <w:pPr>
        <w:pStyle w:val="Compact"/>
        <w:numPr>
          <w:ilvl w:val="1"/>
          <w:numId w:val="1008"/>
        </w:numPr>
      </w:pPr>
      <w:r>
        <w:t xml:space="preserve">Notably in the case of mammals they find that PAs could lead to safeguarded source populations</w:t>
      </w:r>
    </w:p>
    <w:p>
      <w:pPr>
        <w:pStyle w:val="Compact"/>
        <w:numPr>
          <w:ilvl w:val="2"/>
          <w:numId w:val="1009"/>
        </w:numPr>
      </w:pPr>
      <w:r>
        <w:t xml:space="preserve">That would incur density driven dispersal of animals across a landscape, even if that landscape is degraded habitat</w:t>
      </w:r>
    </w:p>
    <w:p>
      <w:pPr>
        <w:pStyle w:val="Compact"/>
        <w:numPr>
          <w:ilvl w:val="1"/>
          <w:numId w:val="1008"/>
        </w:numPr>
      </w:pPr>
      <w:r>
        <w:t xml:space="preserve">This could mean that even if we see elevated habitat destruction around a project there could nonetheless be positive spillovers for biodiversity in the landscape</w:t>
      </w:r>
    </w:p>
    <w:p>
      <w:pPr>
        <w:pStyle w:val="Compact"/>
        <w:numPr>
          <w:ilvl w:val="2"/>
          <w:numId w:val="1010"/>
        </w:numPr>
      </w:pPr>
      <w:r>
        <w:t xml:space="preserve">Land Sparing wins again?</w:t>
      </w:r>
    </w:p>
    <w:p>
      <w:pPr>
        <w:numPr>
          <w:ilvl w:val="0"/>
          <w:numId w:val="1001"/>
        </w:numPr>
      </w:pPr>
      <w:r>
        <w:t xml:space="preserve">Set up Quarto website for progress tracking</w:t>
      </w:r>
    </w:p>
    <w:p>
      <w:pPr>
        <w:pStyle w:val="Compact"/>
        <w:numPr>
          <w:ilvl w:val="1"/>
          <w:numId w:val="1011"/>
        </w:numPr>
      </w:pPr>
      <w:r>
        <w:t xml:space="preserve">When new reports are made they are automatically rendered as html, word, and pdf formats and added to the site.</w:t>
      </w:r>
    </w:p>
    <w:p>
      <w:pPr>
        <w:numPr>
          <w:ilvl w:val="0"/>
          <w:numId w:val="1001"/>
        </w:numPr>
      </w:pPr>
      <w:r>
        <w:t xml:space="preserve">Began testing PACT V3 if it</w:t>
      </w:r>
    </w:p>
    <w:bookmarkEnd w:id="20"/>
    <w:bookmarkStart w:id="21" w:name="problems-encountered"/>
    <w:p>
      <w:pPr>
        <w:pStyle w:val="Heading2"/>
      </w:pPr>
      <w:r>
        <w:t xml:space="preserve">Problems Encountered</w:t>
      </w:r>
    </w:p>
    <w:p>
      <w:pPr>
        <w:pStyle w:val="Compact"/>
        <w:numPr>
          <w:ilvl w:val="0"/>
          <w:numId w:val="1012"/>
        </w:numPr>
      </w:pPr>
      <w:r>
        <w:t xml:space="preserve">Learning curve with Quarto</w:t>
      </w:r>
    </w:p>
    <w:p>
      <w:pPr>
        <w:pStyle w:val="Compact"/>
        <w:numPr>
          <w:ilvl w:val="0"/>
          <w:numId w:val="1012"/>
        </w:numPr>
      </w:pPr>
      <w:r>
        <w:t xml:space="preserve">Setting up proper file organization</w:t>
      </w:r>
    </w:p>
    <w:bookmarkEnd w:id="21"/>
    <w:bookmarkStart w:id="22" w:name="plans-for-next-week"/>
    <w:p>
      <w:pPr>
        <w:pStyle w:val="Heading2"/>
      </w:pPr>
      <w:r>
        <w:t xml:space="preserve">Plans for Next Week</w:t>
      </w:r>
    </w:p>
    <w:p>
      <w:pPr>
        <w:pStyle w:val="Compact"/>
        <w:numPr>
          <w:ilvl w:val="0"/>
          <w:numId w:val="1013"/>
        </w:numPr>
      </w:pPr>
      <w:r>
        <w:t xml:space="preserve">Create next weekly report</w:t>
      </w:r>
    </w:p>
    <w:p>
      <w:pPr>
        <w:pStyle w:val="Compact"/>
        <w:numPr>
          <w:ilvl w:val="0"/>
          <w:numId w:val="1013"/>
        </w:numPr>
      </w:pPr>
      <w:r>
        <w:t xml:space="preserve">Add more content structure</w:t>
      </w:r>
    </w:p>
    <w:p>
      <w:pPr>
        <w:pStyle w:val="Compact"/>
        <w:numPr>
          <w:ilvl w:val="0"/>
          <w:numId w:val="1013"/>
        </w:numPr>
      </w:pPr>
      <w:r>
        <w:t xml:space="preserve">Begin detailed literature review</w:t>
      </w:r>
    </w:p>
    <w:bookmarkEnd w:id="22"/>
    <w:bookmarkStart w:id="26" w:name="picture-of-the-week"/>
    <w:p>
      <w:pPr>
        <w:pStyle w:val="Heading1"/>
      </w:pPr>
      <w:r>
        <w:t xml:space="preserve">Picture of the Week</w:t>
      </w:r>
    </w:p>
    <w:p>
      <w:pPr>
        <w:pStyle w:val="CaptionedFigure"/>
      </w:pPr>
      <w:r>
        <w:drawing>
          <wp:inline>
            <wp:extent cx="2857500" cy="5080000"/>
            <wp:effectExtent b="0" l="0" r="0" t="0"/>
            <wp:docPr descr="A picture I snapped of the Trinity Great Court Run" title="" id="24" name="Picture"/>
            <a:graphic>
              <a:graphicData uri="http://schemas.openxmlformats.org/drawingml/2006/picture">
                <pic:pic>
                  <pic:nvPicPr>
                    <pic:cNvPr descr="images/clipboard-3378194245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picture I snapped of the Trinity Great Court Run</w:t>
      </w:r>
    </w:p>
    <w:bookmarkEnd w:id="26"/>
    <w:bookmarkStart w:id="30" w:name="download-this-report"/>
    <w:p>
      <w:pPr>
        <w:pStyle w:val="Heading1"/>
      </w:pPr>
      <w:r>
        <w:t xml:space="preserve">Download This Report</w:t>
      </w:r>
    </w:p>
    <w:p>
      <w:pPr>
        <w:pStyle w:val="Compact"/>
        <w:numPr>
          <w:ilvl w:val="0"/>
          <w:numId w:val="1014"/>
        </w:numPr>
      </w:pPr>
      <w:hyperlink r:id="rId27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14"/>
        </w:numPr>
      </w:pPr>
      <w:hyperlink r:id="rId28">
        <w:r>
          <w:rPr>
            <w:rStyle w:val="Hyperlink"/>
          </w:rPr>
          <w:t xml:space="preserve">Word</w:t>
        </w:r>
      </w:hyperlink>
    </w:p>
    <w:p>
      <w:pPr>
        <w:pStyle w:val="Compact"/>
        <w:numPr>
          <w:ilvl w:val="0"/>
          <w:numId w:val="1014"/>
        </w:numPr>
      </w:pPr>
      <w:hyperlink r:id="rId29">
        <w:r>
          <w:rPr>
            <w:rStyle w:val="Hyperlink"/>
          </w:rPr>
          <w:t xml:space="preserve">Back to All Reports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First progress report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9" Target="../progress-reports.html" TargetMode="External" /><Relationship Type="http://schemas.openxmlformats.org/officeDocument/2006/relationships/hyperlink" Id="rId28" Target="251020_week1.docx" TargetMode="External" /><Relationship Type="http://schemas.openxmlformats.org/officeDocument/2006/relationships/hyperlink" Id="rId27" Target="251020_week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progress-reports.html" TargetMode="External" /><Relationship Type="http://schemas.openxmlformats.org/officeDocument/2006/relationships/hyperlink" Id="rId28" Target="251020_week1.docx" TargetMode="External" /><Relationship Type="http://schemas.openxmlformats.org/officeDocument/2006/relationships/hyperlink" Id="rId27" Target="251020_week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Progress Report</dc:title>
  <dc:creator>Jody Holland</dc:creator>
  <cp:keywords/>
  <dcterms:created xsi:type="dcterms:W3CDTF">2025-10-21T15:34:31Z</dcterms:created>
  <dcterms:modified xsi:type="dcterms:W3CDTF">2025-10-21T15:34:31Z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2025-10-20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Getting Started</vt:lpwstr>
  </property>
  <property fmtid="{D5CDD505-2E9C-101B-9397-08002B2CF9AE}" pid="11" name="toc-title">
    <vt:lpwstr>Table of contents</vt:lpwstr>
  </property>
</Properties>
</file>