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E92AB8" w14:textId="0FF01B87" w:rsidR="005C759F" w:rsidRDefault="00131A5B">
      <w:r>
        <w:t>Mini Viva Scripts</w:t>
      </w:r>
    </w:p>
    <w:p w14:paraId="475DB7CA" w14:textId="77777777" w:rsidR="00131A5B" w:rsidRDefault="00131A5B"/>
    <w:p w14:paraId="7EEB45F8" w14:textId="77777777" w:rsidR="005C759F" w:rsidRPr="005C759F" w:rsidRDefault="005C759F" w:rsidP="005C759F">
      <w:pPr>
        <w:spacing w:after="0" w:line="240" w:lineRule="auto"/>
        <w:rPr>
          <w:rFonts w:ascii="Arial" w:eastAsia="Times New Roman" w:hAnsi="Arial" w:cs="Arial"/>
          <w:kern w:val="0"/>
          <w:sz w:val="21"/>
          <w:szCs w:val="21"/>
          <w14:ligatures w14:val="none"/>
        </w:rPr>
      </w:pPr>
      <w:r w:rsidRPr="005C759F">
        <w:rPr>
          <w:rFonts w:ascii="Arial" w:eastAsia="Times New Roman" w:hAnsi="Arial" w:cs="Arial"/>
          <w:b/>
          <w:bCs/>
          <w:kern w:val="0"/>
          <w:sz w:val="21"/>
          <w:szCs w:val="21"/>
          <w14:ligatures w14:val="none"/>
        </w:rPr>
        <w:t>Slide 1: Title Slide (The Anchor)</w:t>
      </w:r>
    </w:p>
    <w:p w14:paraId="14FBE9AE" w14:textId="77777777" w:rsidR="00E67DB2" w:rsidRDefault="00E67DB2" w:rsidP="005C759F">
      <w:pPr>
        <w:spacing w:after="0" w:line="240" w:lineRule="auto"/>
        <w:rPr>
          <w:rFonts w:ascii="Arial" w:eastAsia="Times New Roman" w:hAnsi="Arial" w:cs="Arial"/>
          <w:b/>
          <w:bCs/>
          <w:kern w:val="0"/>
          <w:sz w:val="21"/>
          <w:szCs w:val="21"/>
          <w14:ligatures w14:val="none"/>
        </w:rPr>
      </w:pPr>
    </w:p>
    <w:p w14:paraId="08ABEB5E" w14:textId="77777777" w:rsidR="00E67DB2" w:rsidRDefault="00E67DB2" w:rsidP="00E67DB2">
      <w:pPr>
        <w:spacing w:after="0" w:line="240" w:lineRule="auto"/>
        <w:rPr>
          <w:rFonts w:ascii="Arial" w:eastAsia="Times New Roman" w:hAnsi="Arial" w:cs="Arial"/>
          <w:b/>
          <w:bCs/>
          <w:kern w:val="0"/>
          <w:sz w:val="21"/>
          <w:szCs w:val="21"/>
          <w14:ligatures w14:val="none"/>
        </w:rPr>
      </w:pPr>
    </w:p>
    <w:p w14:paraId="523253A8" w14:textId="77777777" w:rsidR="00E67DB2" w:rsidRPr="00E67DB2" w:rsidRDefault="00E67DB2" w:rsidP="00E67DB2">
      <w:pPr>
        <w:pStyle w:val="ListParagraph"/>
        <w:numPr>
          <w:ilvl w:val="0"/>
          <w:numId w:val="12"/>
        </w:numPr>
        <w:spacing w:before="100" w:beforeAutospacing="1" w:after="100" w:afterAutospacing="1" w:line="240" w:lineRule="auto"/>
        <w:rPr>
          <w:rFonts w:ascii="Arial" w:eastAsia="Times New Roman" w:hAnsi="Arial" w:cs="Arial"/>
          <w:kern w:val="0"/>
          <w:sz w:val="21"/>
          <w:szCs w:val="21"/>
          <w14:ligatures w14:val="none"/>
        </w:rPr>
      </w:pPr>
      <w:r w:rsidRPr="00E67DB2">
        <w:rPr>
          <w:rFonts w:ascii="Arial" w:eastAsia="Times New Roman" w:hAnsi="Arial" w:cs="Arial"/>
          <w:kern w:val="0"/>
          <w:sz w:val="21"/>
          <w:szCs w:val="21"/>
          <w14:ligatures w14:val="none"/>
        </w:rPr>
        <w:t xml:space="preserve">Good morning, members of the panel. Thank you for convening today for this mini-viva examination. My name is King Chan, and today I am defending my doctoral research proposal entitled, </w:t>
      </w:r>
      <w:r w:rsidRPr="00E67DB2">
        <w:rPr>
          <w:rFonts w:ascii="Arial" w:eastAsia="Times New Roman" w:hAnsi="Arial" w:cs="Arial"/>
          <w:i/>
          <w:iCs/>
          <w:kern w:val="0"/>
          <w:sz w:val="21"/>
          <w:szCs w:val="21"/>
          <w14:ligatures w14:val="none"/>
        </w:rPr>
        <w:t>'From Intention to Creation: Entrepreneurial Passion and Ecosystem Support in Hong Kong.'</w:t>
      </w:r>
      <w:r w:rsidRPr="00E67DB2">
        <w:rPr>
          <w:rFonts w:ascii="Arial" w:eastAsia="Times New Roman" w:hAnsi="Arial" w:cs="Arial"/>
          <w:kern w:val="0"/>
          <w:sz w:val="21"/>
          <w:szCs w:val="21"/>
          <w14:ligatures w14:val="none"/>
        </w:rPr>
        <w:t xml:space="preserve"> This study is supervised by [Advisors' Names] within the Plymouth Business School. As a programmer in the Hong Kong Government's Drainage Services Department, I work at the intersection of public service and digital innovation. My background in Computing and my MBA have directly led me to explore how technical open-science frameworks can solve the very human problem of the </w:t>
      </w:r>
      <w:r w:rsidRPr="00E67DB2">
        <w:rPr>
          <w:rFonts w:ascii="Arial" w:eastAsia="Times New Roman" w:hAnsi="Arial" w:cs="Arial"/>
          <w:i/>
          <w:iCs/>
          <w:kern w:val="0"/>
          <w:sz w:val="21"/>
          <w:szCs w:val="21"/>
          <w14:ligatures w14:val="none"/>
        </w:rPr>
        <w:t>'intent–action gap</w:t>
      </w:r>
      <w:r w:rsidRPr="00E67DB2">
        <w:rPr>
          <w:rFonts w:ascii="Arial" w:eastAsia="Times New Roman" w:hAnsi="Arial" w:cs="Arial"/>
          <w:kern w:val="0"/>
          <w:sz w:val="21"/>
          <w:szCs w:val="21"/>
          <w14:ligatures w14:val="none"/>
        </w:rPr>
        <w:t>' in Hong Kong.</w:t>
      </w:r>
    </w:p>
    <w:p w14:paraId="7E7B106E" w14:textId="77777777" w:rsidR="00E67DB2" w:rsidRDefault="00E67DB2" w:rsidP="005C759F">
      <w:pPr>
        <w:spacing w:after="0" w:line="240" w:lineRule="auto"/>
        <w:rPr>
          <w:rFonts w:ascii="Arial" w:eastAsia="Times New Roman" w:hAnsi="Arial" w:cs="Arial"/>
          <w:b/>
          <w:bCs/>
          <w:kern w:val="0"/>
          <w:sz w:val="21"/>
          <w:szCs w:val="21"/>
          <w14:ligatures w14:val="none"/>
        </w:rPr>
      </w:pPr>
    </w:p>
    <w:p w14:paraId="3EEA8A61" w14:textId="1F408145" w:rsidR="005C759F" w:rsidRPr="005C759F" w:rsidRDefault="005C759F" w:rsidP="005C759F">
      <w:pPr>
        <w:spacing w:after="0" w:line="240" w:lineRule="auto"/>
        <w:rPr>
          <w:rFonts w:ascii="Arial" w:eastAsia="Times New Roman" w:hAnsi="Arial" w:cs="Arial"/>
          <w:kern w:val="0"/>
          <w:sz w:val="21"/>
          <w:szCs w:val="21"/>
          <w14:ligatures w14:val="none"/>
        </w:rPr>
      </w:pPr>
      <w:r w:rsidRPr="005C759F">
        <w:rPr>
          <w:rFonts w:ascii="Arial" w:eastAsia="Times New Roman" w:hAnsi="Arial" w:cs="Arial"/>
          <w:b/>
          <w:bCs/>
          <w:kern w:val="0"/>
          <w:sz w:val="21"/>
          <w:szCs w:val="21"/>
          <w14:ligatures w14:val="none"/>
        </w:rPr>
        <w:t xml:space="preserve">Slide 2: Executive Summary (The Map) — </w:t>
      </w:r>
      <w:r w:rsidRPr="005C759F">
        <w:rPr>
          <w:rFonts w:ascii="Arial" w:eastAsia="Times New Roman" w:hAnsi="Arial" w:cs="Arial"/>
          <w:b/>
          <w:bCs/>
          <w:i/>
          <w:iCs/>
          <w:kern w:val="0"/>
          <w:sz w:val="21"/>
          <w:szCs w:val="21"/>
          <w14:ligatures w14:val="none"/>
        </w:rPr>
        <w:t>Spend 60–90 seconds here</w:t>
      </w:r>
    </w:p>
    <w:p w14:paraId="7A8F4318" w14:textId="6D805B10" w:rsidR="005C759F" w:rsidRPr="000A454E" w:rsidRDefault="005C759F" w:rsidP="000A454E">
      <w:pPr>
        <w:pStyle w:val="ListParagraph"/>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A454E">
        <w:rPr>
          <w:rFonts w:ascii="Arial" w:eastAsia="Times New Roman" w:hAnsi="Arial" w:cs="Arial"/>
          <w:kern w:val="0"/>
          <w:sz w:val="21"/>
          <w:szCs w:val="21"/>
          <w14:ligatures w14:val="none"/>
        </w:rPr>
        <w:t>Before diving into the granular institutional dynamics of the empirical field, I want to provide a high-level architectural overview of this dissertation project.</w:t>
      </w:r>
    </w:p>
    <w:p w14:paraId="0750125E" w14:textId="7DA37F93" w:rsidR="005C759F" w:rsidRPr="000A454E" w:rsidRDefault="005C759F" w:rsidP="000A454E">
      <w:pPr>
        <w:pStyle w:val="ListParagraph"/>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A454E">
        <w:rPr>
          <w:rFonts w:ascii="Arial" w:eastAsia="Times New Roman" w:hAnsi="Arial" w:cs="Arial"/>
          <w:b/>
          <w:bCs/>
          <w:kern w:val="0"/>
          <w:sz w:val="21"/>
          <w:szCs w:val="21"/>
          <w14:ligatures w14:val="none"/>
        </w:rPr>
        <w:t>The Problem:</w:t>
      </w:r>
      <w:r w:rsidRPr="000A454E">
        <w:rPr>
          <w:rFonts w:ascii="Arial" w:eastAsia="Times New Roman" w:hAnsi="Arial" w:cs="Arial"/>
          <w:kern w:val="0"/>
          <w:sz w:val="21"/>
          <w:szCs w:val="21"/>
          <w14:ligatures w14:val="none"/>
        </w:rPr>
        <w:t xml:space="preserve"> This study tackles the persistent </w:t>
      </w:r>
      <w:r w:rsidR="008456BA" w:rsidRPr="000A454E">
        <w:rPr>
          <w:rFonts w:ascii="Arial" w:eastAsia="Times New Roman" w:hAnsi="Arial" w:cs="Arial"/>
          <w:kern w:val="0"/>
          <w:sz w:val="21"/>
          <w:szCs w:val="21"/>
          <w14:ligatures w14:val="none"/>
        </w:rPr>
        <w:t>“</w:t>
      </w:r>
      <w:r w:rsidRPr="000A454E">
        <w:rPr>
          <w:rFonts w:ascii="Arial" w:eastAsia="Times New Roman" w:hAnsi="Arial" w:cs="Arial"/>
          <w:i/>
          <w:iCs/>
          <w:kern w:val="0"/>
          <w:sz w:val="21"/>
          <w:szCs w:val="21"/>
          <w14:ligatures w14:val="none"/>
        </w:rPr>
        <w:t>intent–action gap</w:t>
      </w:r>
      <w:r w:rsidR="008456BA" w:rsidRPr="000A454E">
        <w:rPr>
          <w:rFonts w:ascii="Arial" w:eastAsia="Times New Roman" w:hAnsi="Arial" w:cs="Arial"/>
          <w:kern w:val="0"/>
          <w:sz w:val="21"/>
          <w:szCs w:val="21"/>
          <w14:ligatures w14:val="none"/>
        </w:rPr>
        <w:t>”</w:t>
      </w:r>
      <w:r w:rsidRPr="000A454E">
        <w:rPr>
          <w:rFonts w:ascii="Arial" w:eastAsia="Times New Roman" w:hAnsi="Arial" w:cs="Arial"/>
          <w:kern w:val="0"/>
          <w:sz w:val="21"/>
          <w:szCs w:val="21"/>
          <w14:ligatures w14:val="none"/>
        </w:rPr>
        <w:t>—explaining why high entrepreneurial intentions among Hong Kong (“</w:t>
      </w:r>
      <w:r w:rsidRPr="000A454E">
        <w:rPr>
          <w:rFonts w:ascii="Arial" w:eastAsia="Times New Roman" w:hAnsi="Arial" w:cs="Arial"/>
          <w:b/>
          <w:bCs/>
          <w:kern w:val="0"/>
          <w:sz w:val="21"/>
          <w:szCs w:val="21"/>
          <w14:ligatures w14:val="none"/>
        </w:rPr>
        <w:t>HK</w:t>
      </w:r>
      <w:r w:rsidRPr="000A454E">
        <w:rPr>
          <w:rFonts w:ascii="Arial" w:eastAsia="Times New Roman" w:hAnsi="Arial" w:cs="Arial"/>
          <w:kern w:val="0"/>
          <w:sz w:val="21"/>
          <w:szCs w:val="21"/>
          <w14:ligatures w14:val="none"/>
        </w:rPr>
        <w:t>”) students fail to translate into active venture creation.</w:t>
      </w:r>
    </w:p>
    <w:p w14:paraId="0A2953A8" w14:textId="11365B7A" w:rsidR="00F9695B" w:rsidRPr="000A454E" w:rsidRDefault="005C759F" w:rsidP="000A454E">
      <w:pPr>
        <w:pStyle w:val="ListParagraph"/>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A454E">
        <w:rPr>
          <w:rFonts w:ascii="Arial" w:eastAsia="Times New Roman" w:hAnsi="Arial" w:cs="Arial"/>
          <w:b/>
          <w:bCs/>
          <w:kern w:val="0"/>
          <w:sz w:val="21"/>
          <w:szCs w:val="21"/>
          <w14:ligatures w14:val="none"/>
        </w:rPr>
        <w:t>The Framework:</w:t>
      </w:r>
      <w:r w:rsidRPr="000A454E">
        <w:rPr>
          <w:rFonts w:ascii="Arial" w:eastAsia="Times New Roman" w:hAnsi="Arial" w:cs="Arial"/>
          <w:kern w:val="0"/>
          <w:sz w:val="21"/>
          <w:szCs w:val="21"/>
          <w14:ligatures w14:val="none"/>
        </w:rPr>
        <w:t xml:space="preserve"> To solve this, we introduce the Passion Ecosystem Model (</w:t>
      </w:r>
      <w:r w:rsidR="008456BA" w:rsidRPr="000A454E">
        <w:rPr>
          <w:rFonts w:ascii="Arial" w:eastAsia="Times New Roman" w:hAnsi="Arial" w:cs="Arial"/>
          <w:kern w:val="0"/>
          <w:sz w:val="21"/>
          <w:szCs w:val="21"/>
          <w14:ligatures w14:val="none"/>
        </w:rPr>
        <w:t>“</w:t>
      </w:r>
      <w:r w:rsidR="008456BA" w:rsidRPr="000A454E">
        <w:rPr>
          <w:rFonts w:ascii="Arial" w:eastAsia="Times New Roman" w:hAnsi="Arial" w:cs="Arial"/>
          <w:b/>
          <w:bCs/>
          <w:kern w:val="0"/>
          <w:sz w:val="21"/>
          <w:szCs w:val="21"/>
          <w14:ligatures w14:val="none"/>
        </w:rPr>
        <w:t>PEM</w:t>
      </w:r>
      <w:r w:rsidR="008456BA" w:rsidRPr="000A454E">
        <w:rPr>
          <w:rFonts w:ascii="Arial" w:eastAsia="Times New Roman" w:hAnsi="Arial" w:cs="Arial"/>
          <w:kern w:val="0"/>
          <w:sz w:val="21"/>
          <w:szCs w:val="21"/>
          <w14:ligatures w14:val="none"/>
        </w:rPr>
        <w:t>”</w:t>
      </w:r>
      <w:r w:rsidRPr="000A454E">
        <w:rPr>
          <w:rFonts w:ascii="Arial" w:eastAsia="Times New Roman" w:hAnsi="Arial" w:cs="Arial"/>
          <w:kern w:val="0"/>
          <w:sz w:val="21"/>
          <w:szCs w:val="21"/>
          <w14:ligatures w14:val="none"/>
        </w:rPr>
        <w:t xml:space="preserve">), which injects </w:t>
      </w:r>
      <w:r w:rsidR="000A454E" w:rsidRPr="000A454E">
        <w:rPr>
          <w:rFonts w:ascii="Arial" w:eastAsia="Times New Roman" w:hAnsi="Arial" w:cs="Arial"/>
          <w:kern w:val="0"/>
          <w:sz w:val="21"/>
          <w:szCs w:val="21"/>
          <w14:ligatures w14:val="none"/>
        </w:rPr>
        <w:t>“hot”</w:t>
      </w:r>
      <w:r w:rsidRPr="000A454E">
        <w:rPr>
          <w:rFonts w:ascii="Arial" w:eastAsia="Times New Roman" w:hAnsi="Arial" w:cs="Arial"/>
          <w:kern w:val="0"/>
          <w:sz w:val="21"/>
          <w:szCs w:val="21"/>
          <w14:ligatures w14:val="none"/>
        </w:rPr>
        <w:t xml:space="preserve"> affective passion (entrepreneurial passion) into traditional, </w:t>
      </w:r>
      <w:r w:rsidR="000A454E" w:rsidRPr="000A454E">
        <w:rPr>
          <w:rFonts w:ascii="Arial" w:eastAsia="Times New Roman" w:hAnsi="Arial" w:cs="Arial"/>
          <w:kern w:val="0"/>
          <w:sz w:val="21"/>
          <w:szCs w:val="21"/>
          <w14:ligatures w14:val="none"/>
        </w:rPr>
        <w:t xml:space="preserve">“cold” </w:t>
      </w:r>
      <w:r w:rsidRPr="000A454E">
        <w:rPr>
          <w:rFonts w:ascii="Arial" w:eastAsia="Times New Roman" w:hAnsi="Arial" w:cs="Arial"/>
          <w:kern w:val="0"/>
          <w:sz w:val="21"/>
          <w:szCs w:val="21"/>
          <w14:ligatures w14:val="none"/>
        </w:rPr>
        <w:t>socio-cognitive models to override alternative corporate reservation wages.</w:t>
      </w:r>
    </w:p>
    <w:p w14:paraId="5E08A27C" w14:textId="77777777" w:rsidR="000A454E" w:rsidRPr="000A454E" w:rsidRDefault="005C759F" w:rsidP="000A454E">
      <w:pPr>
        <w:pStyle w:val="ListParagraph"/>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A454E">
        <w:rPr>
          <w:rFonts w:ascii="Arial" w:eastAsia="Times New Roman" w:hAnsi="Arial" w:cs="Arial"/>
          <w:b/>
          <w:bCs/>
          <w:kern w:val="0"/>
          <w:sz w:val="21"/>
          <w:szCs w:val="21"/>
          <w14:ligatures w14:val="none"/>
        </w:rPr>
        <w:t>The Method:</w:t>
      </w:r>
      <w:r w:rsidRPr="000A454E">
        <w:rPr>
          <w:rFonts w:ascii="Arial" w:eastAsia="Times New Roman" w:hAnsi="Arial" w:cs="Arial"/>
          <w:kern w:val="0"/>
          <w:sz w:val="21"/>
          <w:szCs w:val="21"/>
          <w14:ligatures w14:val="none"/>
        </w:rPr>
        <w:t xml:space="preserve"> We deploy a two-phase explanatory sequential mixed-methods design, leveraging a robust PLS-SEM quantitative core</w:t>
      </w:r>
      <w:r w:rsidR="004C7458" w:rsidRPr="000A454E">
        <w:rPr>
          <w:sz w:val="21"/>
          <w:szCs w:val="21"/>
          <w:lang w:val="en-GB"/>
        </w:rPr>
        <w:t xml:space="preserve"> (</w:t>
      </w:r>
      <m:oMath>
        <m:r>
          <w:rPr>
            <w:rFonts w:ascii="Cambria Math" w:hAnsi="Cambria Math"/>
            <w:sz w:val="21"/>
            <w:szCs w:val="21"/>
            <w:lang w:val="en-GB"/>
          </w:rPr>
          <m:t>n≥135</m:t>
        </m:r>
      </m:oMath>
      <w:r w:rsidR="004C7458" w:rsidRPr="000A454E">
        <w:rPr>
          <w:sz w:val="21"/>
          <w:szCs w:val="21"/>
          <w:lang w:val="en-GB"/>
        </w:rPr>
        <w:t>)</w:t>
      </w:r>
      <w:r w:rsidR="004C7458" w:rsidRPr="000A454E">
        <w:rPr>
          <w:rFonts w:ascii="Arial" w:eastAsia="Times New Roman" w:hAnsi="Arial" w:cs="Arial"/>
          <w:kern w:val="0"/>
          <w:sz w:val="21"/>
          <w:szCs w:val="21"/>
          <w:lang w:val="en-GB"/>
          <w14:ligatures w14:val="none"/>
        </w:rPr>
        <w:t xml:space="preserve"> </w:t>
      </w:r>
      <w:r w:rsidRPr="000A454E">
        <w:rPr>
          <w:rFonts w:ascii="Arial" w:eastAsia="Times New Roman" w:hAnsi="Arial" w:cs="Arial"/>
          <w:kern w:val="0"/>
          <w:sz w:val="21"/>
          <w:szCs w:val="21"/>
          <w14:ligatures w14:val="none"/>
        </w:rPr>
        <w:t xml:space="preserve">followed by purposive qualitative interviews brokered through official HKMU-DAAO </w:t>
      </w:r>
      <w:r w:rsidR="004D3853" w:rsidRPr="000A454E">
        <w:rPr>
          <w:rFonts w:ascii="Arial" w:eastAsia="Times New Roman" w:hAnsi="Arial" w:cs="Arial"/>
          <w:kern w:val="0"/>
          <w:sz w:val="21"/>
          <w:szCs w:val="21"/>
          <w14:ligatures w14:val="none"/>
        </w:rPr>
        <w:t xml:space="preserve">(Hong Kong Metropolitan University, Development and Alumni Affairs Office) </w:t>
      </w:r>
      <w:r w:rsidRPr="000A454E">
        <w:rPr>
          <w:rFonts w:ascii="Arial" w:eastAsia="Times New Roman" w:hAnsi="Arial" w:cs="Arial"/>
          <w:kern w:val="0"/>
          <w:sz w:val="21"/>
          <w:szCs w:val="21"/>
          <w14:ligatures w14:val="none"/>
        </w:rPr>
        <w:t>incubation channels</w:t>
      </w:r>
      <w:r w:rsidR="000A454E" w:rsidRPr="000A454E">
        <w:rPr>
          <w:rFonts w:ascii="Arial" w:eastAsia="Times New Roman" w:hAnsi="Arial" w:cs="Arial"/>
          <w:kern w:val="0"/>
          <w:sz w:val="21"/>
          <w:szCs w:val="21"/>
          <w14:ligatures w14:val="none"/>
        </w:rPr>
        <w:t>.</w:t>
      </w:r>
    </w:p>
    <w:p w14:paraId="4CF55137" w14:textId="77777777" w:rsidR="000A454E" w:rsidRPr="000A454E" w:rsidRDefault="005C759F" w:rsidP="000A454E">
      <w:pPr>
        <w:pStyle w:val="ListParagraph"/>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A454E">
        <w:rPr>
          <w:rFonts w:ascii="Arial" w:eastAsia="Times New Roman" w:hAnsi="Arial" w:cs="Arial"/>
          <w:b/>
          <w:bCs/>
          <w:kern w:val="0"/>
          <w:sz w:val="21"/>
          <w:szCs w:val="21"/>
          <w14:ligatures w14:val="none"/>
        </w:rPr>
        <w:t>The Contribution:</w:t>
      </w:r>
      <w:r w:rsidRPr="000A454E">
        <w:rPr>
          <w:rFonts w:ascii="Arial" w:eastAsia="Times New Roman" w:hAnsi="Arial" w:cs="Arial"/>
          <w:kern w:val="0"/>
          <w:sz w:val="21"/>
          <w:szCs w:val="21"/>
          <w14:ligatures w14:val="none"/>
        </w:rPr>
        <w:t xml:space="preserve"> Ultimately, we deliver an actionable behavioural framework, a locali</w:t>
      </w:r>
      <w:r w:rsidR="008456BA" w:rsidRPr="000A454E">
        <w:rPr>
          <w:rFonts w:ascii="Arial" w:eastAsia="Times New Roman" w:hAnsi="Arial" w:cs="Arial"/>
          <w:kern w:val="0"/>
          <w:sz w:val="21"/>
          <w:szCs w:val="21"/>
          <w14:ligatures w14:val="none"/>
        </w:rPr>
        <w:t>s</w:t>
      </w:r>
      <w:r w:rsidRPr="000A454E">
        <w:rPr>
          <w:rFonts w:ascii="Arial" w:eastAsia="Times New Roman" w:hAnsi="Arial" w:cs="Arial"/>
          <w:kern w:val="0"/>
          <w:sz w:val="21"/>
          <w:szCs w:val="21"/>
          <w14:ligatures w14:val="none"/>
        </w:rPr>
        <w:t xml:space="preserve">ed institutional benchmark against Western templates like Stanford, and a live, open-science interactive </w:t>
      </w:r>
      <w:r w:rsidR="008456BA" w:rsidRPr="000A454E">
        <w:rPr>
          <w:rFonts w:ascii="Arial" w:eastAsia="Times New Roman" w:hAnsi="Arial" w:cs="Arial"/>
          <w:kern w:val="0"/>
          <w:sz w:val="21"/>
          <w:szCs w:val="21"/>
          <w14:ligatures w14:val="none"/>
        </w:rPr>
        <w:t>systematic literature review (“</w:t>
      </w:r>
      <w:r w:rsidR="008456BA" w:rsidRPr="000A454E">
        <w:rPr>
          <w:rFonts w:ascii="Arial" w:eastAsia="Times New Roman" w:hAnsi="Arial" w:cs="Arial"/>
          <w:b/>
          <w:bCs/>
          <w:kern w:val="0"/>
          <w:sz w:val="21"/>
          <w:szCs w:val="21"/>
          <w14:ligatures w14:val="none"/>
        </w:rPr>
        <w:t>SLR</w:t>
      </w:r>
      <w:r w:rsidR="008456BA" w:rsidRPr="000A454E">
        <w:rPr>
          <w:rFonts w:ascii="Arial" w:eastAsia="Times New Roman" w:hAnsi="Arial" w:cs="Arial"/>
          <w:kern w:val="0"/>
          <w:sz w:val="21"/>
          <w:szCs w:val="21"/>
          <w14:ligatures w14:val="none"/>
        </w:rPr>
        <w:t>”)</w:t>
      </w:r>
      <w:r w:rsidRPr="000A454E">
        <w:rPr>
          <w:rFonts w:ascii="Arial" w:eastAsia="Times New Roman" w:hAnsi="Arial" w:cs="Arial"/>
          <w:kern w:val="0"/>
          <w:sz w:val="21"/>
          <w:szCs w:val="21"/>
          <w14:ligatures w14:val="none"/>
        </w:rPr>
        <w:t xml:space="preserve"> web asset.</w:t>
      </w:r>
    </w:p>
    <w:p w14:paraId="77EC7ACF" w14:textId="7A397DA0" w:rsidR="005C759F" w:rsidRPr="000A454E" w:rsidRDefault="005C759F" w:rsidP="000A454E">
      <w:pPr>
        <w:pStyle w:val="ListParagraph"/>
        <w:numPr>
          <w:ilvl w:val="0"/>
          <w:numId w:val="7"/>
        </w:numPr>
        <w:spacing w:before="100" w:beforeAutospacing="1" w:after="100" w:afterAutospacing="1" w:line="240" w:lineRule="auto"/>
        <w:rPr>
          <w:rFonts w:ascii="Arial" w:eastAsia="Times New Roman" w:hAnsi="Arial" w:cs="Arial"/>
          <w:kern w:val="0"/>
          <w:sz w:val="21"/>
          <w:szCs w:val="21"/>
          <w14:ligatures w14:val="none"/>
        </w:rPr>
      </w:pPr>
      <w:r w:rsidRPr="000A454E">
        <w:rPr>
          <w:rFonts w:ascii="Arial" w:eastAsia="Times New Roman" w:hAnsi="Arial" w:cs="Arial"/>
          <w:kern w:val="0"/>
          <w:sz w:val="21"/>
          <w:szCs w:val="21"/>
          <w14:ligatures w14:val="none"/>
        </w:rPr>
        <w:t>With this baseline established, let us turn to the specific socio-cognitive and macro-institutional paradoxes that define our research setting in Chapter 1...</w:t>
      </w:r>
    </w:p>
    <w:p w14:paraId="4A0DC6D5" w14:textId="1A98FF84" w:rsidR="000A454E" w:rsidRDefault="000A454E" w:rsidP="005C759F">
      <w:pPr>
        <w:rPr>
          <w:rFonts w:ascii="Arial" w:hAnsi="Arial" w:cs="Arial"/>
          <w:sz w:val="21"/>
          <w:szCs w:val="21"/>
        </w:rPr>
      </w:pPr>
      <w:r>
        <w:rPr>
          <w:rStyle w:val="Strong"/>
          <w:rFonts w:ascii="Arial" w:hAnsi="Arial" w:cs="Arial"/>
          <w:sz w:val="21"/>
          <w:szCs w:val="21"/>
        </w:rPr>
        <w:t xml:space="preserve">Slide 3: </w:t>
      </w:r>
      <w:r w:rsidRPr="000A454E">
        <w:rPr>
          <w:rStyle w:val="Strong"/>
          <w:rFonts w:ascii="Arial" w:hAnsi="Arial" w:cs="Arial"/>
          <w:sz w:val="21"/>
          <w:szCs w:val="21"/>
        </w:rPr>
        <w:t>Introduction</w:t>
      </w:r>
      <w:r>
        <w:rPr>
          <w:rStyle w:val="Strong"/>
          <w:rFonts w:ascii="Arial" w:hAnsi="Arial" w:cs="Arial"/>
          <w:sz w:val="21"/>
          <w:szCs w:val="21"/>
        </w:rPr>
        <w:t>: S</w:t>
      </w:r>
      <w:r w:rsidRPr="000A454E">
        <w:rPr>
          <w:rStyle w:val="Strong"/>
          <w:rFonts w:ascii="Arial" w:hAnsi="Arial" w:cs="Arial"/>
          <w:sz w:val="21"/>
          <w:szCs w:val="21"/>
        </w:rPr>
        <w:t xml:space="preserve">tructural </w:t>
      </w:r>
      <w:r>
        <w:rPr>
          <w:rStyle w:val="Strong"/>
          <w:rFonts w:ascii="Arial" w:hAnsi="Arial" w:cs="Arial"/>
          <w:sz w:val="21"/>
          <w:szCs w:val="21"/>
        </w:rPr>
        <w:t>C</w:t>
      </w:r>
      <w:r w:rsidRPr="000A454E">
        <w:rPr>
          <w:rStyle w:val="Strong"/>
          <w:rFonts w:ascii="Arial" w:hAnsi="Arial" w:cs="Arial"/>
          <w:sz w:val="21"/>
          <w:szCs w:val="21"/>
        </w:rPr>
        <w:t xml:space="preserve">ontext and </w:t>
      </w:r>
      <w:r>
        <w:rPr>
          <w:rStyle w:val="Strong"/>
          <w:rFonts w:ascii="Arial" w:hAnsi="Arial" w:cs="Arial"/>
          <w:sz w:val="21"/>
          <w:szCs w:val="21"/>
        </w:rPr>
        <w:t>C</w:t>
      </w:r>
      <w:r w:rsidRPr="000A454E">
        <w:rPr>
          <w:rStyle w:val="Strong"/>
          <w:rFonts w:ascii="Arial" w:hAnsi="Arial" w:cs="Arial"/>
          <w:sz w:val="21"/>
          <w:szCs w:val="21"/>
        </w:rPr>
        <w:t xml:space="preserve">ore </w:t>
      </w:r>
      <w:r>
        <w:rPr>
          <w:rStyle w:val="Strong"/>
          <w:rFonts w:ascii="Arial" w:hAnsi="Arial" w:cs="Arial"/>
          <w:sz w:val="21"/>
          <w:szCs w:val="21"/>
        </w:rPr>
        <w:t>E</w:t>
      </w:r>
      <w:r w:rsidRPr="000A454E">
        <w:rPr>
          <w:rStyle w:val="Strong"/>
          <w:rFonts w:ascii="Arial" w:hAnsi="Arial" w:cs="Arial"/>
          <w:sz w:val="21"/>
          <w:szCs w:val="21"/>
        </w:rPr>
        <w:t xml:space="preserve">conomic </w:t>
      </w:r>
      <w:r>
        <w:rPr>
          <w:rStyle w:val="Strong"/>
          <w:rFonts w:ascii="Arial" w:hAnsi="Arial" w:cs="Arial"/>
          <w:sz w:val="21"/>
          <w:szCs w:val="21"/>
        </w:rPr>
        <w:t>P</w:t>
      </w:r>
      <w:r w:rsidRPr="000A454E">
        <w:rPr>
          <w:rStyle w:val="Strong"/>
          <w:rFonts w:ascii="Arial" w:hAnsi="Arial" w:cs="Arial"/>
          <w:sz w:val="21"/>
          <w:szCs w:val="21"/>
        </w:rPr>
        <w:t>aradox</w:t>
      </w:r>
    </w:p>
    <w:p w14:paraId="42866E69" w14:textId="05DD25C6" w:rsidR="000A454E" w:rsidRPr="00E67DB2" w:rsidRDefault="000A454E" w:rsidP="00E67DB2">
      <w:pPr>
        <w:pStyle w:val="ListParagraph"/>
        <w:numPr>
          <w:ilvl w:val="0"/>
          <w:numId w:val="11"/>
        </w:numPr>
        <w:rPr>
          <w:rFonts w:ascii="Arial" w:hAnsi="Arial" w:cs="Arial"/>
          <w:sz w:val="21"/>
          <w:szCs w:val="21"/>
        </w:rPr>
      </w:pPr>
      <w:r w:rsidRPr="00E67DB2">
        <w:rPr>
          <w:rFonts w:ascii="Arial" w:hAnsi="Arial" w:cs="Arial"/>
          <w:sz w:val="21"/>
          <w:szCs w:val="21"/>
        </w:rPr>
        <w:t>Moving into the introduction, Slide 3 outlines the structural context and the core economic paradox of this study, split across our theoretical parameters on the left and institutional realities on the right.</w:t>
      </w:r>
    </w:p>
    <w:p w14:paraId="436A61A8" w14:textId="77777777" w:rsidR="000A454E" w:rsidRPr="00E67DB2" w:rsidRDefault="000A454E" w:rsidP="00E67DB2">
      <w:pPr>
        <w:pStyle w:val="ListParagraph"/>
        <w:numPr>
          <w:ilvl w:val="0"/>
          <w:numId w:val="11"/>
        </w:numPr>
        <w:rPr>
          <w:rFonts w:ascii="Arial" w:hAnsi="Arial" w:cs="Arial"/>
          <w:sz w:val="21"/>
          <w:szCs w:val="21"/>
        </w:rPr>
      </w:pPr>
      <w:r w:rsidRPr="00E67DB2">
        <w:rPr>
          <w:rFonts w:ascii="Arial" w:hAnsi="Arial" w:cs="Arial"/>
          <w:sz w:val="21"/>
          <w:szCs w:val="21"/>
        </w:rPr>
        <w:t xml:space="preserve">On the left, we map out the foundational tension within contemporary entrepreneurship theory: the conflict between Schumpeterian </w:t>
      </w:r>
      <w:r w:rsidRPr="00E67DB2">
        <w:rPr>
          <w:rStyle w:val="Strong"/>
          <w:rFonts w:ascii="Arial" w:hAnsi="Arial" w:cs="Arial"/>
          <w:sz w:val="21"/>
          <w:szCs w:val="21"/>
        </w:rPr>
        <w:t>Creation Theory</w:t>
      </w:r>
      <w:r w:rsidRPr="00E67DB2">
        <w:rPr>
          <w:rFonts w:ascii="Arial" w:hAnsi="Arial" w:cs="Arial"/>
          <w:sz w:val="21"/>
          <w:szCs w:val="21"/>
        </w:rPr>
        <w:t xml:space="preserve"> and </w:t>
      </w:r>
      <w:proofErr w:type="spellStart"/>
      <w:r w:rsidRPr="00E67DB2">
        <w:rPr>
          <w:rFonts w:ascii="Arial" w:hAnsi="Arial" w:cs="Arial"/>
          <w:sz w:val="21"/>
          <w:szCs w:val="21"/>
        </w:rPr>
        <w:t>Kirznerian</w:t>
      </w:r>
      <w:proofErr w:type="spellEnd"/>
      <w:r w:rsidRPr="00E67DB2">
        <w:rPr>
          <w:rFonts w:ascii="Arial" w:hAnsi="Arial" w:cs="Arial"/>
          <w:sz w:val="21"/>
          <w:szCs w:val="21"/>
        </w:rPr>
        <w:t xml:space="preserve"> </w:t>
      </w:r>
      <w:r w:rsidRPr="00E67DB2">
        <w:rPr>
          <w:rStyle w:val="Strong"/>
          <w:rFonts w:ascii="Arial" w:hAnsi="Arial" w:cs="Arial"/>
          <w:sz w:val="21"/>
          <w:szCs w:val="21"/>
        </w:rPr>
        <w:t>Discovery Theory</w:t>
      </w:r>
      <w:r w:rsidRPr="00E67DB2">
        <w:rPr>
          <w:rFonts w:ascii="Arial" w:hAnsi="Arial" w:cs="Arial"/>
          <w:sz w:val="21"/>
          <w:szCs w:val="21"/>
        </w:rPr>
        <w:t xml:space="preserve">. While </w:t>
      </w:r>
      <w:proofErr w:type="spellStart"/>
      <w:r w:rsidRPr="00E67DB2">
        <w:rPr>
          <w:rFonts w:ascii="Arial" w:hAnsi="Arial" w:cs="Arial"/>
          <w:sz w:val="21"/>
          <w:szCs w:val="21"/>
        </w:rPr>
        <w:t>Kirznerian</w:t>
      </w:r>
      <w:proofErr w:type="spellEnd"/>
      <w:r w:rsidRPr="00E67DB2">
        <w:rPr>
          <w:rFonts w:ascii="Arial" w:hAnsi="Arial" w:cs="Arial"/>
          <w:sz w:val="21"/>
          <w:szCs w:val="21"/>
        </w:rPr>
        <w:t xml:space="preserve"> discovery relies on individual alertness to exploit existing market inefficiencies through imitative arbitrage, a systemic over-reliance on imitation risks rapid market saturation and low ecosystem differentiation. To </w:t>
      </w:r>
      <w:proofErr w:type="spellStart"/>
      <w:r w:rsidRPr="00E67DB2">
        <w:rPr>
          <w:rFonts w:ascii="Arial" w:hAnsi="Arial" w:cs="Arial"/>
          <w:sz w:val="21"/>
          <w:szCs w:val="21"/>
        </w:rPr>
        <w:t>catalyze</w:t>
      </w:r>
      <w:proofErr w:type="spellEnd"/>
      <w:r w:rsidRPr="00E67DB2">
        <w:rPr>
          <w:rFonts w:ascii="Arial" w:hAnsi="Arial" w:cs="Arial"/>
          <w:sz w:val="21"/>
          <w:szCs w:val="21"/>
        </w:rPr>
        <w:t xml:space="preserve"> deep industrial transformation within an innovation corridor, we require radical Schumpeterian </w:t>
      </w:r>
      <w:r w:rsidRPr="00E67DB2">
        <w:rPr>
          <w:rStyle w:val="Strong"/>
          <w:rFonts w:ascii="Arial" w:hAnsi="Arial" w:cs="Arial"/>
          <w:sz w:val="21"/>
          <w:szCs w:val="21"/>
        </w:rPr>
        <w:t>creative destruction</w:t>
      </w:r>
      <w:r w:rsidRPr="00E67DB2">
        <w:rPr>
          <w:rFonts w:ascii="Arial" w:hAnsi="Arial" w:cs="Arial"/>
          <w:sz w:val="21"/>
          <w:szCs w:val="21"/>
        </w:rPr>
        <w:t>—shifting the focus toward innovation-oriented venture creation.</w:t>
      </w:r>
    </w:p>
    <w:p w14:paraId="74505051" w14:textId="77777777" w:rsidR="000A454E" w:rsidRPr="00E67DB2" w:rsidRDefault="000A454E" w:rsidP="00E67DB2">
      <w:pPr>
        <w:pStyle w:val="ListParagraph"/>
        <w:numPr>
          <w:ilvl w:val="0"/>
          <w:numId w:val="11"/>
        </w:numPr>
        <w:rPr>
          <w:rFonts w:ascii="Arial" w:hAnsi="Arial" w:cs="Arial"/>
          <w:sz w:val="21"/>
          <w:szCs w:val="21"/>
        </w:rPr>
      </w:pPr>
      <w:r w:rsidRPr="00E67DB2">
        <w:rPr>
          <w:rFonts w:ascii="Arial" w:hAnsi="Arial" w:cs="Arial"/>
          <w:sz w:val="21"/>
          <w:szCs w:val="21"/>
        </w:rPr>
        <w:t xml:space="preserve">My positionality here is grounded in </w:t>
      </w:r>
      <w:r w:rsidRPr="00E67DB2">
        <w:rPr>
          <w:rStyle w:val="Strong"/>
          <w:rFonts w:ascii="Arial" w:hAnsi="Arial" w:cs="Arial"/>
          <w:sz w:val="21"/>
          <w:szCs w:val="21"/>
        </w:rPr>
        <w:t>Programmer Analytics</w:t>
      </w:r>
      <w:r w:rsidRPr="00E67DB2">
        <w:rPr>
          <w:rFonts w:ascii="Arial" w:hAnsi="Arial" w:cs="Arial"/>
          <w:sz w:val="21"/>
          <w:szCs w:val="21"/>
        </w:rPr>
        <w:t xml:space="preserve">. As a software </w:t>
      </w:r>
      <w:proofErr w:type="spellStart"/>
      <w:r w:rsidRPr="00E67DB2">
        <w:rPr>
          <w:rFonts w:ascii="Arial" w:hAnsi="Arial" w:cs="Arial"/>
          <w:sz w:val="21"/>
          <w:szCs w:val="21"/>
        </w:rPr>
        <w:t>programmer</w:t>
      </w:r>
      <w:proofErr w:type="spellEnd"/>
      <w:r w:rsidRPr="00E67DB2">
        <w:rPr>
          <w:rFonts w:ascii="Arial" w:hAnsi="Arial" w:cs="Arial"/>
          <w:sz w:val="21"/>
          <w:szCs w:val="21"/>
        </w:rPr>
        <w:t xml:space="preserve"> within the HKSAR government, I operate as a scholar-practitioner. This provides me with </w:t>
      </w:r>
      <w:r w:rsidRPr="00E67DB2">
        <w:rPr>
          <w:rFonts w:ascii="Arial" w:hAnsi="Arial" w:cs="Arial"/>
          <w:sz w:val="21"/>
          <w:szCs w:val="21"/>
        </w:rPr>
        <w:lastRenderedPageBreak/>
        <w:t xml:space="preserve">a highly data-literate lens to </w:t>
      </w:r>
      <w:proofErr w:type="spellStart"/>
      <w:r w:rsidRPr="00E67DB2">
        <w:rPr>
          <w:rFonts w:ascii="Arial" w:hAnsi="Arial" w:cs="Arial"/>
          <w:sz w:val="21"/>
          <w:szCs w:val="21"/>
        </w:rPr>
        <w:t>analyze</w:t>
      </w:r>
      <w:proofErr w:type="spellEnd"/>
      <w:r w:rsidRPr="00E67DB2">
        <w:rPr>
          <w:rFonts w:ascii="Arial" w:hAnsi="Arial" w:cs="Arial"/>
          <w:sz w:val="21"/>
          <w:szCs w:val="21"/>
        </w:rPr>
        <w:t xml:space="preserve"> why large-scale, macro-level technical infrastructure investments face critical bottlenecks when scaling down to micro-level human execution.</w:t>
      </w:r>
    </w:p>
    <w:p w14:paraId="7DB6EC4D" w14:textId="0A42A04D" w:rsidR="000A454E" w:rsidRPr="00E67DB2" w:rsidRDefault="000A454E" w:rsidP="00E67DB2">
      <w:pPr>
        <w:pStyle w:val="ListParagraph"/>
        <w:numPr>
          <w:ilvl w:val="0"/>
          <w:numId w:val="11"/>
        </w:numPr>
        <w:rPr>
          <w:rFonts w:ascii="Arial" w:hAnsi="Arial" w:cs="Arial"/>
          <w:sz w:val="21"/>
          <w:szCs w:val="21"/>
        </w:rPr>
      </w:pPr>
      <w:r w:rsidRPr="00E67DB2">
        <w:rPr>
          <w:rFonts w:ascii="Arial" w:hAnsi="Arial" w:cs="Arial"/>
          <w:sz w:val="21"/>
          <w:szCs w:val="21"/>
        </w:rPr>
        <w:t xml:space="preserve">This exact friction brings us directly to the right column: </w:t>
      </w:r>
      <w:r w:rsidRPr="00E67DB2">
        <w:rPr>
          <w:rStyle w:val="Strong"/>
          <w:rFonts w:ascii="Arial" w:hAnsi="Arial" w:cs="Arial"/>
          <w:sz w:val="21"/>
          <w:szCs w:val="21"/>
        </w:rPr>
        <w:t>The Hong Kong–GBA Institutional Matrix</w:t>
      </w:r>
      <w:r w:rsidRPr="00E67DB2">
        <w:rPr>
          <w:rFonts w:ascii="Arial" w:hAnsi="Arial" w:cs="Arial"/>
          <w:sz w:val="21"/>
          <w:szCs w:val="21"/>
        </w:rPr>
        <w:t>. If we look at the current 2026 metrics, Hong Kong’s macro-ecosystem is experiencing a powerful structural acceleration. The Global Startup Ecosystem Index (“</w:t>
      </w:r>
      <w:r w:rsidRPr="00E67DB2">
        <w:rPr>
          <w:rFonts w:ascii="Arial" w:hAnsi="Arial" w:cs="Arial"/>
          <w:b/>
          <w:bCs/>
          <w:sz w:val="21"/>
          <w:szCs w:val="21"/>
        </w:rPr>
        <w:t>GSEI</w:t>
      </w:r>
      <w:r w:rsidRPr="00E67DB2">
        <w:rPr>
          <w:rFonts w:ascii="Arial" w:hAnsi="Arial" w:cs="Arial"/>
          <w:sz w:val="21"/>
          <w:szCs w:val="21"/>
        </w:rPr>
        <w:t>”) ranks Hong Kong 35th globally, powered by a massive 26.6% annual surge in its absolute score and a footprint of over 4,600 active startups.</w:t>
      </w:r>
    </w:p>
    <w:p w14:paraId="690AC3E9" w14:textId="77777777" w:rsidR="000A454E" w:rsidRPr="00E67DB2" w:rsidRDefault="000A454E" w:rsidP="00E67DB2">
      <w:pPr>
        <w:pStyle w:val="ListParagraph"/>
        <w:numPr>
          <w:ilvl w:val="0"/>
          <w:numId w:val="11"/>
        </w:numPr>
        <w:rPr>
          <w:rFonts w:ascii="Arial" w:hAnsi="Arial" w:cs="Arial"/>
          <w:sz w:val="21"/>
          <w:szCs w:val="21"/>
        </w:rPr>
      </w:pPr>
      <w:r w:rsidRPr="00E67DB2">
        <w:rPr>
          <w:rFonts w:ascii="Arial" w:hAnsi="Arial" w:cs="Arial"/>
          <w:sz w:val="21"/>
          <w:szCs w:val="21"/>
        </w:rPr>
        <w:t xml:space="preserve">Yet, here lies our core institutional paradox: this robust macroeconomic capitalization is failing to naturally activate a corresponding volume of organic student venture creation. Under Institutional Theory, we see that Hong Kong’s hyper-free economy and lucrative corporate career pathways artificially inflate a university graduate's </w:t>
      </w:r>
      <w:r w:rsidRPr="00E67DB2">
        <w:rPr>
          <w:rStyle w:val="Strong"/>
          <w:rFonts w:ascii="Arial" w:hAnsi="Arial" w:cs="Arial"/>
          <w:sz w:val="21"/>
          <w:szCs w:val="21"/>
        </w:rPr>
        <w:t>reservation wage</w:t>
      </w:r>
      <w:r w:rsidRPr="00E67DB2">
        <w:rPr>
          <w:rFonts w:ascii="Arial" w:hAnsi="Arial" w:cs="Arial"/>
          <w:sz w:val="21"/>
          <w:szCs w:val="21"/>
        </w:rPr>
        <w:t>. When weighed against exorbitant local living costs and risk-averse cultural frictions, our premium youth talent faces immense opportunity costs. They rationally choose secure corporate trajectories over high-uncertainty startups.</w:t>
      </w:r>
    </w:p>
    <w:p w14:paraId="7230A606" w14:textId="6D943038" w:rsidR="000A454E" w:rsidRPr="00E67DB2" w:rsidRDefault="000A454E" w:rsidP="00E67DB2">
      <w:pPr>
        <w:pStyle w:val="ListParagraph"/>
        <w:numPr>
          <w:ilvl w:val="0"/>
          <w:numId w:val="11"/>
        </w:numPr>
        <w:rPr>
          <w:rFonts w:ascii="Arial" w:eastAsia="Times New Roman" w:hAnsi="Arial" w:cs="Arial"/>
          <w:kern w:val="0"/>
          <w:sz w:val="21"/>
          <w:szCs w:val="21"/>
          <w14:ligatures w14:val="none"/>
        </w:rPr>
      </w:pPr>
      <w:r w:rsidRPr="00E67DB2">
        <w:rPr>
          <w:rFonts w:ascii="Arial" w:hAnsi="Arial" w:cs="Arial"/>
          <w:sz w:val="21"/>
          <w:szCs w:val="21"/>
        </w:rPr>
        <w:t>Because traditional cognitive models fail to explain how students override this economic downside, this dissertation introduces an affective engine to bridge this gap. Let us turn to Slide 4 to examine our Problem Statement and Mixed-Methods architecture..."</w:t>
      </w:r>
    </w:p>
    <w:p w14:paraId="7AB919D9" w14:textId="77777777" w:rsidR="000A454E" w:rsidRDefault="000A454E" w:rsidP="005C759F">
      <w:pPr>
        <w:rPr>
          <w:rFonts w:ascii="Arial" w:eastAsia="Times New Roman" w:hAnsi="Arial" w:cs="Arial"/>
          <w:kern w:val="0"/>
          <w:sz w:val="21"/>
          <w:szCs w:val="21"/>
          <w14:ligatures w14:val="none"/>
        </w:rPr>
      </w:pPr>
    </w:p>
    <w:p w14:paraId="6560670B" w14:textId="77777777" w:rsidR="00F05181" w:rsidRDefault="000A454E" w:rsidP="005C759F">
      <w:pPr>
        <w:rPr>
          <w:rStyle w:val="Strong"/>
          <w:rFonts w:ascii="Arial" w:hAnsi="Arial" w:cs="Arial"/>
          <w:sz w:val="21"/>
          <w:szCs w:val="21"/>
        </w:rPr>
      </w:pPr>
      <w:r>
        <w:rPr>
          <w:rStyle w:val="Strong"/>
          <w:rFonts w:ascii="Arial" w:hAnsi="Arial" w:cs="Arial"/>
          <w:sz w:val="21"/>
          <w:szCs w:val="21"/>
        </w:rPr>
        <w:t xml:space="preserve">Slide 4 </w:t>
      </w:r>
      <w:r w:rsidR="00F05181">
        <w:rPr>
          <w:rStyle w:val="Strong"/>
          <w:rFonts w:ascii="Arial" w:hAnsi="Arial" w:cs="Arial"/>
          <w:sz w:val="21"/>
          <w:szCs w:val="21"/>
        </w:rPr>
        <w:t xml:space="preserve">Introduction: Problem Statement and Research Design </w:t>
      </w:r>
    </w:p>
    <w:p w14:paraId="3AA513D2" w14:textId="2CB7090E" w:rsidR="000A454E" w:rsidRPr="00887D06" w:rsidRDefault="000A454E" w:rsidP="00887D06">
      <w:pPr>
        <w:pStyle w:val="ListParagraph"/>
        <w:numPr>
          <w:ilvl w:val="0"/>
          <w:numId w:val="13"/>
        </w:numPr>
        <w:rPr>
          <w:rFonts w:ascii="Arial" w:hAnsi="Arial" w:cs="Arial"/>
          <w:sz w:val="21"/>
          <w:szCs w:val="21"/>
        </w:rPr>
      </w:pPr>
      <w:r w:rsidRPr="00887D06">
        <w:rPr>
          <w:rFonts w:ascii="Arial" w:hAnsi="Arial" w:cs="Arial"/>
          <w:sz w:val="21"/>
          <w:szCs w:val="21"/>
        </w:rPr>
        <w:t>Building on the institutional paradox we just established, Slide 4 introduces the core Problem Statement and the corresponding Mixed-Methods Research Design.</w:t>
      </w:r>
    </w:p>
    <w:p w14:paraId="25FD5888" w14:textId="77777777" w:rsidR="000A454E" w:rsidRPr="00887D06" w:rsidRDefault="000A454E" w:rsidP="00887D06">
      <w:pPr>
        <w:pStyle w:val="ListParagraph"/>
        <w:numPr>
          <w:ilvl w:val="0"/>
          <w:numId w:val="13"/>
        </w:numPr>
        <w:rPr>
          <w:rFonts w:ascii="Arial" w:hAnsi="Arial" w:cs="Arial"/>
          <w:sz w:val="21"/>
          <w:szCs w:val="21"/>
        </w:rPr>
      </w:pPr>
      <w:r w:rsidRPr="00887D06">
        <w:rPr>
          <w:rFonts w:ascii="Arial" w:hAnsi="Arial" w:cs="Arial"/>
          <w:sz w:val="21"/>
          <w:szCs w:val="21"/>
        </w:rPr>
        <w:t xml:space="preserve">Looking at the left column, we confront the </w:t>
      </w:r>
      <w:r w:rsidRPr="00887D06">
        <w:rPr>
          <w:rStyle w:val="Strong"/>
          <w:rFonts w:ascii="Arial" w:hAnsi="Arial" w:cs="Arial"/>
          <w:sz w:val="21"/>
          <w:szCs w:val="21"/>
        </w:rPr>
        <w:t>'Intent–Action Gap.'</w:t>
      </w:r>
      <w:r w:rsidRPr="00887D06">
        <w:rPr>
          <w:rFonts w:ascii="Arial" w:hAnsi="Arial" w:cs="Arial"/>
          <w:sz w:val="21"/>
          <w:szCs w:val="21"/>
        </w:rPr>
        <w:t xml:space="preserve"> When auditing the localized literature to understand why Hong Kong's student ecosystem underperforms, we find a deep conceptual silo. Regional research relies on what I call a 'cold cognitive hyper-focus.' By repeatedly applying static models of the traditional Theory of Planned Behaviour, existing studies continually verify that students have the </w:t>
      </w:r>
      <w:r w:rsidRPr="00887D06">
        <w:rPr>
          <w:rStyle w:val="Emphasis"/>
          <w:rFonts w:ascii="Arial" w:hAnsi="Arial" w:cs="Arial"/>
          <w:sz w:val="21"/>
          <w:szCs w:val="21"/>
        </w:rPr>
        <w:t>intent</w:t>
      </w:r>
      <w:r w:rsidRPr="00887D06">
        <w:rPr>
          <w:rFonts w:ascii="Arial" w:hAnsi="Arial" w:cs="Arial"/>
          <w:sz w:val="21"/>
          <w:szCs w:val="21"/>
        </w:rPr>
        <w:t xml:space="preserve"> to create, but completely fail to explain why those intentions stall.</w:t>
      </w:r>
    </w:p>
    <w:p w14:paraId="6A1D7172" w14:textId="77777777" w:rsidR="000A454E" w:rsidRPr="00887D06" w:rsidRDefault="000A454E" w:rsidP="00887D06">
      <w:pPr>
        <w:pStyle w:val="ListParagraph"/>
        <w:numPr>
          <w:ilvl w:val="0"/>
          <w:numId w:val="13"/>
        </w:numPr>
        <w:rPr>
          <w:rFonts w:ascii="Arial" w:hAnsi="Arial" w:cs="Arial"/>
          <w:sz w:val="21"/>
          <w:szCs w:val="21"/>
        </w:rPr>
      </w:pPr>
      <w:r w:rsidRPr="00887D06">
        <w:rPr>
          <w:rFonts w:ascii="Arial" w:hAnsi="Arial" w:cs="Arial"/>
          <w:sz w:val="21"/>
          <w:szCs w:val="21"/>
        </w:rPr>
        <w:t xml:space="preserve">Moving from an idea to actual market entry is not just a rational economic calculation. It requires an </w:t>
      </w:r>
      <w:r w:rsidRPr="00887D06">
        <w:rPr>
          <w:rStyle w:val="Strong"/>
          <w:rFonts w:ascii="Arial" w:hAnsi="Arial" w:cs="Arial"/>
          <w:sz w:val="21"/>
          <w:szCs w:val="21"/>
        </w:rPr>
        <w:t>Affective Engine</w:t>
      </w:r>
      <w:r w:rsidRPr="00887D06">
        <w:rPr>
          <w:rFonts w:ascii="Arial" w:hAnsi="Arial" w:cs="Arial"/>
          <w:sz w:val="21"/>
          <w:szCs w:val="21"/>
        </w:rPr>
        <w:t xml:space="preserve">. As global benchmarks demonstrate, Entrepreneurial Passion—specifically passion for inventing and founding—is the vital psychological fuel required to override the high reservation wages and opportunity costs unique to Hong Kong graduates. Compounding this, we find a profound </w:t>
      </w:r>
      <w:r w:rsidRPr="00887D06">
        <w:rPr>
          <w:rStyle w:val="Strong"/>
          <w:rFonts w:ascii="Arial" w:hAnsi="Arial" w:cs="Arial"/>
          <w:sz w:val="21"/>
          <w:szCs w:val="21"/>
        </w:rPr>
        <w:t>Institutional Lacuna</w:t>
      </w:r>
      <w:r w:rsidRPr="00887D06">
        <w:rPr>
          <w:rFonts w:ascii="Arial" w:hAnsi="Arial" w:cs="Arial"/>
          <w:sz w:val="21"/>
          <w:szCs w:val="21"/>
        </w:rPr>
        <w:t>, where macroeconomic frameworks like Knowledge Spillover Theory and Institutional Theory have near-zero empirical representation within our local student data.</w:t>
      </w:r>
    </w:p>
    <w:p w14:paraId="46176E77" w14:textId="77777777" w:rsidR="000A454E" w:rsidRPr="00887D06" w:rsidRDefault="000A454E" w:rsidP="00887D06">
      <w:pPr>
        <w:pStyle w:val="ListParagraph"/>
        <w:numPr>
          <w:ilvl w:val="0"/>
          <w:numId w:val="13"/>
        </w:numPr>
        <w:rPr>
          <w:rFonts w:ascii="Arial" w:hAnsi="Arial" w:cs="Arial"/>
          <w:sz w:val="21"/>
          <w:szCs w:val="21"/>
        </w:rPr>
      </w:pPr>
      <w:r w:rsidRPr="00887D06">
        <w:rPr>
          <w:rFonts w:ascii="Arial" w:hAnsi="Arial" w:cs="Arial"/>
          <w:sz w:val="21"/>
          <w:szCs w:val="21"/>
        </w:rPr>
        <w:t>To resolve this empirical deficit, the right column maps out our dual-phase, explanatory sequential research design.</w:t>
      </w:r>
    </w:p>
    <w:p w14:paraId="69C4B578" w14:textId="77777777" w:rsidR="000A454E" w:rsidRPr="00887D06" w:rsidRDefault="000A454E" w:rsidP="00887D06">
      <w:pPr>
        <w:pStyle w:val="ListParagraph"/>
        <w:numPr>
          <w:ilvl w:val="0"/>
          <w:numId w:val="13"/>
        </w:numPr>
        <w:rPr>
          <w:rFonts w:ascii="Arial" w:hAnsi="Arial" w:cs="Arial"/>
          <w:sz w:val="21"/>
          <w:szCs w:val="21"/>
        </w:rPr>
      </w:pPr>
      <w:r w:rsidRPr="00887D06">
        <w:rPr>
          <w:rFonts w:ascii="Arial" w:hAnsi="Arial" w:cs="Arial"/>
          <w:sz w:val="21"/>
          <w:szCs w:val="21"/>
        </w:rPr>
        <w:t xml:space="preserve">Our </w:t>
      </w:r>
      <w:r w:rsidRPr="00887D06">
        <w:rPr>
          <w:rStyle w:val="Strong"/>
          <w:rFonts w:ascii="Arial" w:hAnsi="Arial" w:cs="Arial"/>
          <w:sz w:val="21"/>
          <w:szCs w:val="21"/>
        </w:rPr>
        <w:t>Core Objective</w:t>
      </w:r>
      <w:r w:rsidRPr="00887D06">
        <w:rPr>
          <w:rFonts w:ascii="Arial" w:hAnsi="Arial" w:cs="Arial"/>
          <w:sz w:val="21"/>
          <w:szCs w:val="21"/>
        </w:rPr>
        <w:t xml:space="preserve"> is to explicitly deconstruct the multi-level, socio-cognitive mechanisms that can bridge this gap and translate passive student intentions into active market entries within the HK–GBA corridor.</w:t>
      </w:r>
    </w:p>
    <w:p w14:paraId="5A2CE48B" w14:textId="77777777" w:rsidR="000A454E" w:rsidRPr="00887D06" w:rsidRDefault="000A454E" w:rsidP="00887D06">
      <w:pPr>
        <w:pStyle w:val="ListParagraph"/>
        <w:numPr>
          <w:ilvl w:val="0"/>
          <w:numId w:val="13"/>
        </w:numPr>
        <w:rPr>
          <w:rFonts w:ascii="Arial" w:hAnsi="Arial" w:cs="Arial"/>
          <w:sz w:val="21"/>
          <w:szCs w:val="21"/>
        </w:rPr>
      </w:pPr>
      <w:r w:rsidRPr="00887D06">
        <w:rPr>
          <w:rFonts w:ascii="Arial" w:hAnsi="Arial" w:cs="Arial"/>
          <w:sz w:val="21"/>
          <w:szCs w:val="21"/>
        </w:rPr>
        <w:t xml:space="preserve">In </w:t>
      </w:r>
      <w:r w:rsidRPr="00887D06">
        <w:rPr>
          <w:rStyle w:val="Strong"/>
          <w:rFonts w:ascii="Arial" w:hAnsi="Arial" w:cs="Arial"/>
          <w:sz w:val="21"/>
          <w:szCs w:val="21"/>
        </w:rPr>
        <w:t>Phase 1, our Quantitative Engine</w:t>
      </w:r>
      <w:r w:rsidRPr="00887D06">
        <w:rPr>
          <w:rFonts w:ascii="Arial" w:hAnsi="Arial" w:cs="Arial"/>
          <w:sz w:val="21"/>
          <w:szCs w:val="21"/>
        </w:rPr>
        <w:t>, we deploy Partial Least Squares Structural Equation Modelling, or PLS-SEM, targeting an empirical sample size of at least 135 respondents. This phase addresses Research Questions 1, 2, and 3, statistically mapping how individual traits trigger multidimensional passion, and how Perceived Ecosystem Support moderates the ultimate trajectory toward action.</w:t>
      </w:r>
    </w:p>
    <w:p w14:paraId="040BCDFA" w14:textId="3A729E3A" w:rsidR="000A454E" w:rsidRPr="00887D06" w:rsidRDefault="000A454E" w:rsidP="00887D06">
      <w:pPr>
        <w:pStyle w:val="ListParagraph"/>
        <w:numPr>
          <w:ilvl w:val="0"/>
          <w:numId w:val="13"/>
        </w:numPr>
        <w:rPr>
          <w:rFonts w:ascii="Arial" w:eastAsia="Times New Roman" w:hAnsi="Arial" w:cs="Arial"/>
          <w:kern w:val="0"/>
          <w:sz w:val="21"/>
          <w:szCs w:val="21"/>
          <w14:ligatures w14:val="none"/>
        </w:rPr>
      </w:pPr>
      <w:r w:rsidRPr="00887D06">
        <w:rPr>
          <w:rFonts w:ascii="Arial" w:hAnsi="Arial" w:cs="Arial"/>
          <w:sz w:val="21"/>
          <w:szCs w:val="21"/>
        </w:rPr>
        <w:t xml:space="preserve">Finally, in </w:t>
      </w:r>
      <w:r w:rsidRPr="00887D06">
        <w:rPr>
          <w:rStyle w:val="Strong"/>
          <w:rFonts w:ascii="Arial" w:hAnsi="Arial" w:cs="Arial"/>
          <w:sz w:val="21"/>
          <w:szCs w:val="21"/>
        </w:rPr>
        <w:t>Phase 2</w:t>
      </w:r>
      <w:r w:rsidRPr="00887D06">
        <w:rPr>
          <w:rFonts w:ascii="Arial" w:hAnsi="Arial" w:cs="Arial"/>
          <w:sz w:val="21"/>
          <w:szCs w:val="21"/>
        </w:rPr>
        <w:t xml:space="preserve">, we capture </w:t>
      </w:r>
      <w:r w:rsidRPr="00887D06">
        <w:rPr>
          <w:rStyle w:val="Strong"/>
          <w:rFonts w:ascii="Arial" w:hAnsi="Arial" w:cs="Arial"/>
          <w:sz w:val="21"/>
          <w:szCs w:val="21"/>
        </w:rPr>
        <w:t>Qualitative Nuance</w:t>
      </w:r>
      <w:r w:rsidRPr="00887D06">
        <w:rPr>
          <w:rFonts w:ascii="Arial" w:hAnsi="Arial" w:cs="Arial"/>
          <w:sz w:val="21"/>
          <w:szCs w:val="21"/>
        </w:rPr>
        <w:t xml:space="preserve">. Through inductive thematic analysis of semi-structured interviews with 10 to 20 nascent innovators, we address Research Question 4. Crucially, by leveraging secure, insider access lines brokered via the </w:t>
      </w:r>
      <w:r w:rsidRPr="00887D06">
        <w:rPr>
          <w:rStyle w:val="Strong"/>
          <w:rFonts w:ascii="Arial" w:hAnsi="Arial" w:cs="Arial"/>
          <w:sz w:val="21"/>
          <w:szCs w:val="21"/>
        </w:rPr>
        <w:t>HKMU-</w:t>
      </w:r>
      <w:r w:rsidRPr="00887D06">
        <w:rPr>
          <w:rStyle w:val="Strong"/>
          <w:rFonts w:ascii="Arial" w:hAnsi="Arial" w:cs="Arial"/>
          <w:sz w:val="21"/>
          <w:szCs w:val="21"/>
        </w:rPr>
        <w:lastRenderedPageBreak/>
        <w:t>DAAO</w:t>
      </w:r>
      <w:r w:rsidRPr="00887D06">
        <w:rPr>
          <w:rFonts w:ascii="Arial" w:hAnsi="Arial" w:cs="Arial"/>
          <w:sz w:val="21"/>
          <w:szCs w:val="21"/>
        </w:rPr>
        <w:t xml:space="preserve"> networks, we will uncover the specific cultural risk thresholds and face-saving barriers that dictate whether a student acts on their passion or default</w:t>
      </w:r>
    </w:p>
    <w:p w14:paraId="47E20CFC" w14:textId="77777777" w:rsidR="000A454E" w:rsidRDefault="000A454E" w:rsidP="005C759F">
      <w:pPr>
        <w:rPr>
          <w:rFonts w:ascii="Arial" w:eastAsia="Times New Roman" w:hAnsi="Arial" w:cs="Arial"/>
          <w:kern w:val="0"/>
          <w:sz w:val="21"/>
          <w:szCs w:val="21"/>
          <w14:ligatures w14:val="none"/>
        </w:rPr>
      </w:pPr>
    </w:p>
    <w:p w14:paraId="0F955A16" w14:textId="77777777" w:rsidR="000A454E" w:rsidRDefault="000A454E" w:rsidP="005C759F">
      <w:pPr>
        <w:rPr>
          <w:rFonts w:ascii="Arial" w:eastAsia="Times New Roman" w:hAnsi="Arial" w:cs="Arial"/>
          <w:b/>
          <w:bCs/>
          <w:kern w:val="0"/>
          <w:sz w:val="21"/>
          <w:szCs w:val="21"/>
          <w14:ligatures w14:val="none"/>
        </w:rPr>
      </w:pPr>
    </w:p>
    <w:p w14:paraId="4A9B5C82" w14:textId="77777777" w:rsidR="00F05181" w:rsidRDefault="00F05181" w:rsidP="005C759F">
      <w:pPr>
        <w:rPr>
          <w:rFonts w:ascii="Arial" w:hAnsi="Arial" w:cs="Arial"/>
          <w:sz w:val="21"/>
          <w:szCs w:val="21"/>
        </w:rPr>
      </w:pPr>
      <w:r>
        <w:rPr>
          <w:rStyle w:val="Strong"/>
          <w:rFonts w:ascii="Arial" w:hAnsi="Arial" w:cs="Arial"/>
          <w:sz w:val="21"/>
          <w:szCs w:val="21"/>
        </w:rPr>
        <w:t>Slide 5: Chapter 2 Overview &amp; SLR Methodology</w:t>
      </w:r>
    </w:p>
    <w:p w14:paraId="2E30D0E4" w14:textId="77777777" w:rsidR="00F05181" w:rsidRPr="00F05181" w:rsidRDefault="00F05181" w:rsidP="00F05181">
      <w:pPr>
        <w:pStyle w:val="ListParagraph"/>
        <w:numPr>
          <w:ilvl w:val="0"/>
          <w:numId w:val="14"/>
        </w:numPr>
        <w:rPr>
          <w:rFonts w:ascii="Arial" w:hAnsi="Arial" w:cs="Arial"/>
          <w:sz w:val="21"/>
          <w:szCs w:val="21"/>
        </w:rPr>
      </w:pPr>
      <w:r w:rsidRPr="00F05181">
        <w:rPr>
          <w:rStyle w:val="Emphasis"/>
          <w:rFonts w:ascii="Arial" w:hAnsi="Arial" w:cs="Arial"/>
          <w:sz w:val="21"/>
          <w:szCs w:val="21"/>
        </w:rPr>
        <w:t>(Click to Slide 5. Visuals show a balanced two-column grid layout: SLR execution parameters on the left, the localized empirical vacuum on the right).</w:t>
      </w:r>
    </w:p>
    <w:p w14:paraId="7215688B" w14:textId="77777777" w:rsidR="00F05181" w:rsidRPr="00F05181" w:rsidRDefault="00F05181" w:rsidP="00F05181">
      <w:pPr>
        <w:pStyle w:val="ListParagraph"/>
        <w:numPr>
          <w:ilvl w:val="0"/>
          <w:numId w:val="14"/>
        </w:numPr>
        <w:rPr>
          <w:rFonts w:ascii="Arial" w:hAnsi="Arial" w:cs="Arial"/>
          <w:sz w:val="21"/>
          <w:szCs w:val="21"/>
        </w:rPr>
      </w:pPr>
      <w:r w:rsidRPr="00F05181">
        <w:rPr>
          <w:rFonts w:ascii="Arial" w:hAnsi="Arial" w:cs="Arial"/>
          <w:sz w:val="21"/>
          <w:szCs w:val="21"/>
        </w:rPr>
        <w:t>What you say out loud:</w:t>
      </w:r>
    </w:p>
    <w:p w14:paraId="71FF4D89" w14:textId="77777777" w:rsidR="00F05181" w:rsidRPr="00F05181" w:rsidRDefault="00F05181" w:rsidP="00F05181">
      <w:pPr>
        <w:pStyle w:val="ListParagraph"/>
        <w:numPr>
          <w:ilvl w:val="0"/>
          <w:numId w:val="14"/>
        </w:numPr>
        <w:rPr>
          <w:rFonts w:ascii="Arial" w:hAnsi="Arial" w:cs="Arial"/>
          <w:sz w:val="21"/>
          <w:szCs w:val="21"/>
        </w:rPr>
      </w:pPr>
      <w:r w:rsidRPr="00F05181">
        <w:rPr>
          <w:rFonts w:ascii="Arial" w:hAnsi="Arial" w:cs="Arial"/>
          <w:sz w:val="21"/>
          <w:szCs w:val="21"/>
        </w:rPr>
        <w:t xml:space="preserve">"Moving into Chapter 2, Slide 5 establishes the architecture of our Systematic Literature Review and uncovers a deep empirical vacuum in regional research. Following Denyer and </w:t>
      </w:r>
      <w:proofErr w:type="spellStart"/>
      <w:r w:rsidRPr="00F05181">
        <w:rPr>
          <w:rFonts w:ascii="Arial" w:hAnsi="Arial" w:cs="Arial"/>
          <w:sz w:val="21"/>
          <w:szCs w:val="21"/>
        </w:rPr>
        <w:t>Tranfield’s</w:t>
      </w:r>
      <w:proofErr w:type="spellEnd"/>
      <w:r w:rsidRPr="00F05181">
        <w:rPr>
          <w:rFonts w:ascii="Arial" w:hAnsi="Arial" w:cs="Arial"/>
          <w:sz w:val="21"/>
          <w:szCs w:val="21"/>
        </w:rPr>
        <w:t xml:space="preserve"> CIMO methodology, we conducted a rigorous search across EBSCO, Scopus, and Web of Science.</w:t>
      </w:r>
    </w:p>
    <w:p w14:paraId="606345E1" w14:textId="77777777" w:rsidR="00F05181" w:rsidRPr="00F05181" w:rsidRDefault="00F05181" w:rsidP="00F05181">
      <w:pPr>
        <w:pStyle w:val="ListParagraph"/>
        <w:numPr>
          <w:ilvl w:val="0"/>
          <w:numId w:val="14"/>
        </w:numPr>
        <w:rPr>
          <w:rFonts w:ascii="Arial" w:hAnsi="Arial" w:cs="Arial"/>
          <w:sz w:val="21"/>
          <w:szCs w:val="21"/>
        </w:rPr>
      </w:pPr>
      <w:r w:rsidRPr="00F05181">
        <w:rPr>
          <w:rFonts w:ascii="Arial" w:hAnsi="Arial" w:cs="Arial"/>
          <w:sz w:val="21"/>
          <w:szCs w:val="21"/>
        </w:rPr>
        <w:t xml:space="preserve">To balance global theoretical depth with localized nuance, we deployed a two-tiered filtering strategy: first, a quality-first extraction restricted to elite AJG 4-star journals such as </w:t>
      </w:r>
      <w:r w:rsidRPr="00F05181">
        <w:rPr>
          <w:rStyle w:val="Emphasis"/>
          <w:rFonts w:ascii="Arial" w:hAnsi="Arial" w:cs="Arial"/>
          <w:sz w:val="21"/>
          <w:szCs w:val="21"/>
        </w:rPr>
        <w:t>ET&amp;P</w:t>
      </w:r>
      <w:r w:rsidRPr="00F05181">
        <w:rPr>
          <w:rFonts w:ascii="Arial" w:hAnsi="Arial" w:cs="Arial"/>
          <w:sz w:val="21"/>
          <w:szCs w:val="21"/>
        </w:rPr>
        <w:t xml:space="preserve"> and </w:t>
      </w:r>
      <w:r w:rsidRPr="00F05181">
        <w:rPr>
          <w:rStyle w:val="Emphasis"/>
          <w:rFonts w:ascii="Arial" w:hAnsi="Arial" w:cs="Arial"/>
          <w:sz w:val="21"/>
          <w:szCs w:val="21"/>
        </w:rPr>
        <w:t>JBV</w:t>
      </w:r>
      <w:r w:rsidRPr="00F05181">
        <w:rPr>
          <w:rFonts w:ascii="Arial" w:hAnsi="Arial" w:cs="Arial"/>
          <w:sz w:val="21"/>
          <w:szCs w:val="21"/>
        </w:rPr>
        <w:t xml:space="preserve"> to capture dominant paradigms; second, a targeted grey-literature sweep to eliminate Western publication bias. This yielded a final sample of </w:t>
      </w:r>
      <w:bdo w:val="ltr">
        <w:r w:rsidRPr="00F05181">
          <w:rPr>
            <w:rStyle w:val="math-tex"/>
            <w:rFonts w:ascii="Arial" w:hAnsi="Arial" w:cs="Arial"/>
            <w:sz w:val="21"/>
            <w:szCs w:val="21"/>
          </w:rPr>
          <w:t>$n = 285$</w:t>
        </w:r>
        <w:r w:rsidRPr="00F05181">
          <w:rPr>
            <w:rFonts w:ascii="Arial" w:hAnsi="Arial" w:cs="Arial"/>
            <w:sz w:val="21"/>
            <w:szCs w:val="21"/>
          </w:rPr>
          <w:t>‬</w:t>
        </w:r>
        <w:bdo w:val="ltr">
          <w:r w:rsidRPr="00F05181">
            <w:rPr>
              <w:rFonts w:ascii="Arial" w:hAnsi="Arial" w:cs="Arial"/>
              <w:sz w:val="21"/>
              <w:szCs w:val="21"/>
            </w:rPr>
            <w:t>‬ papers refined via PRISMA 2020 protocol.</w:t>
          </w:r>
          <w:r w:rsidR="00000000">
            <w:t>‬</w:t>
          </w:r>
          <w:r w:rsidR="00000000">
            <w:t>‬</w:t>
          </w:r>
        </w:bdo>
      </w:bdo>
    </w:p>
    <w:p w14:paraId="580E3295" w14:textId="77777777" w:rsidR="00F05181" w:rsidRPr="00F05181" w:rsidRDefault="00F05181" w:rsidP="00F05181">
      <w:pPr>
        <w:pStyle w:val="ListParagraph"/>
        <w:numPr>
          <w:ilvl w:val="0"/>
          <w:numId w:val="14"/>
        </w:numPr>
        <w:rPr>
          <w:rFonts w:ascii="Arial" w:hAnsi="Arial" w:cs="Arial"/>
          <w:sz w:val="21"/>
          <w:szCs w:val="21"/>
        </w:rPr>
      </w:pPr>
      <w:r w:rsidRPr="00F05181">
        <w:rPr>
          <w:rFonts w:ascii="Arial" w:hAnsi="Arial" w:cs="Arial"/>
          <w:sz w:val="21"/>
          <w:szCs w:val="21"/>
        </w:rPr>
        <w:t>In the right column, our descriptive and bibliometric analytics reveal a stark granularity gap and a profound empirical vacuum within the Hong Kong corpus. While the global sub-sample extensively utilizes advanced longitudinal and multi-source datasets, local Hong Kong studies remain trapped in static, cross-sectional survey instruments.</w:t>
      </w:r>
    </w:p>
    <w:p w14:paraId="1D68A33D" w14:textId="77777777" w:rsidR="00F05181" w:rsidRDefault="00F05181" w:rsidP="00F05181">
      <w:pPr>
        <w:pStyle w:val="ListParagraph"/>
        <w:numPr>
          <w:ilvl w:val="0"/>
          <w:numId w:val="14"/>
        </w:numPr>
        <w:rPr>
          <w:rFonts w:ascii="Arial" w:hAnsi="Arial" w:cs="Arial"/>
          <w:sz w:val="21"/>
          <w:szCs w:val="21"/>
        </w:rPr>
      </w:pPr>
      <w:r w:rsidRPr="00F05181">
        <w:rPr>
          <w:rFonts w:ascii="Arial" w:hAnsi="Arial" w:cs="Arial"/>
          <w:sz w:val="21"/>
          <w:szCs w:val="21"/>
        </w:rPr>
        <w:t xml:space="preserve">More critically, foundational strategic management paradigms that dictate contemporary high-growth entrepreneurship—specifically Human Capital Theory, Knowledge Spillover Theory, Upper Echelons Theory, and the core Schumpeterian Creation versus </w:t>
      </w:r>
      <w:proofErr w:type="spellStart"/>
      <w:r w:rsidRPr="00F05181">
        <w:rPr>
          <w:rFonts w:ascii="Arial" w:hAnsi="Arial" w:cs="Arial"/>
          <w:sz w:val="21"/>
          <w:szCs w:val="21"/>
        </w:rPr>
        <w:t>Kirznerian</w:t>
      </w:r>
      <w:proofErr w:type="spellEnd"/>
      <w:r w:rsidRPr="00F05181">
        <w:rPr>
          <w:rFonts w:ascii="Arial" w:hAnsi="Arial" w:cs="Arial"/>
          <w:sz w:val="21"/>
          <w:szCs w:val="21"/>
        </w:rPr>
        <w:t xml:space="preserve"> Discovery debate—possess exactly </w:t>
      </w:r>
      <w:r w:rsidRPr="00F05181">
        <w:rPr>
          <w:rStyle w:val="Strong"/>
          <w:rFonts w:ascii="Arial" w:hAnsi="Arial" w:cs="Arial"/>
          <w:sz w:val="21"/>
          <w:szCs w:val="21"/>
        </w:rPr>
        <w:t>zero empirical representation</w:t>
      </w:r>
      <w:r w:rsidRPr="00F05181">
        <w:rPr>
          <w:rFonts w:ascii="Arial" w:hAnsi="Arial" w:cs="Arial"/>
          <w:sz w:val="21"/>
          <w:szCs w:val="21"/>
        </w:rPr>
        <w:t xml:space="preserve"> within the Hong Kong student corpus. Local literature is proficient at tracking abstract intentions in isolation, but completely silent on how external macro-structures moderate the translation of those intentions into real economic performance."</w:t>
      </w:r>
    </w:p>
    <w:p w14:paraId="6B6513BC" w14:textId="77777777" w:rsidR="00F05181" w:rsidRPr="00F05181" w:rsidRDefault="00F05181" w:rsidP="00F05181">
      <w:pPr>
        <w:pStyle w:val="ListParagraph"/>
        <w:rPr>
          <w:rFonts w:ascii="Arial" w:hAnsi="Arial" w:cs="Arial"/>
          <w:sz w:val="21"/>
          <w:szCs w:val="21"/>
        </w:rPr>
      </w:pPr>
    </w:p>
    <w:p w14:paraId="28E70210" w14:textId="77777777" w:rsidR="00F05181" w:rsidRDefault="00F05181" w:rsidP="005C759F">
      <w:pPr>
        <w:rPr>
          <w:rFonts w:ascii="Arial" w:hAnsi="Arial" w:cs="Arial"/>
          <w:sz w:val="21"/>
          <w:szCs w:val="21"/>
        </w:rPr>
      </w:pPr>
      <w:r>
        <w:rPr>
          <w:rStyle w:val="Strong"/>
          <w:rFonts w:ascii="Arial" w:hAnsi="Arial" w:cs="Arial"/>
          <w:sz w:val="21"/>
          <w:szCs w:val="21"/>
        </w:rPr>
        <w:t>Slide 6: Theoretical Evolution — Cognitive Intent to Affective Drive</w:t>
      </w:r>
    </w:p>
    <w:p w14:paraId="6B2D248E" w14:textId="71608EC1" w:rsidR="00F05181" w:rsidRPr="00F05181" w:rsidRDefault="00F05181" w:rsidP="00F05181">
      <w:pPr>
        <w:pStyle w:val="ListParagraph"/>
        <w:numPr>
          <w:ilvl w:val="0"/>
          <w:numId w:val="15"/>
        </w:numPr>
        <w:rPr>
          <w:rFonts w:ascii="Arial" w:hAnsi="Arial" w:cs="Arial"/>
          <w:sz w:val="21"/>
          <w:szCs w:val="21"/>
        </w:rPr>
      </w:pPr>
      <w:r w:rsidRPr="00F05181">
        <w:rPr>
          <w:rFonts w:ascii="Arial" w:hAnsi="Arial" w:cs="Arial"/>
          <w:sz w:val="21"/>
          <w:szCs w:val="21"/>
        </w:rPr>
        <w:t xml:space="preserve">Slide 6 charts the epistemological evolution from cold cognitive intent models to dynamic, affective </w:t>
      </w:r>
      <w:proofErr w:type="spellStart"/>
      <w:r w:rsidRPr="00F05181">
        <w:rPr>
          <w:rFonts w:ascii="Arial" w:hAnsi="Arial" w:cs="Arial"/>
          <w:sz w:val="21"/>
          <w:szCs w:val="21"/>
        </w:rPr>
        <w:t>behavioral</w:t>
      </w:r>
      <w:proofErr w:type="spellEnd"/>
      <w:r w:rsidRPr="00F05181">
        <w:rPr>
          <w:rFonts w:ascii="Arial" w:hAnsi="Arial" w:cs="Arial"/>
          <w:sz w:val="21"/>
          <w:szCs w:val="21"/>
        </w:rPr>
        <w:t xml:space="preserve"> drivers. Historically, evaluating student career selection relied on Aristotelian </w:t>
      </w:r>
      <w:r w:rsidRPr="00F05181">
        <w:rPr>
          <w:rStyle w:val="Emphasis"/>
          <w:rFonts w:ascii="Arial" w:hAnsi="Arial" w:cs="Arial"/>
          <w:sz w:val="21"/>
          <w:szCs w:val="21"/>
        </w:rPr>
        <w:t>episteme</w:t>
      </w:r>
      <w:r w:rsidRPr="00F05181">
        <w:rPr>
          <w:rFonts w:ascii="Arial" w:hAnsi="Arial" w:cs="Arial"/>
          <w:sz w:val="21"/>
          <w:szCs w:val="21"/>
        </w:rPr>
        <w:t>—using purely cognitive frameworks like Ajzen’s Theory of Planned Behaviour to treat venture entry as a static calculation of attitudes and perceived control.</w:t>
      </w:r>
    </w:p>
    <w:p w14:paraId="6023291A" w14:textId="77777777" w:rsidR="00F05181" w:rsidRPr="00F05181" w:rsidRDefault="00F05181" w:rsidP="00F05181">
      <w:pPr>
        <w:pStyle w:val="ListParagraph"/>
        <w:numPr>
          <w:ilvl w:val="0"/>
          <w:numId w:val="15"/>
        </w:numPr>
        <w:rPr>
          <w:rFonts w:ascii="Arial" w:hAnsi="Arial" w:cs="Arial"/>
          <w:sz w:val="21"/>
          <w:szCs w:val="21"/>
        </w:rPr>
      </w:pPr>
      <w:r w:rsidRPr="00F05181">
        <w:rPr>
          <w:rFonts w:ascii="Arial" w:hAnsi="Arial" w:cs="Arial"/>
          <w:sz w:val="21"/>
          <w:szCs w:val="21"/>
        </w:rPr>
        <w:t>However, contemporary cross-cultural scholarship by Siu and Lo demonstrates that these psychometric predictors undergo severe distortions in non-Western, collectivist environments, where individual confidence remains heavily constrained by relational, face-saving societal expectations.</w:t>
      </w:r>
    </w:p>
    <w:p w14:paraId="74F9EF98" w14:textId="77777777" w:rsidR="00F05181" w:rsidRPr="00F05181" w:rsidRDefault="00F05181" w:rsidP="00F05181">
      <w:pPr>
        <w:pStyle w:val="ListParagraph"/>
        <w:numPr>
          <w:ilvl w:val="0"/>
          <w:numId w:val="15"/>
        </w:numPr>
        <w:rPr>
          <w:rFonts w:ascii="Arial" w:hAnsi="Arial" w:cs="Arial"/>
          <w:sz w:val="21"/>
          <w:szCs w:val="21"/>
        </w:rPr>
      </w:pPr>
      <w:r w:rsidRPr="00F05181">
        <w:rPr>
          <w:rFonts w:ascii="Arial" w:hAnsi="Arial" w:cs="Arial"/>
          <w:sz w:val="21"/>
          <w:szCs w:val="21"/>
        </w:rPr>
        <w:t xml:space="preserve">To resolve this static limitation, the right column infuses </w:t>
      </w:r>
      <w:proofErr w:type="spellStart"/>
      <w:r w:rsidRPr="00F05181">
        <w:rPr>
          <w:rFonts w:ascii="Arial" w:hAnsi="Arial" w:cs="Arial"/>
          <w:sz w:val="21"/>
          <w:szCs w:val="21"/>
        </w:rPr>
        <w:t>behavioral</w:t>
      </w:r>
      <w:proofErr w:type="spellEnd"/>
      <w:r w:rsidRPr="00F05181">
        <w:rPr>
          <w:rFonts w:ascii="Arial" w:hAnsi="Arial" w:cs="Arial"/>
          <w:sz w:val="21"/>
          <w:szCs w:val="21"/>
        </w:rPr>
        <w:t xml:space="preserve"> economics to model the venture choice as an intense psychological conflict against job selection boundaries. In a stable, competitive metropolitan hub like Hong Kong, lucrative alternative corporate pathways artificially inflate a graduate’s </w:t>
      </w:r>
      <w:r w:rsidRPr="00F05181">
        <w:rPr>
          <w:rStyle w:val="Strong"/>
          <w:rFonts w:ascii="Arial" w:hAnsi="Arial" w:cs="Arial"/>
          <w:sz w:val="21"/>
          <w:szCs w:val="21"/>
        </w:rPr>
        <w:t>reservation wage</w:t>
      </w:r>
      <w:r w:rsidRPr="00F05181">
        <w:rPr>
          <w:rFonts w:ascii="Arial" w:hAnsi="Arial" w:cs="Arial"/>
          <w:sz w:val="21"/>
          <w:szCs w:val="21"/>
        </w:rPr>
        <w:t>. Rational students facing high certainty and immediate financial upside will systematically default to corporate roles to avoid risk exposure.</w:t>
      </w:r>
    </w:p>
    <w:p w14:paraId="7284735D" w14:textId="2051822B" w:rsidR="00F05181" w:rsidRDefault="00F05181" w:rsidP="00F05181">
      <w:pPr>
        <w:pStyle w:val="ListParagraph"/>
        <w:numPr>
          <w:ilvl w:val="0"/>
          <w:numId w:val="15"/>
        </w:numPr>
        <w:rPr>
          <w:rFonts w:ascii="Arial" w:hAnsi="Arial" w:cs="Arial"/>
          <w:sz w:val="21"/>
          <w:szCs w:val="21"/>
        </w:rPr>
      </w:pPr>
      <w:r w:rsidRPr="00F05181">
        <w:rPr>
          <w:rFonts w:ascii="Arial" w:hAnsi="Arial" w:cs="Arial"/>
          <w:sz w:val="21"/>
          <w:szCs w:val="21"/>
        </w:rPr>
        <w:t xml:space="preserve">Therefore, for a nascent student to execute real market entry, they require specific cognitive distortions to override this high reservation wage gravity. Following Nobre's </w:t>
      </w:r>
      <w:r w:rsidRPr="00F05181">
        <w:rPr>
          <w:rFonts w:ascii="Arial" w:hAnsi="Arial" w:cs="Arial"/>
          <w:sz w:val="21"/>
          <w:szCs w:val="21"/>
        </w:rPr>
        <w:lastRenderedPageBreak/>
        <w:t xml:space="preserve">taxonomy, the final choice relies on three primary </w:t>
      </w:r>
      <w:proofErr w:type="spellStart"/>
      <w:r w:rsidRPr="00F05181">
        <w:rPr>
          <w:rFonts w:ascii="Arial" w:hAnsi="Arial" w:cs="Arial"/>
          <w:sz w:val="21"/>
          <w:szCs w:val="21"/>
        </w:rPr>
        <w:t>behavioral</w:t>
      </w:r>
      <w:proofErr w:type="spellEnd"/>
      <w:r w:rsidRPr="00F05181">
        <w:rPr>
          <w:rFonts w:ascii="Arial" w:hAnsi="Arial" w:cs="Arial"/>
          <w:sz w:val="21"/>
          <w:szCs w:val="21"/>
        </w:rPr>
        <w:t xml:space="preserve"> distortions: Optimism and Overconfidence to underestimate market risks, Loss Aversion inverting into a fear-of-missing-out on disruptive tech windows, and Self-attribution Bias. Crucially, these distortions are not psychological anomalies; they are </w:t>
      </w:r>
      <w:proofErr w:type="spellStart"/>
      <w:r w:rsidRPr="00F05181">
        <w:rPr>
          <w:rFonts w:ascii="Arial" w:hAnsi="Arial" w:cs="Arial"/>
          <w:sz w:val="21"/>
          <w:szCs w:val="21"/>
        </w:rPr>
        <w:t>fueled</w:t>
      </w:r>
      <w:proofErr w:type="spellEnd"/>
      <w:r w:rsidRPr="00F05181">
        <w:rPr>
          <w:rFonts w:ascii="Arial" w:hAnsi="Arial" w:cs="Arial"/>
          <w:sz w:val="21"/>
          <w:szCs w:val="21"/>
        </w:rPr>
        <w:t xml:space="preserve"> by the </w:t>
      </w:r>
      <w:r w:rsidRPr="00F05181">
        <w:rPr>
          <w:rStyle w:val="Strong"/>
          <w:rFonts w:ascii="Arial" w:hAnsi="Arial" w:cs="Arial"/>
          <w:sz w:val="21"/>
          <w:szCs w:val="21"/>
        </w:rPr>
        <w:t>Affective Engine of Entrepreneurial Passion</w:t>
      </w:r>
      <w:r w:rsidRPr="00F05181">
        <w:rPr>
          <w:rFonts w:ascii="Arial" w:hAnsi="Arial" w:cs="Arial"/>
          <w:sz w:val="21"/>
          <w:szCs w:val="21"/>
        </w:rPr>
        <w:t>, which provides the emotional insulation required to reject a corporate salary.</w:t>
      </w:r>
    </w:p>
    <w:p w14:paraId="4C8A50BB" w14:textId="77777777" w:rsidR="00F05181" w:rsidRPr="00F05181" w:rsidRDefault="00F05181" w:rsidP="00F05181">
      <w:pPr>
        <w:pStyle w:val="ListParagraph"/>
        <w:rPr>
          <w:rFonts w:ascii="Arial" w:hAnsi="Arial" w:cs="Arial"/>
          <w:sz w:val="21"/>
          <w:szCs w:val="21"/>
        </w:rPr>
      </w:pPr>
    </w:p>
    <w:p w14:paraId="7312FCD0" w14:textId="77777777" w:rsidR="00F05181" w:rsidRDefault="00F05181" w:rsidP="005C759F">
      <w:pPr>
        <w:rPr>
          <w:rFonts w:ascii="Arial" w:hAnsi="Arial" w:cs="Arial"/>
          <w:sz w:val="21"/>
          <w:szCs w:val="21"/>
        </w:rPr>
      </w:pPr>
      <w:r>
        <w:rPr>
          <w:rStyle w:val="Strong"/>
          <w:rFonts w:ascii="Arial" w:hAnsi="Arial" w:cs="Arial"/>
          <w:sz w:val="21"/>
          <w:szCs w:val="21"/>
        </w:rPr>
        <w:t>Slide 7: Contextual Paradox — HK Ecosystem vs. Stanford Benchmark</w:t>
      </w:r>
    </w:p>
    <w:p w14:paraId="53816015" w14:textId="71FB6F6E" w:rsidR="00F05181" w:rsidRPr="00F05181" w:rsidRDefault="00F05181" w:rsidP="00F05181">
      <w:pPr>
        <w:pStyle w:val="ListParagraph"/>
        <w:numPr>
          <w:ilvl w:val="0"/>
          <w:numId w:val="16"/>
        </w:numPr>
        <w:rPr>
          <w:rFonts w:ascii="Arial" w:hAnsi="Arial" w:cs="Arial"/>
          <w:sz w:val="21"/>
          <w:szCs w:val="21"/>
        </w:rPr>
      </w:pPr>
      <w:r w:rsidRPr="00F05181">
        <w:rPr>
          <w:rFonts w:ascii="Arial" w:hAnsi="Arial" w:cs="Arial"/>
          <w:sz w:val="21"/>
          <w:szCs w:val="21"/>
        </w:rPr>
        <w:t>Slide 7 contextualizes these psychological drivers by benchmarking Hong Kong's ecosystem against the high-density Western archetype of the Stanford University incubation system.</w:t>
      </w:r>
    </w:p>
    <w:p w14:paraId="0467EE54" w14:textId="77777777" w:rsidR="00F05181" w:rsidRPr="00F05181" w:rsidRDefault="00F05181" w:rsidP="00F05181">
      <w:pPr>
        <w:pStyle w:val="ListParagraph"/>
        <w:numPr>
          <w:ilvl w:val="0"/>
          <w:numId w:val="16"/>
        </w:numPr>
        <w:rPr>
          <w:rFonts w:ascii="Arial" w:hAnsi="Arial" w:cs="Arial"/>
          <w:sz w:val="21"/>
          <w:szCs w:val="21"/>
        </w:rPr>
      </w:pPr>
      <w:r w:rsidRPr="00F05181">
        <w:rPr>
          <w:rFonts w:ascii="Arial" w:hAnsi="Arial" w:cs="Arial"/>
          <w:sz w:val="21"/>
          <w:szCs w:val="21"/>
        </w:rPr>
        <w:t>As shown on the left, Stanford graduates also face exceptionally high alternative corporate reservation wages in Silicon Valley. However, the Stanford ecosystem successfully neutralizes this pull through its structural configuration: an unmatched concentration of venture capital, mature legal networks running active Technology Transfer Offices, dense academic-corporate knowledge spillovers, and zero social stigma regarding venture failure. High human and social capital act as recursive complements, generating a 'celebrity effect' that inflates startup valuations and mitigates downside risk.</w:t>
      </w:r>
    </w:p>
    <w:p w14:paraId="78B30BFB" w14:textId="77777777" w:rsidR="00F05181" w:rsidRPr="00F05181" w:rsidRDefault="00F05181" w:rsidP="00F05181">
      <w:pPr>
        <w:pStyle w:val="ListParagraph"/>
        <w:numPr>
          <w:ilvl w:val="0"/>
          <w:numId w:val="16"/>
        </w:numPr>
        <w:rPr>
          <w:rFonts w:ascii="Arial" w:hAnsi="Arial" w:cs="Arial"/>
          <w:sz w:val="21"/>
          <w:szCs w:val="21"/>
        </w:rPr>
      </w:pPr>
      <w:r w:rsidRPr="00F05181">
        <w:rPr>
          <w:rFonts w:ascii="Arial" w:hAnsi="Arial" w:cs="Arial"/>
          <w:sz w:val="21"/>
          <w:szCs w:val="21"/>
        </w:rPr>
        <w:t xml:space="preserve">In sharp contrast, the right column illustrates Hong Kong’s contextual paradox. While local students operate within a wealthy economy, our commercial legacy has historically </w:t>
      </w:r>
      <w:proofErr w:type="spellStart"/>
      <w:r w:rsidRPr="00F05181">
        <w:rPr>
          <w:rFonts w:ascii="Arial" w:hAnsi="Arial" w:cs="Arial"/>
          <w:sz w:val="21"/>
          <w:szCs w:val="21"/>
        </w:rPr>
        <w:t>favored</w:t>
      </w:r>
      <w:proofErr w:type="spellEnd"/>
      <w:r w:rsidRPr="00F05181">
        <w:rPr>
          <w:rFonts w:ascii="Arial" w:hAnsi="Arial" w:cs="Arial"/>
          <w:sz w:val="21"/>
          <w:szCs w:val="21"/>
        </w:rPr>
        <w:t xml:space="preserve"> a conservative, </w:t>
      </w:r>
      <w:proofErr w:type="spellStart"/>
      <w:r w:rsidRPr="00F05181">
        <w:rPr>
          <w:rFonts w:ascii="Arial" w:hAnsi="Arial" w:cs="Arial"/>
          <w:sz w:val="21"/>
          <w:szCs w:val="21"/>
        </w:rPr>
        <w:t>Kirznerian</w:t>
      </w:r>
      <w:proofErr w:type="spellEnd"/>
      <w:r w:rsidRPr="00F05181">
        <w:rPr>
          <w:rFonts w:ascii="Arial" w:hAnsi="Arial" w:cs="Arial"/>
          <w:sz w:val="21"/>
          <w:szCs w:val="21"/>
        </w:rPr>
        <w:t xml:space="preserve"> approach to business—focusing on rapid short-term financial flexibility, property speculation, and imitative arbitrage.</w:t>
      </w:r>
    </w:p>
    <w:p w14:paraId="29F7E2B2" w14:textId="77777777" w:rsidR="00F05181" w:rsidRPr="00F05181" w:rsidRDefault="00F05181" w:rsidP="00F05181">
      <w:pPr>
        <w:pStyle w:val="ListParagraph"/>
        <w:numPr>
          <w:ilvl w:val="0"/>
          <w:numId w:val="16"/>
        </w:numPr>
        <w:rPr>
          <w:rFonts w:ascii="Arial" w:hAnsi="Arial" w:cs="Arial"/>
          <w:sz w:val="21"/>
          <w:szCs w:val="21"/>
        </w:rPr>
      </w:pPr>
      <w:r w:rsidRPr="00F05181">
        <w:rPr>
          <w:rFonts w:ascii="Arial" w:hAnsi="Arial" w:cs="Arial"/>
          <w:sz w:val="21"/>
          <w:szCs w:val="21"/>
        </w:rPr>
        <w:t>Radical Schumpeterian technological creation remains heavily constrained by immense real estate friction, intense family face-saving pressures, and acute deficits in specialized, long-term financial seed resources. Student accelerators introduced to bridge this gap face severe structural trade-offs, often compromising long-term commercial sustainability for immediate operational flexibility. This ecosystem friction proves that passion cannot act in a vacuum; it requires targeted structural interventions to lower localized systemic barriers."</w:t>
      </w:r>
    </w:p>
    <w:p w14:paraId="695EAC18" w14:textId="77777777" w:rsidR="00F05181" w:rsidRDefault="00F05181" w:rsidP="005C759F">
      <w:pPr>
        <w:rPr>
          <w:rFonts w:ascii="Arial" w:hAnsi="Arial" w:cs="Arial"/>
          <w:sz w:val="21"/>
          <w:szCs w:val="21"/>
        </w:rPr>
      </w:pPr>
      <w:r>
        <w:rPr>
          <w:rStyle w:val="Strong"/>
          <w:rFonts w:ascii="Arial" w:hAnsi="Arial" w:cs="Arial"/>
          <w:sz w:val="21"/>
          <w:szCs w:val="21"/>
        </w:rPr>
        <w:t>Slide 8: Institutional Catalysts &amp; Multi-Stakeholder Alignment</w:t>
      </w:r>
    </w:p>
    <w:p w14:paraId="356F6B93" w14:textId="55EEB78F" w:rsidR="00F05181" w:rsidRPr="00F05181" w:rsidRDefault="00F05181" w:rsidP="00F05181">
      <w:pPr>
        <w:pStyle w:val="ListParagraph"/>
        <w:numPr>
          <w:ilvl w:val="0"/>
          <w:numId w:val="17"/>
        </w:numPr>
        <w:rPr>
          <w:rFonts w:ascii="Arial" w:hAnsi="Arial" w:cs="Arial"/>
          <w:sz w:val="21"/>
          <w:szCs w:val="21"/>
        </w:rPr>
      </w:pPr>
      <w:r w:rsidRPr="00F05181">
        <w:rPr>
          <w:rFonts w:ascii="Arial" w:hAnsi="Arial" w:cs="Arial"/>
          <w:sz w:val="21"/>
          <w:szCs w:val="21"/>
        </w:rPr>
        <w:t xml:space="preserve">To break this regional inertia, Slide 8 introduces the macro-environmental catalysts and micro-foundational alignments required to tip the </w:t>
      </w:r>
      <w:proofErr w:type="spellStart"/>
      <w:r w:rsidRPr="00F05181">
        <w:rPr>
          <w:rFonts w:ascii="Arial" w:hAnsi="Arial" w:cs="Arial"/>
          <w:sz w:val="21"/>
          <w:szCs w:val="21"/>
        </w:rPr>
        <w:t>behavioral</w:t>
      </w:r>
      <w:proofErr w:type="spellEnd"/>
      <w:r w:rsidRPr="00F05181">
        <w:rPr>
          <w:rFonts w:ascii="Arial" w:hAnsi="Arial" w:cs="Arial"/>
          <w:sz w:val="21"/>
          <w:szCs w:val="21"/>
        </w:rPr>
        <w:t xml:space="preserve"> scales. At the macro level, Hong Kong's strategic integration into the </w:t>
      </w:r>
      <w:r w:rsidRPr="00F05181">
        <w:rPr>
          <w:rStyle w:val="Strong"/>
          <w:rFonts w:ascii="Arial" w:hAnsi="Arial" w:cs="Arial"/>
          <w:sz w:val="21"/>
          <w:szCs w:val="21"/>
        </w:rPr>
        <w:t>Greater Bay Area innovation corridor</w:t>
      </w:r>
      <w:r w:rsidRPr="00F05181">
        <w:rPr>
          <w:rFonts w:ascii="Arial" w:hAnsi="Arial" w:cs="Arial"/>
          <w:sz w:val="21"/>
          <w:szCs w:val="21"/>
        </w:rPr>
        <w:t xml:space="preserve"> fundamentally alters the mechanics of knowledge transfer. It bypasses localized land and supply-chain constraints by combining Hong Kong's elite academic research capacity with the rapid manufacturing and scaling ecosystems of mainland China.</w:t>
      </w:r>
    </w:p>
    <w:p w14:paraId="2C85A005" w14:textId="77777777" w:rsidR="00F05181" w:rsidRPr="00F05181" w:rsidRDefault="00F05181" w:rsidP="00F05181">
      <w:pPr>
        <w:pStyle w:val="ListParagraph"/>
        <w:numPr>
          <w:ilvl w:val="0"/>
          <w:numId w:val="17"/>
        </w:numPr>
        <w:rPr>
          <w:rFonts w:ascii="Arial" w:hAnsi="Arial" w:cs="Arial"/>
          <w:sz w:val="21"/>
          <w:szCs w:val="21"/>
        </w:rPr>
      </w:pPr>
      <w:r w:rsidRPr="00F05181">
        <w:rPr>
          <w:rFonts w:ascii="Arial" w:hAnsi="Arial" w:cs="Arial"/>
          <w:sz w:val="21"/>
          <w:szCs w:val="21"/>
        </w:rPr>
        <w:t>Because this integration introduces non-linear volatility, empirical evidence shows that the relationship between Entrepreneurial Orientation and firm performance in emerging China is distinctly curvilinear. To navigate this volatility, student ventures must develop high organizational capital, combining a deep internal learning orientation with institutional trust and collaborative resource sharing.</w:t>
      </w:r>
    </w:p>
    <w:p w14:paraId="6E5EA4A4" w14:textId="77777777" w:rsidR="00F05181" w:rsidRPr="00F05181" w:rsidRDefault="00F05181" w:rsidP="00F05181">
      <w:pPr>
        <w:pStyle w:val="ListParagraph"/>
        <w:numPr>
          <w:ilvl w:val="0"/>
          <w:numId w:val="17"/>
        </w:numPr>
        <w:rPr>
          <w:rFonts w:ascii="Arial" w:hAnsi="Arial" w:cs="Arial"/>
          <w:sz w:val="21"/>
          <w:szCs w:val="21"/>
        </w:rPr>
      </w:pPr>
      <w:r w:rsidRPr="00F05181">
        <w:rPr>
          <w:rFonts w:ascii="Arial" w:hAnsi="Arial" w:cs="Arial"/>
          <w:sz w:val="21"/>
          <w:szCs w:val="21"/>
        </w:rPr>
        <w:t>Moving to the micro-foundations of stakeholder support, large-scale dataset analyses confirm that instrumental support from immediate networks is the primary mechanism facilitating the transition from student to active founder. This support must be organized through Entrepreneurial Support Organizations.</w:t>
      </w:r>
    </w:p>
    <w:p w14:paraId="3252297F" w14:textId="1D58AFD8" w:rsidR="00887D06" w:rsidRPr="00F05181" w:rsidRDefault="00F05181" w:rsidP="00F05181">
      <w:pPr>
        <w:pStyle w:val="ListParagraph"/>
        <w:numPr>
          <w:ilvl w:val="0"/>
          <w:numId w:val="17"/>
        </w:numPr>
        <w:rPr>
          <w:rFonts w:ascii="Arial" w:hAnsi="Arial" w:cs="Arial"/>
          <w:sz w:val="21"/>
          <w:szCs w:val="21"/>
        </w:rPr>
      </w:pPr>
      <w:r w:rsidRPr="00F05181">
        <w:rPr>
          <w:rFonts w:ascii="Arial" w:hAnsi="Arial" w:cs="Arial"/>
          <w:sz w:val="21"/>
          <w:szCs w:val="21"/>
        </w:rPr>
        <w:t>Our model explicitly evaluates Perceived Ecosystem Support across five distinct archetypes—ranging from university science parks and accelerators to campus TTOs—</w:t>
      </w:r>
      <w:r w:rsidRPr="00F05181">
        <w:rPr>
          <w:rFonts w:ascii="Arial" w:hAnsi="Arial" w:cs="Arial"/>
          <w:sz w:val="21"/>
          <w:szCs w:val="21"/>
        </w:rPr>
        <w:lastRenderedPageBreak/>
        <w:t>maximizing development by balancing institutional integration with the founder’s operational autonomy. Furthermore, we evaluate how aligning corporate skillsets via Work-Integrated Learning anchors intentions, and how threat perception and self-determination drive sustainable venture creation. By mapping these cross-boundary catalysts against the individual passion core, this dissertation uncovers the exact mechanisms needed to close the intent–action gap.</w:t>
      </w:r>
    </w:p>
    <w:p w14:paraId="741A7D13" w14:textId="77777777" w:rsidR="00F05181" w:rsidRDefault="00F05181" w:rsidP="005C759F">
      <w:pPr>
        <w:rPr>
          <w:rFonts w:ascii="Arial" w:hAnsi="Arial" w:cs="Arial"/>
          <w:sz w:val="21"/>
          <w:szCs w:val="21"/>
        </w:rPr>
      </w:pPr>
    </w:p>
    <w:p w14:paraId="5A54A7D3" w14:textId="77777777" w:rsidR="00F05181" w:rsidRDefault="00F05181" w:rsidP="005C759F">
      <w:pPr>
        <w:rPr>
          <w:rFonts w:ascii="Arial" w:hAnsi="Arial" w:cs="Arial"/>
          <w:sz w:val="21"/>
          <w:szCs w:val="21"/>
        </w:rPr>
      </w:pPr>
      <w:r>
        <w:rPr>
          <w:rStyle w:val="Strong"/>
          <w:rFonts w:ascii="Arial" w:hAnsi="Arial" w:cs="Arial"/>
          <w:sz w:val="21"/>
          <w:szCs w:val="21"/>
        </w:rPr>
        <w:t>Slide 9: Methodology — The Mixed-Methods Architecture</w:t>
      </w:r>
    </w:p>
    <w:p w14:paraId="65D82474" w14:textId="4204D8AB" w:rsidR="00F05181" w:rsidRPr="00F05181" w:rsidRDefault="00F05181" w:rsidP="00F05181">
      <w:pPr>
        <w:pStyle w:val="ListParagraph"/>
        <w:numPr>
          <w:ilvl w:val="0"/>
          <w:numId w:val="18"/>
        </w:numPr>
        <w:rPr>
          <w:rFonts w:ascii="Arial" w:hAnsi="Arial" w:cs="Arial"/>
          <w:sz w:val="21"/>
          <w:szCs w:val="21"/>
        </w:rPr>
      </w:pPr>
      <w:r w:rsidRPr="00F05181">
        <w:rPr>
          <w:rFonts w:ascii="Arial" w:hAnsi="Arial" w:cs="Arial"/>
          <w:sz w:val="21"/>
          <w:szCs w:val="21"/>
        </w:rPr>
        <w:t>Chapter 3 delineates our explanatory sequential mixed-methods architecture, designed to decode the statistical boundaries of our quantitative model through qualitative insight.</w:t>
      </w:r>
    </w:p>
    <w:p w14:paraId="581E1782" w14:textId="77777777" w:rsidR="00F05181" w:rsidRPr="00F05181" w:rsidRDefault="00F05181" w:rsidP="00F05181">
      <w:pPr>
        <w:pStyle w:val="ListParagraph"/>
        <w:numPr>
          <w:ilvl w:val="0"/>
          <w:numId w:val="18"/>
        </w:numPr>
        <w:rPr>
          <w:rFonts w:ascii="Arial" w:hAnsi="Arial" w:cs="Arial"/>
          <w:sz w:val="21"/>
          <w:szCs w:val="21"/>
        </w:rPr>
      </w:pPr>
      <w:r w:rsidRPr="00F05181">
        <w:rPr>
          <w:rFonts w:ascii="Arial" w:hAnsi="Arial" w:cs="Arial"/>
          <w:sz w:val="21"/>
          <w:szCs w:val="21"/>
        </w:rPr>
        <w:t xml:space="preserve">In Phase 1, the Quantitative Core, we deploy a deductive approach to validate the structural paths of the PEM. Using PLS-SEM within </w:t>
      </w:r>
      <w:proofErr w:type="spellStart"/>
      <w:r w:rsidRPr="00F05181">
        <w:rPr>
          <w:rFonts w:ascii="Arial" w:hAnsi="Arial" w:cs="Arial"/>
          <w:sz w:val="21"/>
          <w:szCs w:val="21"/>
        </w:rPr>
        <w:t>SmartPLS</w:t>
      </w:r>
      <w:proofErr w:type="spellEnd"/>
      <w:r w:rsidRPr="00F05181">
        <w:rPr>
          <w:rFonts w:ascii="Arial" w:hAnsi="Arial" w:cs="Arial"/>
          <w:sz w:val="21"/>
          <w:szCs w:val="21"/>
        </w:rPr>
        <w:t xml:space="preserve"> 4, we compute the relationships between individual traits, affective passion, and environmental moderators among a target sample of </w:t>
      </w:r>
      <w:bdo w:val="ltr">
        <w:r w:rsidRPr="00F05181">
          <w:rPr>
            <w:rStyle w:val="math-tex"/>
            <w:rFonts w:ascii="Arial" w:hAnsi="Arial" w:cs="Arial"/>
            <w:sz w:val="21"/>
            <w:szCs w:val="21"/>
          </w:rPr>
          <w:t>$n \</w:t>
        </w:r>
        <w:proofErr w:type="spellStart"/>
        <w:r w:rsidRPr="00F05181">
          <w:rPr>
            <w:rStyle w:val="math-tex"/>
            <w:rFonts w:ascii="Arial" w:hAnsi="Arial" w:cs="Arial"/>
            <w:sz w:val="21"/>
            <w:szCs w:val="21"/>
          </w:rPr>
          <w:t>ge</w:t>
        </w:r>
        <w:proofErr w:type="spellEnd"/>
        <w:r w:rsidRPr="00F05181">
          <w:rPr>
            <w:rStyle w:val="math-tex"/>
            <w:rFonts w:ascii="Arial" w:hAnsi="Arial" w:cs="Arial"/>
            <w:sz w:val="21"/>
            <w:szCs w:val="21"/>
          </w:rPr>
          <w:t xml:space="preserve"> 135$</w:t>
        </w:r>
        <w:r w:rsidRPr="00F05181">
          <w:rPr>
            <w:rFonts w:ascii="Arial" w:hAnsi="Arial" w:cs="Arial"/>
            <w:sz w:val="21"/>
            <w:szCs w:val="21"/>
          </w:rPr>
          <w:t>‬</w:t>
        </w:r>
        <w:bdo w:val="ltr">
          <w:r w:rsidRPr="00F05181">
            <w:rPr>
              <w:rFonts w:ascii="Arial" w:hAnsi="Arial" w:cs="Arial"/>
              <w:sz w:val="21"/>
              <w:szCs w:val="21"/>
            </w:rPr>
            <w:t xml:space="preserve">‬. This causal-predictive </w:t>
          </w:r>
          <w:proofErr w:type="spellStart"/>
          <w:r w:rsidRPr="00F05181">
            <w:rPr>
              <w:rFonts w:ascii="Arial" w:hAnsi="Arial" w:cs="Arial"/>
              <w:sz w:val="21"/>
              <w:szCs w:val="21"/>
            </w:rPr>
            <w:t>modeling</w:t>
          </w:r>
          <w:proofErr w:type="spellEnd"/>
          <w:r w:rsidRPr="00F05181">
            <w:rPr>
              <w:rFonts w:ascii="Arial" w:hAnsi="Arial" w:cs="Arial"/>
              <w:sz w:val="21"/>
              <w:szCs w:val="21"/>
            </w:rPr>
            <w:t xml:space="preserve"> allows us to isolate significant path coefficients across student cohorts with high statistical power.</w:t>
          </w:r>
          <w:r w:rsidR="00000000">
            <w:t>‬</w:t>
          </w:r>
          <w:r w:rsidR="00000000">
            <w:t>‬</w:t>
          </w:r>
        </w:bdo>
      </w:bdo>
    </w:p>
    <w:p w14:paraId="544BF3B9" w14:textId="3E67678D" w:rsidR="00F05181" w:rsidRDefault="00F05181" w:rsidP="00F05181">
      <w:pPr>
        <w:pStyle w:val="ListParagraph"/>
        <w:numPr>
          <w:ilvl w:val="0"/>
          <w:numId w:val="18"/>
        </w:numPr>
        <w:rPr>
          <w:rFonts w:ascii="Arial" w:hAnsi="Arial" w:cs="Arial"/>
          <w:sz w:val="21"/>
          <w:szCs w:val="21"/>
        </w:rPr>
      </w:pPr>
      <w:r w:rsidRPr="00F05181">
        <w:rPr>
          <w:rFonts w:ascii="Arial" w:hAnsi="Arial" w:cs="Arial"/>
          <w:sz w:val="21"/>
          <w:szCs w:val="21"/>
        </w:rPr>
        <w:t xml:space="preserve">In Phase 2, we shift to an inductive 'Nuance Engine.' While the quantitative data shows </w:t>
      </w:r>
      <w:r w:rsidRPr="00F05181">
        <w:rPr>
          <w:rStyle w:val="Emphasis"/>
          <w:rFonts w:ascii="Arial" w:hAnsi="Arial" w:cs="Arial"/>
          <w:sz w:val="21"/>
          <w:szCs w:val="21"/>
        </w:rPr>
        <w:t>what</w:t>
      </w:r>
      <w:r w:rsidRPr="00F05181">
        <w:rPr>
          <w:rFonts w:ascii="Arial" w:hAnsi="Arial" w:cs="Arial"/>
          <w:sz w:val="21"/>
          <w:szCs w:val="21"/>
        </w:rPr>
        <w:t xml:space="preserve"> is significant, it cannot capture the underlying anxieties of a student facing a high reservation wage. Using thematic analysis via NVivo, we explore the lived experiences of 10 to 20 nascent innovators. Crucially, this phase utilizes a purposive sampling strategy brokered by official insider access via the </w:t>
      </w:r>
      <w:r w:rsidRPr="00F05181">
        <w:rPr>
          <w:rStyle w:val="Strong"/>
          <w:rFonts w:ascii="Arial" w:hAnsi="Arial" w:cs="Arial"/>
          <w:sz w:val="21"/>
          <w:szCs w:val="21"/>
        </w:rPr>
        <w:t>HKMU-DAAO</w:t>
      </w:r>
      <w:r w:rsidRPr="00F05181">
        <w:rPr>
          <w:rFonts w:ascii="Arial" w:hAnsi="Arial" w:cs="Arial"/>
          <w:sz w:val="21"/>
          <w:szCs w:val="21"/>
        </w:rPr>
        <w:t>, targeting active founders within university incubators to bridge the intent–action gap.</w:t>
      </w:r>
    </w:p>
    <w:p w14:paraId="772671BC" w14:textId="77777777" w:rsidR="00F05181" w:rsidRPr="00F05181" w:rsidRDefault="00F05181" w:rsidP="00F05181">
      <w:pPr>
        <w:pStyle w:val="ListParagraph"/>
        <w:rPr>
          <w:rFonts w:ascii="Arial" w:hAnsi="Arial" w:cs="Arial"/>
          <w:sz w:val="21"/>
          <w:szCs w:val="21"/>
        </w:rPr>
      </w:pPr>
    </w:p>
    <w:p w14:paraId="0F503CE5" w14:textId="77777777" w:rsidR="00F05181" w:rsidRDefault="00F05181" w:rsidP="005C759F">
      <w:pPr>
        <w:rPr>
          <w:rFonts w:ascii="Arial" w:hAnsi="Arial" w:cs="Arial"/>
          <w:sz w:val="21"/>
          <w:szCs w:val="21"/>
        </w:rPr>
      </w:pPr>
      <w:r>
        <w:rPr>
          <w:rStyle w:val="Strong"/>
          <w:rFonts w:ascii="Arial" w:hAnsi="Arial" w:cs="Arial"/>
          <w:sz w:val="21"/>
          <w:szCs w:val="21"/>
        </w:rPr>
        <w:t>Slide 10: Data Management Plan (DMP) — Security &amp; Integrity</w:t>
      </w:r>
    </w:p>
    <w:p w14:paraId="46D18B27" w14:textId="4EF8EB4A" w:rsidR="00F05181" w:rsidRPr="00F05181" w:rsidRDefault="00F05181" w:rsidP="00F05181">
      <w:pPr>
        <w:pStyle w:val="ListParagraph"/>
        <w:numPr>
          <w:ilvl w:val="0"/>
          <w:numId w:val="19"/>
        </w:numPr>
        <w:rPr>
          <w:rFonts w:ascii="Arial" w:hAnsi="Arial" w:cs="Arial"/>
          <w:sz w:val="21"/>
          <w:szCs w:val="21"/>
        </w:rPr>
      </w:pPr>
      <w:r w:rsidRPr="00F05181">
        <w:rPr>
          <w:rFonts w:ascii="Arial" w:hAnsi="Arial" w:cs="Arial"/>
          <w:sz w:val="21"/>
          <w:szCs w:val="21"/>
        </w:rPr>
        <w:t>The integrity and security of this data are governed by a comprehensive Data Management Plan, adapted from the Digital Curation Centre framework.</w:t>
      </w:r>
    </w:p>
    <w:p w14:paraId="37D988E3" w14:textId="77777777" w:rsidR="00F05181" w:rsidRPr="00F05181" w:rsidRDefault="00F05181" w:rsidP="00F05181">
      <w:pPr>
        <w:pStyle w:val="ListParagraph"/>
        <w:numPr>
          <w:ilvl w:val="0"/>
          <w:numId w:val="19"/>
        </w:numPr>
        <w:rPr>
          <w:rFonts w:ascii="Arial" w:hAnsi="Arial" w:cs="Arial"/>
          <w:sz w:val="21"/>
          <w:szCs w:val="21"/>
        </w:rPr>
      </w:pPr>
      <w:r w:rsidRPr="00F05181">
        <w:rPr>
          <w:rFonts w:ascii="Arial" w:hAnsi="Arial" w:cs="Arial"/>
          <w:sz w:val="21"/>
          <w:szCs w:val="21"/>
        </w:rPr>
        <w:t xml:space="preserve">During collection, we utilize ISO 27001-certified platforms like Jisc Online Surveys and secured Zoom instances to ensure participant anonymity and data encryption. All primary storage is centralized within the </w:t>
      </w:r>
      <w:r w:rsidRPr="00F05181">
        <w:rPr>
          <w:rStyle w:val="Strong"/>
          <w:rFonts w:ascii="Arial" w:hAnsi="Arial" w:cs="Arial"/>
          <w:sz w:val="21"/>
          <w:szCs w:val="21"/>
        </w:rPr>
        <w:t>University of Plymouth’s Microsoft OneDrive</w:t>
      </w:r>
      <w:r w:rsidRPr="00F05181">
        <w:rPr>
          <w:rFonts w:ascii="Arial" w:hAnsi="Arial" w:cs="Arial"/>
          <w:sz w:val="21"/>
          <w:szCs w:val="21"/>
        </w:rPr>
        <w:t xml:space="preserve"> environment, which provides 256-bit AES encryption and 'Point in Time Restore' capabilities to prevent data loss.</w:t>
      </w:r>
    </w:p>
    <w:p w14:paraId="584A5268" w14:textId="77777777" w:rsidR="00F05181" w:rsidRPr="00F05181" w:rsidRDefault="00F05181" w:rsidP="00F05181">
      <w:pPr>
        <w:pStyle w:val="ListParagraph"/>
        <w:numPr>
          <w:ilvl w:val="0"/>
          <w:numId w:val="19"/>
        </w:numPr>
        <w:rPr>
          <w:rFonts w:ascii="Arial" w:hAnsi="Arial" w:cs="Arial"/>
          <w:sz w:val="21"/>
          <w:szCs w:val="21"/>
        </w:rPr>
      </w:pPr>
      <w:r w:rsidRPr="00F05181">
        <w:rPr>
          <w:rFonts w:ascii="Arial" w:hAnsi="Arial" w:cs="Arial"/>
          <w:sz w:val="21"/>
          <w:szCs w:val="21"/>
        </w:rPr>
        <w:t xml:space="preserve">To ensure long-term value, anonymized datasets will be preserved for a minimum of five years and deposited in the </w:t>
      </w:r>
      <w:r w:rsidRPr="00F05181">
        <w:rPr>
          <w:rStyle w:val="Strong"/>
          <w:rFonts w:ascii="Arial" w:hAnsi="Arial" w:cs="Arial"/>
          <w:sz w:val="21"/>
          <w:szCs w:val="21"/>
        </w:rPr>
        <w:t>PEARL repository</w:t>
      </w:r>
      <w:r w:rsidRPr="00F05181">
        <w:rPr>
          <w:rFonts w:ascii="Arial" w:hAnsi="Arial" w:cs="Arial"/>
          <w:sz w:val="21"/>
          <w:szCs w:val="21"/>
        </w:rPr>
        <w:t>. This provides the data with a permanent Digital Object Identifier (DOI), ensuring our findings remain discoverable and verifiable by the academic community long after the DBA candidacy is complete."</w:t>
      </w:r>
    </w:p>
    <w:p w14:paraId="0F133531" w14:textId="77777777" w:rsidR="00F05181" w:rsidRDefault="00F05181" w:rsidP="005C759F">
      <w:pPr>
        <w:rPr>
          <w:rFonts w:ascii="Arial" w:hAnsi="Arial" w:cs="Arial"/>
          <w:sz w:val="21"/>
          <w:szCs w:val="21"/>
        </w:rPr>
      </w:pPr>
      <w:r>
        <w:rPr>
          <w:rStyle w:val="Strong"/>
          <w:rFonts w:ascii="Arial" w:hAnsi="Arial" w:cs="Arial"/>
          <w:sz w:val="21"/>
          <w:szCs w:val="21"/>
        </w:rPr>
        <w:t>Slide 11: Ethical Considerations — UREIC Compliance</w:t>
      </w:r>
    </w:p>
    <w:p w14:paraId="3E0DEC32" w14:textId="1FFC54C1" w:rsidR="00F05181" w:rsidRPr="00F05181" w:rsidRDefault="00F05181" w:rsidP="00F05181">
      <w:pPr>
        <w:pStyle w:val="ListParagraph"/>
        <w:numPr>
          <w:ilvl w:val="0"/>
          <w:numId w:val="20"/>
        </w:numPr>
        <w:rPr>
          <w:rFonts w:ascii="Arial" w:hAnsi="Arial" w:cs="Arial"/>
          <w:sz w:val="21"/>
          <w:szCs w:val="21"/>
        </w:rPr>
      </w:pPr>
      <w:r w:rsidRPr="00F05181">
        <w:rPr>
          <w:rFonts w:ascii="Arial" w:hAnsi="Arial" w:cs="Arial"/>
          <w:sz w:val="21"/>
          <w:szCs w:val="21"/>
        </w:rPr>
        <w:t xml:space="preserve">Finally, all research protocols are built on strict ethical foundations. Institutional clearance will be obtained from the </w:t>
      </w:r>
      <w:r w:rsidRPr="00F05181">
        <w:rPr>
          <w:rStyle w:val="Strong"/>
          <w:rFonts w:ascii="Arial" w:hAnsi="Arial" w:cs="Arial"/>
          <w:sz w:val="21"/>
          <w:szCs w:val="21"/>
        </w:rPr>
        <w:t>University Research Ethics and Integrity Committee (UREIC)</w:t>
      </w:r>
      <w:r w:rsidRPr="00F05181">
        <w:rPr>
          <w:rFonts w:ascii="Arial" w:hAnsi="Arial" w:cs="Arial"/>
          <w:sz w:val="21"/>
          <w:szCs w:val="21"/>
        </w:rPr>
        <w:t xml:space="preserve"> before any data collection begins.</w:t>
      </w:r>
    </w:p>
    <w:p w14:paraId="0794BF9A" w14:textId="2E4C435C" w:rsidR="00F05181" w:rsidRPr="00F05181" w:rsidRDefault="00F05181" w:rsidP="00F05181">
      <w:pPr>
        <w:pStyle w:val="ListParagraph"/>
        <w:numPr>
          <w:ilvl w:val="0"/>
          <w:numId w:val="20"/>
        </w:numPr>
        <w:rPr>
          <w:rFonts w:ascii="Arial" w:hAnsi="Arial" w:cs="Arial"/>
          <w:sz w:val="21"/>
          <w:szCs w:val="21"/>
        </w:rPr>
      </w:pPr>
      <w:r w:rsidRPr="00F05181">
        <w:rPr>
          <w:rFonts w:ascii="Arial" w:hAnsi="Arial" w:cs="Arial"/>
          <w:sz w:val="21"/>
          <w:szCs w:val="21"/>
        </w:rPr>
        <w:t xml:space="preserve">Respect for human subjects is operationalized through three core safeguards: First, </w:t>
      </w:r>
      <w:r w:rsidRPr="00F05181">
        <w:rPr>
          <w:rStyle w:val="Strong"/>
          <w:rFonts w:ascii="Arial" w:hAnsi="Arial" w:cs="Arial"/>
          <w:sz w:val="21"/>
          <w:szCs w:val="21"/>
        </w:rPr>
        <w:t>Informed Consent</w:t>
      </w:r>
      <w:r w:rsidRPr="00F05181">
        <w:rPr>
          <w:rFonts w:ascii="Arial" w:hAnsi="Arial" w:cs="Arial"/>
          <w:sz w:val="21"/>
          <w:szCs w:val="21"/>
        </w:rPr>
        <w:t xml:space="preserve">, where participants receive detailed information sheets before digital sign-off. Second, </w:t>
      </w:r>
      <w:r w:rsidRPr="00F05181">
        <w:rPr>
          <w:rStyle w:val="Strong"/>
          <w:rFonts w:ascii="Arial" w:hAnsi="Arial" w:cs="Arial"/>
          <w:sz w:val="21"/>
          <w:szCs w:val="21"/>
        </w:rPr>
        <w:t>Absolute Confidentiality</w:t>
      </w:r>
      <w:r w:rsidRPr="00F05181">
        <w:rPr>
          <w:rFonts w:ascii="Arial" w:hAnsi="Arial" w:cs="Arial"/>
          <w:sz w:val="21"/>
          <w:szCs w:val="21"/>
        </w:rPr>
        <w:t xml:space="preserve">, ensured through alphanumeric pseudonymization of interview transcripts to redact all identifying institutional names. And third, </w:t>
      </w:r>
      <w:r w:rsidRPr="00F05181">
        <w:rPr>
          <w:rStyle w:val="Strong"/>
          <w:rFonts w:ascii="Arial" w:hAnsi="Arial" w:cs="Arial"/>
          <w:sz w:val="21"/>
          <w:szCs w:val="21"/>
        </w:rPr>
        <w:t>Regulatory Compliance</w:t>
      </w:r>
      <w:r w:rsidRPr="00F05181">
        <w:rPr>
          <w:rFonts w:ascii="Arial" w:hAnsi="Arial" w:cs="Arial"/>
          <w:sz w:val="21"/>
          <w:szCs w:val="21"/>
        </w:rPr>
        <w:t>, strictly adhering to the UK Data Protection Act 2018 and GDPR standards. By segregating the macro-predictive models from the micro-</w:t>
      </w:r>
      <w:r w:rsidRPr="00F05181">
        <w:rPr>
          <w:rFonts w:ascii="Arial" w:hAnsi="Arial" w:cs="Arial"/>
          <w:sz w:val="21"/>
          <w:szCs w:val="21"/>
        </w:rPr>
        <w:lastRenderedPageBreak/>
        <w:t>foundational narratives until the final meta-synthesis, we maintain both analytical clarity and the highest level of academic rigor.</w:t>
      </w:r>
    </w:p>
    <w:p w14:paraId="0B2B5B14" w14:textId="77777777" w:rsidR="00131A5B" w:rsidRDefault="00131A5B" w:rsidP="00F33EBD">
      <w:pPr>
        <w:spacing w:after="0" w:line="240" w:lineRule="auto"/>
        <w:rPr>
          <w:rStyle w:val="Strong"/>
          <w:rFonts w:ascii="Arial" w:hAnsi="Arial" w:cs="Arial"/>
          <w:sz w:val="21"/>
          <w:szCs w:val="21"/>
        </w:rPr>
      </w:pPr>
    </w:p>
    <w:p w14:paraId="79CBCC5A" w14:textId="143BF367" w:rsidR="00131A5B" w:rsidRDefault="00F33EBD" w:rsidP="00F33EBD">
      <w:pPr>
        <w:spacing w:after="0" w:line="240" w:lineRule="auto"/>
        <w:rPr>
          <w:rFonts w:ascii="Arial" w:eastAsia="Times New Roman" w:hAnsi="Arial" w:cs="Arial"/>
          <w:kern w:val="0"/>
          <w:sz w:val="21"/>
          <w:szCs w:val="21"/>
          <w14:ligatures w14:val="none"/>
        </w:rPr>
      </w:pPr>
      <w:r w:rsidRPr="00F33EBD">
        <w:rPr>
          <w:rFonts w:ascii="Arial" w:eastAsia="Times New Roman" w:hAnsi="Arial" w:cs="Arial"/>
          <w:b/>
          <w:bCs/>
          <w:kern w:val="0"/>
          <w:sz w:val="21"/>
          <w:szCs w:val="21"/>
          <w14:ligatures w14:val="none"/>
        </w:rPr>
        <w:t>Slide 12: Anticipated Contributions</w:t>
      </w:r>
    </w:p>
    <w:p w14:paraId="5A436693" w14:textId="0B5C94F9" w:rsidR="00F33EBD" w:rsidRPr="00131A5B" w:rsidRDefault="00F33EBD" w:rsidP="00131A5B">
      <w:pPr>
        <w:pStyle w:val="ListParagraph"/>
        <w:numPr>
          <w:ilvl w:val="0"/>
          <w:numId w:val="22"/>
        </w:numPr>
        <w:spacing w:after="0" w:line="240" w:lineRule="auto"/>
        <w:rPr>
          <w:rFonts w:ascii="Arial" w:eastAsia="Times New Roman" w:hAnsi="Arial" w:cs="Arial"/>
          <w:kern w:val="0"/>
          <w:sz w:val="21"/>
          <w:szCs w:val="21"/>
          <w14:ligatures w14:val="none"/>
        </w:rPr>
      </w:pPr>
      <w:r w:rsidRPr="00131A5B">
        <w:rPr>
          <w:rFonts w:ascii="Arial" w:eastAsia="Times New Roman" w:hAnsi="Arial" w:cs="Arial"/>
          <w:kern w:val="0"/>
          <w:sz w:val="21"/>
          <w:szCs w:val="21"/>
          <w14:ligatures w14:val="none"/>
        </w:rPr>
        <w:t>To conclude this presentation, Slide 12 articulates the anticipated three-dimensional contribution of this dissertation. We depart from traditional, isolated intent studies to deliver strategic value across theoretical, contextual, and methodological domains.</w:t>
      </w:r>
    </w:p>
    <w:p w14:paraId="5FC2AACC" w14:textId="77777777" w:rsidR="00F33EBD" w:rsidRPr="00131A5B" w:rsidRDefault="00F33EBD" w:rsidP="00131A5B">
      <w:pPr>
        <w:pStyle w:val="ListParagraph"/>
        <w:numPr>
          <w:ilvl w:val="0"/>
          <w:numId w:val="22"/>
        </w:numPr>
        <w:spacing w:after="0" w:line="240" w:lineRule="auto"/>
        <w:rPr>
          <w:rFonts w:ascii="Arial" w:eastAsia="Times New Roman" w:hAnsi="Arial" w:cs="Arial"/>
          <w:kern w:val="0"/>
          <w:sz w:val="21"/>
          <w:szCs w:val="21"/>
          <w14:ligatures w14:val="none"/>
        </w:rPr>
      </w:pPr>
      <w:r w:rsidRPr="00131A5B">
        <w:rPr>
          <w:rFonts w:ascii="Arial" w:eastAsia="Times New Roman" w:hAnsi="Arial" w:cs="Arial"/>
          <w:b/>
          <w:bCs/>
          <w:kern w:val="0"/>
          <w:sz w:val="21"/>
          <w:szCs w:val="21"/>
          <w14:ligatures w14:val="none"/>
        </w:rPr>
        <w:t>Theoretically</w:t>
      </w:r>
      <w:r w:rsidRPr="00131A5B">
        <w:rPr>
          <w:rFonts w:ascii="Arial" w:eastAsia="Times New Roman" w:hAnsi="Arial" w:cs="Arial"/>
          <w:kern w:val="0"/>
          <w:sz w:val="21"/>
          <w:szCs w:val="21"/>
          <w14:ligatures w14:val="none"/>
        </w:rPr>
        <w:t>, we resolve the 'Intent–Action Gap' by shifting the scholarly conversation from 'cold' cognitive models to an integrated, affective-</w:t>
      </w:r>
      <w:proofErr w:type="spellStart"/>
      <w:r w:rsidRPr="00131A5B">
        <w:rPr>
          <w:rFonts w:ascii="Arial" w:eastAsia="Times New Roman" w:hAnsi="Arial" w:cs="Arial"/>
          <w:kern w:val="0"/>
          <w:sz w:val="21"/>
          <w:szCs w:val="21"/>
          <w14:ligatures w14:val="none"/>
        </w:rPr>
        <w:t>behavioral</w:t>
      </w:r>
      <w:proofErr w:type="spellEnd"/>
      <w:r w:rsidRPr="00131A5B">
        <w:rPr>
          <w:rFonts w:ascii="Arial" w:eastAsia="Times New Roman" w:hAnsi="Arial" w:cs="Arial"/>
          <w:kern w:val="0"/>
          <w:sz w:val="21"/>
          <w:szCs w:val="21"/>
          <w14:ligatures w14:val="none"/>
        </w:rPr>
        <w:t xml:space="preserve"> framework. By infusing insights from </w:t>
      </w:r>
      <w:proofErr w:type="spellStart"/>
      <w:r w:rsidRPr="00131A5B">
        <w:rPr>
          <w:rFonts w:ascii="Arial" w:eastAsia="Times New Roman" w:hAnsi="Arial" w:cs="Arial"/>
          <w:kern w:val="0"/>
          <w:sz w:val="21"/>
          <w:szCs w:val="21"/>
          <w14:ligatures w14:val="none"/>
        </w:rPr>
        <w:t>behavioral</w:t>
      </w:r>
      <w:proofErr w:type="spellEnd"/>
      <w:r w:rsidRPr="00131A5B">
        <w:rPr>
          <w:rFonts w:ascii="Arial" w:eastAsia="Times New Roman" w:hAnsi="Arial" w:cs="Arial"/>
          <w:kern w:val="0"/>
          <w:sz w:val="21"/>
          <w:szCs w:val="21"/>
          <w14:ligatures w14:val="none"/>
        </w:rPr>
        <w:t xml:space="preserve"> economics, we model the venture entry choice not as a simple calculation, but as an intense psychological conflict against the localized reservation wage. We show how Entrepreneurial Passion multi-dimensionally triggers the cognitive distortions needed to override the economic pull of Hong Kong’s secure, high-salaried corporate landscape.</w:t>
      </w:r>
    </w:p>
    <w:p w14:paraId="2B20FEB5" w14:textId="77777777" w:rsidR="00F33EBD" w:rsidRPr="00131A5B" w:rsidRDefault="00F33EBD" w:rsidP="00131A5B">
      <w:pPr>
        <w:pStyle w:val="ListParagraph"/>
        <w:numPr>
          <w:ilvl w:val="0"/>
          <w:numId w:val="22"/>
        </w:numPr>
        <w:spacing w:after="0" w:line="240" w:lineRule="auto"/>
        <w:rPr>
          <w:rFonts w:ascii="Arial" w:eastAsia="Times New Roman" w:hAnsi="Arial" w:cs="Arial"/>
          <w:kern w:val="0"/>
          <w:sz w:val="21"/>
          <w:szCs w:val="21"/>
          <w14:ligatures w14:val="none"/>
        </w:rPr>
      </w:pPr>
      <w:r w:rsidRPr="00131A5B">
        <w:rPr>
          <w:rFonts w:ascii="Arial" w:eastAsia="Times New Roman" w:hAnsi="Arial" w:cs="Arial"/>
          <w:b/>
          <w:bCs/>
          <w:kern w:val="0"/>
          <w:sz w:val="21"/>
          <w:szCs w:val="21"/>
          <w14:ligatures w14:val="none"/>
        </w:rPr>
        <w:t>Contextually</w:t>
      </w:r>
      <w:r w:rsidRPr="00131A5B">
        <w:rPr>
          <w:rFonts w:ascii="Arial" w:eastAsia="Times New Roman" w:hAnsi="Arial" w:cs="Arial"/>
          <w:kern w:val="0"/>
          <w:sz w:val="21"/>
          <w:szCs w:val="21"/>
          <w14:ligatures w14:val="none"/>
        </w:rPr>
        <w:t xml:space="preserve">, this study addresses a profound empirical vacuum regarding macro-institutional frameworks in Asian academia. By benchmarking Hong Kong’s conservative </w:t>
      </w:r>
      <w:proofErr w:type="spellStart"/>
      <w:r w:rsidRPr="00131A5B">
        <w:rPr>
          <w:rFonts w:ascii="Arial" w:eastAsia="Times New Roman" w:hAnsi="Arial" w:cs="Arial"/>
          <w:kern w:val="0"/>
          <w:sz w:val="21"/>
          <w:szCs w:val="21"/>
          <w14:ligatures w14:val="none"/>
        </w:rPr>
        <w:t>Kirznerian</w:t>
      </w:r>
      <w:proofErr w:type="spellEnd"/>
      <w:r w:rsidRPr="00131A5B">
        <w:rPr>
          <w:rFonts w:ascii="Arial" w:eastAsia="Times New Roman" w:hAnsi="Arial" w:cs="Arial"/>
          <w:kern w:val="0"/>
          <w:sz w:val="21"/>
          <w:szCs w:val="21"/>
          <w14:ligatures w14:val="none"/>
        </w:rPr>
        <w:t xml:space="preserve"> legacy against the mature Stanford incubation archetype, we uncover how specific regional inhibitors—such as real estate friction and family face-saving dynamics—interact with Greater Bay Area infrastructure to either support or suppress Schumpeterian creation </w:t>
      </w:r>
      <w:proofErr w:type="spellStart"/>
      <w:r w:rsidRPr="00131A5B">
        <w:rPr>
          <w:rFonts w:ascii="Arial" w:eastAsia="Times New Roman" w:hAnsi="Arial" w:cs="Arial"/>
          <w:kern w:val="0"/>
          <w:sz w:val="21"/>
          <w:szCs w:val="21"/>
          <w14:ligatures w14:val="none"/>
        </w:rPr>
        <w:t>behaviors</w:t>
      </w:r>
      <w:proofErr w:type="spellEnd"/>
      <w:r w:rsidRPr="00131A5B">
        <w:rPr>
          <w:rFonts w:ascii="Arial" w:eastAsia="Times New Roman" w:hAnsi="Arial" w:cs="Arial"/>
          <w:kern w:val="0"/>
          <w:sz w:val="21"/>
          <w:szCs w:val="21"/>
          <w14:ligatures w14:val="none"/>
        </w:rPr>
        <w:t>.</w:t>
      </w:r>
    </w:p>
    <w:p w14:paraId="1F3DDC39" w14:textId="77777777" w:rsidR="00F33EBD" w:rsidRPr="00131A5B" w:rsidRDefault="00F33EBD" w:rsidP="00131A5B">
      <w:pPr>
        <w:pStyle w:val="ListParagraph"/>
        <w:numPr>
          <w:ilvl w:val="0"/>
          <w:numId w:val="22"/>
        </w:numPr>
        <w:spacing w:after="0" w:line="240" w:lineRule="auto"/>
        <w:rPr>
          <w:rFonts w:ascii="Arial" w:eastAsia="Times New Roman" w:hAnsi="Arial" w:cs="Arial"/>
          <w:kern w:val="0"/>
          <w:sz w:val="21"/>
          <w:szCs w:val="21"/>
          <w14:ligatures w14:val="none"/>
        </w:rPr>
      </w:pPr>
      <w:r w:rsidRPr="00131A5B">
        <w:rPr>
          <w:rFonts w:ascii="Arial" w:eastAsia="Times New Roman" w:hAnsi="Arial" w:cs="Arial"/>
          <w:b/>
          <w:bCs/>
          <w:kern w:val="0"/>
          <w:sz w:val="21"/>
          <w:szCs w:val="21"/>
          <w14:ligatures w14:val="none"/>
        </w:rPr>
        <w:t>Finally, Methodologically</w:t>
      </w:r>
      <w:r w:rsidRPr="00131A5B">
        <w:rPr>
          <w:rFonts w:ascii="Arial" w:eastAsia="Times New Roman" w:hAnsi="Arial" w:cs="Arial"/>
          <w:kern w:val="0"/>
          <w:sz w:val="21"/>
          <w:szCs w:val="21"/>
          <w14:ligatures w14:val="none"/>
        </w:rPr>
        <w:t xml:space="preserve">, we address the pervasive 'granularity gap' in localized literature. Beyond our sequential mixed-methods design, this dissertation delivers a tangible, practical asset to the community: an </w:t>
      </w:r>
      <w:r w:rsidRPr="00131A5B">
        <w:rPr>
          <w:rFonts w:ascii="Arial" w:eastAsia="Times New Roman" w:hAnsi="Arial" w:cs="Arial"/>
          <w:b/>
          <w:bCs/>
          <w:kern w:val="0"/>
          <w:sz w:val="21"/>
          <w:szCs w:val="21"/>
          <w14:ligatures w14:val="none"/>
        </w:rPr>
        <w:t>Open-Science Interactive SLR Architecture</w:t>
      </w:r>
      <w:r w:rsidRPr="00131A5B">
        <w:rPr>
          <w:rFonts w:ascii="Arial" w:eastAsia="Times New Roman" w:hAnsi="Arial" w:cs="Arial"/>
          <w:kern w:val="0"/>
          <w:sz w:val="21"/>
          <w:szCs w:val="21"/>
          <w14:ligatures w14:val="none"/>
        </w:rPr>
        <w:t>. By transforming our raw corpus of 285 articles into a searchable, dynamic web repository, we enable future researchers to instantaneously isolate and sort theoretical combinations, eliminating traditional coding barriers and fostering collaborative regional growth.</w:t>
      </w:r>
    </w:p>
    <w:p w14:paraId="74D6E6E0" w14:textId="77777777" w:rsidR="00F33EBD" w:rsidRPr="00131A5B" w:rsidRDefault="00F33EBD" w:rsidP="00131A5B">
      <w:pPr>
        <w:pStyle w:val="ListParagraph"/>
        <w:numPr>
          <w:ilvl w:val="0"/>
          <w:numId w:val="22"/>
        </w:numPr>
        <w:spacing w:after="0" w:line="240" w:lineRule="auto"/>
        <w:rPr>
          <w:rFonts w:ascii="Arial" w:eastAsia="Times New Roman" w:hAnsi="Arial" w:cs="Arial"/>
          <w:kern w:val="0"/>
          <w:sz w:val="21"/>
          <w:szCs w:val="21"/>
          <w14:ligatures w14:val="none"/>
        </w:rPr>
      </w:pPr>
      <w:r w:rsidRPr="00131A5B">
        <w:rPr>
          <w:rFonts w:ascii="Arial" w:eastAsia="Times New Roman" w:hAnsi="Arial" w:cs="Arial"/>
          <w:kern w:val="0"/>
          <w:sz w:val="21"/>
          <w:szCs w:val="21"/>
          <w14:ligatures w14:val="none"/>
        </w:rPr>
        <w:t>By bridging the gap between macro-level ecosystem capitalization and micro-level cognitive actions, these combined outputs establish a robust foundation for my ongoing research. Thank you for your time, and I now welcome your questions and feedback."</w:t>
      </w:r>
    </w:p>
    <w:p w14:paraId="00F34362" w14:textId="77777777" w:rsidR="00F33EBD" w:rsidRDefault="00F33EBD" w:rsidP="005C759F"/>
    <w:sectPr w:rsidR="00F33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83D7E"/>
    <w:multiLevelType w:val="multilevel"/>
    <w:tmpl w:val="7CF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E501B"/>
    <w:multiLevelType w:val="hybridMultilevel"/>
    <w:tmpl w:val="A1AE2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867095"/>
    <w:multiLevelType w:val="hybridMultilevel"/>
    <w:tmpl w:val="96DCE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322029"/>
    <w:multiLevelType w:val="hybridMultilevel"/>
    <w:tmpl w:val="DB9A2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C5178C"/>
    <w:multiLevelType w:val="hybridMultilevel"/>
    <w:tmpl w:val="194CD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22038E"/>
    <w:multiLevelType w:val="hybridMultilevel"/>
    <w:tmpl w:val="0F86D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297069"/>
    <w:multiLevelType w:val="multilevel"/>
    <w:tmpl w:val="856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E3EAE"/>
    <w:multiLevelType w:val="hybridMultilevel"/>
    <w:tmpl w:val="B60C8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000731"/>
    <w:multiLevelType w:val="hybridMultilevel"/>
    <w:tmpl w:val="37867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3570FB"/>
    <w:multiLevelType w:val="multilevel"/>
    <w:tmpl w:val="3E9E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C60ADC"/>
    <w:multiLevelType w:val="hybridMultilevel"/>
    <w:tmpl w:val="8D3CA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486696"/>
    <w:multiLevelType w:val="hybridMultilevel"/>
    <w:tmpl w:val="BC80F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A21129"/>
    <w:multiLevelType w:val="hybridMultilevel"/>
    <w:tmpl w:val="F1503C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0964ABE"/>
    <w:multiLevelType w:val="hybridMultilevel"/>
    <w:tmpl w:val="5272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F47B3F"/>
    <w:multiLevelType w:val="multilevel"/>
    <w:tmpl w:val="F246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968E0"/>
    <w:multiLevelType w:val="hybridMultilevel"/>
    <w:tmpl w:val="63343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6910D8"/>
    <w:multiLevelType w:val="hybridMultilevel"/>
    <w:tmpl w:val="BCEC5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CC54FF"/>
    <w:multiLevelType w:val="multilevel"/>
    <w:tmpl w:val="F4E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00676"/>
    <w:multiLevelType w:val="hybridMultilevel"/>
    <w:tmpl w:val="3A424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330C49"/>
    <w:multiLevelType w:val="hybridMultilevel"/>
    <w:tmpl w:val="E5383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372D10"/>
    <w:multiLevelType w:val="multilevel"/>
    <w:tmpl w:val="F7D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537EF"/>
    <w:multiLevelType w:val="hybridMultilevel"/>
    <w:tmpl w:val="21482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1528474">
    <w:abstractNumId w:val="20"/>
  </w:num>
  <w:num w:numId="2" w16cid:durableId="280308776">
    <w:abstractNumId w:val="0"/>
  </w:num>
  <w:num w:numId="3" w16cid:durableId="150801387">
    <w:abstractNumId w:val="6"/>
  </w:num>
  <w:num w:numId="4" w16cid:durableId="539363647">
    <w:abstractNumId w:val="17"/>
  </w:num>
  <w:num w:numId="5" w16cid:durableId="58410704">
    <w:abstractNumId w:val="9"/>
  </w:num>
  <w:num w:numId="6" w16cid:durableId="1582593910">
    <w:abstractNumId w:val="4"/>
  </w:num>
  <w:num w:numId="7" w16cid:durableId="1389917366">
    <w:abstractNumId w:val="12"/>
  </w:num>
  <w:num w:numId="8" w16cid:durableId="1433670486">
    <w:abstractNumId w:val="19"/>
  </w:num>
  <w:num w:numId="9" w16cid:durableId="1351642535">
    <w:abstractNumId w:val="16"/>
  </w:num>
  <w:num w:numId="10" w16cid:durableId="771556189">
    <w:abstractNumId w:val="10"/>
  </w:num>
  <w:num w:numId="11" w16cid:durableId="1090201647">
    <w:abstractNumId w:val="13"/>
  </w:num>
  <w:num w:numId="12" w16cid:durableId="559755541">
    <w:abstractNumId w:val="7"/>
  </w:num>
  <w:num w:numId="13" w16cid:durableId="1696029959">
    <w:abstractNumId w:val="3"/>
  </w:num>
  <w:num w:numId="14" w16cid:durableId="444229726">
    <w:abstractNumId w:val="2"/>
  </w:num>
  <w:num w:numId="15" w16cid:durableId="670840951">
    <w:abstractNumId w:val="21"/>
  </w:num>
  <w:num w:numId="16" w16cid:durableId="1542477003">
    <w:abstractNumId w:val="8"/>
  </w:num>
  <w:num w:numId="17" w16cid:durableId="1316761447">
    <w:abstractNumId w:val="11"/>
  </w:num>
  <w:num w:numId="18" w16cid:durableId="1071268074">
    <w:abstractNumId w:val="1"/>
  </w:num>
  <w:num w:numId="19" w16cid:durableId="143935815">
    <w:abstractNumId w:val="18"/>
  </w:num>
  <w:num w:numId="20" w16cid:durableId="1569921296">
    <w:abstractNumId w:val="5"/>
  </w:num>
  <w:num w:numId="21" w16cid:durableId="2027978401">
    <w:abstractNumId w:val="14"/>
  </w:num>
  <w:num w:numId="22" w16cid:durableId="1503811171">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CD7"/>
    <w:rsid w:val="00026EFE"/>
    <w:rsid w:val="000934C7"/>
    <w:rsid w:val="000A454E"/>
    <w:rsid w:val="00131A5B"/>
    <w:rsid w:val="001E110A"/>
    <w:rsid w:val="002A0DA1"/>
    <w:rsid w:val="002B142C"/>
    <w:rsid w:val="002F21FE"/>
    <w:rsid w:val="003339A5"/>
    <w:rsid w:val="00364BC5"/>
    <w:rsid w:val="00421632"/>
    <w:rsid w:val="004360B2"/>
    <w:rsid w:val="00475855"/>
    <w:rsid w:val="004C7458"/>
    <w:rsid w:val="004D3853"/>
    <w:rsid w:val="004F2DDC"/>
    <w:rsid w:val="005312BF"/>
    <w:rsid w:val="005A4990"/>
    <w:rsid w:val="005C759F"/>
    <w:rsid w:val="00601AD8"/>
    <w:rsid w:val="00670E6B"/>
    <w:rsid w:val="007B0504"/>
    <w:rsid w:val="008456BA"/>
    <w:rsid w:val="00887D06"/>
    <w:rsid w:val="0095520C"/>
    <w:rsid w:val="00982087"/>
    <w:rsid w:val="00983469"/>
    <w:rsid w:val="00984E37"/>
    <w:rsid w:val="009D4397"/>
    <w:rsid w:val="00A410FC"/>
    <w:rsid w:val="00AA59FD"/>
    <w:rsid w:val="00B40067"/>
    <w:rsid w:val="00BE5FC1"/>
    <w:rsid w:val="00CB56EF"/>
    <w:rsid w:val="00D00C05"/>
    <w:rsid w:val="00E06CD7"/>
    <w:rsid w:val="00E67DB2"/>
    <w:rsid w:val="00F05181"/>
    <w:rsid w:val="00F33EBD"/>
    <w:rsid w:val="00F53E20"/>
    <w:rsid w:val="00F640B2"/>
    <w:rsid w:val="00F9695B"/>
    <w:rsid w:val="00FC1929"/>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0887D83"/>
  <w15:chartTrackingRefBased/>
  <w15:docId w15:val="{31D8392B-4870-B542-8CEB-8ECE19CD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CD7"/>
    <w:rPr>
      <w:rFonts w:eastAsiaTheme="majorEastAsia" w:cstheme="majorBidi"/>
      <w:color w:val="272727" w:themeColor="text1" w:themeTint="D8"/>
    </w:rPr>
  </w:style>
  <w:style w:type="paragraph" w:styleId="Title">
    <w:name w:val="Title"/>
    <w:basedOn w:val="Normal"/>
    <w:next w:val="Normal"/>
    <w:link w:val="TitleChar"/>
    <w:uiPriority w:val="10"/>
    <w:qFormat/>
    <w:rsid w:val="00E06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CD7"/>
    <w:pPr>
      <w:spacing w:before="160"/>
      <w:jc w:val="center"/>
    </w:pPr>
    <w:rPr>
      <w:i/>
      <w:iCs/>
      <w:color w:val="404040" w:themeColor="text1" w:themeTint="BF"/>
    </w:rPr>
  </w:style>
  <w:style w:type="character" w:customStyle="1" w:styleId="QuoteChar">
    <w:name w:val="Quote Char"/>
    <w:basedOn w:val="DefaultParagraphFont"/>
    <w:link w:val="Quote"/>
    <w:uiPriority w:val="29"/>
    <w:rsid w:val="00E06CD7"/>
    <w:rPr>
      <w:i/>
      <w:iCs/>
      <w:color w:val="404040" w:themeColor="text1" w:themeTint="BF"/>
    </w:rPr>
  </w:style>
  <w:style w:type="paragraph" w:styleId="ListParagraph">
    <w:name w:val="List Paragraph"/>
    <w:basedOn w:val="Normal"/>
    <w:uiPriority w:val="34"/>
    <w:qFormat/>
    <w:rsid w:val="00E06CD7"/>
    <w:pPr>
      <w:ind w:left="720"/>
      <w:contextualSpacing/>
    </w:pPr>
  </w:style>
  <w:style w:type="character" w:styleId="IntenseEmphasis">
    <w:name w:val="Intense Emphasis"/>
    <w:basedOn w:val="DefaultParagraphFont"/>
    <w:uiPriority w:val="21"/>
    <w:qFormat/>
    <w:rsid w:val="00E06CD7"/>
    <w:rPr>
      <w:i/>
      <w:iCs/>
      <w:color w:val="0F4761" w:themeColor="accent1" w:themeShade="BF"/>
    </w:rPr>
  </w:style>
  <w:style w:type="paragraph" w:styleId="IntenseQuote">
    <w:name w:val="Intense Quote"/>
    <w:basedOn w:val="Normal"/>
    <w:next w:val="Normal"/>
    <w:link w:val="IntenseQuoteChar"/>
    <w:uiPriority w:val="30"/>
    <w:qFormat/>
    <w:rsid w:val="00E06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CD7"/>
    <w:rPr>
      <w:i/>
      <w:iCs/>
      <w:color w:val="0F4761" w:themeColor="accent1" w:themeShade="BF"/>
    </w:rPr>
  </w:style>
  <w:style w:type="character" w:styleId="IntenseReference">
    <w:name w:val="Intense Reference"/>
    <w:basedOn w:val="DefaultParagraphFont"/>
    <w:uiPriority w:val="32"/>
    <w:qFormat/>
    <w:rsid w:val="00E06CD7"/>
    <w:rPr>
      <w:b/>
      <w:bCs/>
      <w:smallCaps/>
      <w:color w:val="0F4761" w:themeColor="accent1" w:themeShade="BF"/>
      <w:spacing w:val="5"/>
    </w:rPr>
  </w:style>
  <w:style w:type="character" w:styleId="Strong">
    <w:name w:val="Strong"/>
    <w:basedOn w:val="DefaultParagraphFont"/>
    <w:uiPriority w:val="22"/>
    <w:qFormat/>
    <w:rsid w:val="005C759F"/>
    <w:rPr>
      <w:b/>
      <w:bCs/>
    </w:rPr>
  </w:style>
  <w:style w:type="character" w:styleId="Emphasis">
    <w:name w:val="Emphasis"/>
    <w:basedOn w:val="DefaultParagraphFont"/>
    <w:uiPriority w:val="20"/>
    <w:qFormat/>
    <w:rsid w:val="005C759F"/>
    <w:rPr>
      <w:i/>
      <w:iCs/>
    </w:rPr>
  </w:style>
  <w:style w:type="character" w:customStyle="1" w:styleId="math-tex">
    <w:name w:val="math-tex"/>
    <w:basedOn w:val="DefaultParagraphFont"/>
    <w:rsid w:val="005C7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2880</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Research Plymouth</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Chan, Joe</dc:creator>
  <cp:keywords/>
  <dc:description/>
  <cp:lastModifiedBy>K.C. Chan, Joe</cp:lastModifiedBy>
  <cp:revision>11</cp:revision>
  <dcterms:created xsi:type="dcterms:W3CDTF">2026-05-26T13:05:00Z</dcterms:created>
  <dcterms:modified xsi:type="dcterms:W3CDTF">2026-05-29T02:18:00Z</dcterms:modified>
</cp:coreProperties>
</file>