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747A38A"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Overestimated Effects of Violent Games on Aggressive Outcomes in Anderson et al. (2010)</w:t>
      </w:r>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8"/>
          <w:headerReference w:type="first" r:id="rId9"/>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52D3A1F4" w:rsidR="000A12B8" w:rsidRPr="00C135D7" w:rsidRDefault="000A12B8" w:rsidP="00C135D7">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 that 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 of the trim-and-fill procedure. However, there are now more sophisticated methods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trim-and-fill for the detection of, and adjustment for, publication bias. 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manuscript, we re-examine their meta-analysis and apply these new 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markedly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in three salient ways. First, we detect significant 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 Second, experiments meeting these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 quality do not find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represent a subsample of experiments in which statistical significance was</w:t>
      </w:r>
      <w:r w:rsidR="00CE7770">
        <w:rPr>
          <w:rFonts w:ascii="Times New Roman" w:hAnsi="Times New Roman" w:cs="Times New Roman"/>
          <w:sz w:val="24"/>
          <w:szCs w:val="24"/>
        </w:rPr>
        <w:t xml:space="preserve"> more frequently</w:t>
      </w:r>
      <w:r w:rsidRPr="00C135D7">
        <w:rPr>
          <w:rFonts w:ascii="Times New Roman" w:hAnsi="Times New Roman" w:cs="Times New Roman"/>
          <w:sz w:val="24"/>
          <w:szCs w:val="24"/>
        </w:rPr>
        <w:t xml:space="preserve"> found.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adjusting for bias, there is often little difference between the two estimates. Finally,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accounting for publication bias, effects of violent games on aggressive behavior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research are estimated as being very small, and estimates of effects o</w:t>
      </w:r>
      <w:r w:rsidR="001F2D1D" w:rsidRPr="00C135D7">
        <w:rPr>
          <w:rFonts w:ascii="Times New Roman" w:hAnsi="Times New Roman" w:cs="Times New Roman"/>
          <w:sz w:val="24"/>
          <w:szCs w:val="24"/>
        </w:rPr>
        <w:t xml:space="preserve">n </w:t>
      </w:r>
      <w:r w:rsidRPr="00C135D7">
        <w:rPr>
          <w:rFonts w:ascii="Times New Roman" w:hAnsi="Times New Roman" w:cs="Times New Roman"/>
          <w:sz w:val="24"/>
          <w:szCs w:val="24"/>
        </w:rPr>
        <w:t>aggressive affect are much reduced. In contrast, the cross-sectional literature finds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that are relatively robust to adjustments for small-study effects.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Psychological research provides evidence of such a link, leading professional organizations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issue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 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p>
    <w:p w14:paraId="3A49BAF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p>
    <w:p w14:paraId="3997248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subset, but 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experiments but are also found in cross-sectional </w:t>
      </w:r>
      <w:r w:rsidRPr="00C135D7">
        <w:rPr>
          <w:rFonts w:ascii="Times New Roman" w:hAnsi="Times New Roman" w:cs="Times New Roman"/>
          <w:sz w:val="24"/>
          <w:szCs w:val="24"/>
        </w:rPr>
        <w:lastRenderedPageBreak/>
        <w:t>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designs. 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 detect and adjust for publication bias. This procedure recommended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suggesting that the research literature was only minimally contaminated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Bushman, Rothstein, and Anderson (2010) and Huesmann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inclusion criteria. Other skeptics, such as Elson, Mohseni, Breuer, Scharkow,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Quandt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analysis.</w:t>
      </w:r>
    </w:p>
    <w:p w14:paraId="7F7FDE74" w14:textId="78B7E8A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To address this continued skepticism, we re-analyze the meta-analysis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public health and for freedom of expression alike. Second,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 Third,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including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Stanley &amp; Doucouliagos,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(van Assen, van Aert,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Wicherts, 2015) may provide better adjustments for these potential artifacts than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 used in Anderson et al. (2010).</w:t>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w:t>
      </w:r>
      <w:r w:rsidRPr="00C135D7">
        <w:rPr>
          <w:rFonts w:ascii="Times New Roman" w:hAnsi="Times New Roman" w:cs="Times New Roman"/>
          <w:sz w:val="24"/>
          <w:szCs w:val="24"/>
        </w:rPr>
        <w:lastRenderedPageBreak/>
        <w:t>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First, although it was state-of-the-art at the time of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the trim-and-fill correction is understood today to be somewhat ineffective.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(Simonsohn et al., 2014b; van Assen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to zero when the null is true and there is publication bias (Moreno et al., 2009; van Assen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non-dissertation study was found. We suspect that, despite the authors’ efforts,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51A39E2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full sample fails to detect an effect. Another form </w:t>
      </w:r>
      <w:r w:rsidR="000A12B8" w:rsidRPr="00C135D7">
        <w:rPr>
          <w:rFonts w:ascii="Times New Roman" w:hAnsi="Times New Roman" w:cs="Times New Roman"/>
          <w:sz w:val="24"/>
          <w:szCs w:val="24"/>
        </w:rPr>
        <w:lastRenderedPageBreak/>
        <w:t xml:space="preserve">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more statistically 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 In that regard,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the best-practices inclusion criteria applied by Anderson et al. was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subject of some controversy. Ferguson and Kilburn (2010) 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 If this is the case, then the best-practices subset may find larger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not due to stronger methodology, but because of greater overestima</w:t>
      </w:r>
      <w:r w:rsidR="00A42274" w:rsidRPr="00C135D7">
        <w:rPr>
          <w:rFonts w:ascii="Times New Roman" w:hAnsi="Times New Roman" w:cs="Times New Roman"/>
          <w:sz w:val="24"/>
          <w:szCs w:val="24"/>
        </w:rPr>
        <w:t>t</w:t>
      </w:r>
      <w:r w:rsidRPr="00C135D7">
        <w:rPr>
          <w:rFonts w:ascii="Times New Roman" w:hAnsi="Times New Roman" w:cs="Times New Roman"/>
          <w:sz w:val="24"/>
          <w:szCs w:val="24"/>
        </w:rPr>
        <w:t>ion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selection bias.</w:t>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 </w:t>
      </w:r>
      <w:r w:rsidRPr="00C135D7">
        <w:rPr>
          <w:rFonts w:ascii="Times New Roman" w:hAnsi="Times New Roman" w:cs="Times New Roman"/>
          <w:sz w:val="24"/>
          <w:szCs w:val="24"/>
        </w:rPr>
        <w:lastRenderedPageBreak/>
        <w:t>(2010).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 and precision (or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 and precision;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inverse relationship between effect size and precision.</w:t>
      </w:r>
    </w:p>
    <w:p w14:paraId="72F3E58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 in general, and the relationship between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precision in particular, is whether the combined studies are similar enough to each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other that synthesizing them is reasonable. When studies are similar, they are said to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homogeneous; when they are dissimilar, they are said to be heterogeneous. Meta-analysts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seek to minimize the extent of heterogeneity by dividing studies into roughly homogeneous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subgroups based on their methodologies, study populations, and other features. Despite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efforts, results can nevertheless be inconsistent across studies, and conclusions must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 the challenges of heterogeneity. Heterogeneity can be estimated statistically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examining whether the variance between studies exceeds what would be expected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sampling error alone. Most of the bias-adjustment methods below assume homogeneity,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all will have difficulty in the face of substantial heterogeneity.</w:t>
      </w:r>
    </w:p>
    <w:p w14:paraId="11BA1C7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Sometimes heterogeneity can cause a correlation between sample size and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is not due to bias. For example, experimental studies tend to have smaller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cross-sectional studies, and each paradigm may reflect different underlying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Alternatively, it may be possible that manipulations and measurements in small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more effective than in large samples. If effect sizes are heterogeneous and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are performing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analyses, there will be a relationship between sample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 size that does not represent bias in research. To represent these possibilities,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relationships between sample size and effect size are often called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rather than “publication bias.” Some of these possibilities can be excluded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 For example, conducting separate bias tests for cross-sectional and experimental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can rule out study design as a potential cause of small-study effects.</w:t>
      </w:r>
    </w:p>
    <w:p w14:paraId="2BE34E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 and sample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 xml:space="preserve">-axis and precision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heterogeneity, study results will form a symmetrical funnel shape, 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not bias.</w:t>
      </w:r>
    </w:p>
    <w:p w14:paraId="4A45CC0C" w14:textId="707B784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portion of the funnel where results would not reach statistical significance.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attained, published </w:t>
      </w:r>
      <w:r w:rsidRPr="00C135D7">
        <w:rPr>
          <w:rFonts w:ascii="Times New Roman" w:hAnsi="Times New Roman" w:cs="Times New Roman"/>
          <w:sz w:val="24"/>
          <w:szCs w:val="24"/>
        </w:rPr>
        <w:lastRenderedPageBreak/>
        <w:t>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dropped from report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edge of the funnel. When outcomes are censored from</w:t>
      </w:r>
      <w:ins w:id="0" w:author="Joe" w:date="2016-06-15T08:05:00Z">
        <w:r w:rsidR="00147815">
          <w:rPr>
            <w:rFonts w:ascii="Times New Roman" w:hAnsi="Times New Roman" w:cs="Times New Roman"/>
            <w:sz w:val="24"/>
            <w:szCs w:val="24"/>
          </w:rPr>
          <w:t xml:space="preserve"> a</w:t>
        </w:r>
      </w:ins>
      <w:r w:rsidRPr="00C135D7">
        <w:rPr>
          <w:rFonts w:ascii="Times New Roman" w:hAnsi="Times New Roman" w:cs="Times New Roman"/>
          <w:sz w:val="24"/>
          <w:szCs w:val="24"/>
        </w:rPr>
        <w:t xml:space="preserve"> report to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72B1D7A0" w14:textId="6125767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Under conditions of heterogeneity, funnel plots may overestimate the degree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asymmetry (Lau, Ioannidis, Terrin, Schmid, &amp; Olkin, 2006; Terrin, Schmid, Lau, &amp; Olkin,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Variability among studies may cause some precisely estimated studies to have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estimates far from the overall mean, giving the false impression of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this reason, homogeneity is desired for tests and adjustments related to the funnel plot.</w:t>
      </w:r>
      <w:ins w:id="1" w:author="Joe" w:date="2016-06-15T08:05:00Z">
        <w:r w:rsidR="00147815">
          <w:rPr>
            <w:rFonts w:ascii="Times New Roman" w:hAnsi="Times New Roman" w:cs="Times New Roman"/>
            <w:sz w:val="24"/>
            <w:szCs w:val="24"/>
          </w:rPr>
          <w:t xml:space="preserve"> However, it is often the case </w:t>
        </w:r>
      </w:ins>
      <w:ins w:id="2" w:author="Joe" w:date="2016-06-15T08:06:00Z">
        <w:r w:rsidR="00147815">
          <w:rPr>
            <w:rFonts w:ascii="Times New Roman" w:hAnsi="Times New Roman" w:cs="Times New Roman"/>
            <w:sz w:val="24"/>
            <w:szCs w:val="24"/>
          </w:rPr>
          <w:t xml:space="preserve">in meta-analysis </w:t>
        </w:r>
      </w:ins>
      <w:ins w:id="3" w:author="Joe" w:date="2016-06-15T08:05:00Z">
        <w:r w:rsidR="00147815">
          <w:rPr>
            <w:rFonts w:ascii="Times New Roman" w:hAnsi="Times New Roman" w:cs="Times New Roman"/>
            <w:sz w:val="24"/>
            <w:szCs w:val="24"/>
          </w:rPr>
          <w:t>that heterogeneity is present</w:t>
        </w:r>
      </w:ins>
      <w:ins w:id="4" w:author="Joe" w:date="2016-06-15T08:06:00Z">
        <w:r w:rsidR="00147815">
          <w:rPr>
            <w:rFonts w:ascii="Times New Roman" w:hAnsi="Times New Roman" w:cs="Times New Roman"/>
            <w:sz w:val="24"/>
            <w:szCs w:val="24"/>
          </w:rPr>
          <w:t xml:space="preserve"> and cannot be eliminated through consideration of moderators. [CITATION NEEDED]</w:t>
        </w:r>
      </w:ins>
    </w:p>
    <w:p w14:paraId="2BAA0B3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of the critical issues in meta-analysis is what may be learned in the presence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The most charitable position is that researchers may assess the degree of bias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needed corrections to recover accurate effect size estimates (e.g.,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Simonsohn et al., 2014b). We are less sanguine, as much is unknown about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properties of corrections—their efficiency and bias in realistically-sized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 well as their robustness to violations of assumptions. Still, they have some value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We provide a review of the bias-detection-and-correction methods used in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noting the strengths and weaknesses of each.</w:t>
      </w:r>
    </w:p>
    <w:p w14:paraId="357CFAA6" w14:textId="592975E8"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w:t>
      </w:r>
      <w:del w:id="5" w:author="Joe" w:date="2016-06-15T08:08:00Z">
        <w:r w:rsidRPr="00C135D7" w:rsidDel="00147815">
          <w:rPr>
            <w:rFonts w:ascii="Times New Roman" w:hAnsi="Times New Roman" w:cs="Times New Roman"/>
            <w:sz w:val="24"/>
            <w:szCs w:val="24"/>
          </w:rPr>
          <w:delText xml:space="preserve">Sterne &amp; </w:delText>
        </w:r>
      </w:del>
      <w:r w:rsidRPr="00C135D7">
        <w:rPr>
          <w:rFonts w:ascii="Times New Roman" w:hAnsi="Times New Roman" w:cs="Times New Roman"/>
          <w:sz w:val="24"/>
          <w:szCs w:val="24"/>
        </w:rPr>
        <w:t>Egger</w:t>
      </w:r>
      <w:ins w:id="6" w:author="Joe" w:date="2016-06-15T08:08:00Z">
        <w:r w:rsidR="00147815">
          <w:rPr>
            <w:rFonts w:ascii="Times New Roman" w:hAnsi="Times New Roman" w:cs="Times New Roman"/>
            <w:sz w:val="24"/>
            <w:szCs w:val="24"/>
          </w:rPr>
          <w:t xml:space="preserve"> [ET AL?]</w:t>
        </w:r>
      </w:ins>
      <w:r w:rsidRPr="00C135D7">
        <w:rPr>
          <w:rFonts w:ascii="Times New Roman" w:hAnsi="Times New Roman" w:cs="Times New Roman"/>
          <w:sz w:val="24"/>
          <w:szCs w:val="24"/>
        </w:rPr>
        <w:t xml:space="preserve">, </w:t>
      </w:r>
      <w:ins w:id="7" w:author="Joe" w:date="2016-06-15T08:08:00Z">
        <w:r w:rsidR="00147815">
          <w:rPr>
            <w:rFonts w:ascii="Times New Roman" w:hAnsi="Times New Roman" w:cs="Times New Roman"/>
            <w:sz w:val="24"/>
            <w:szCs w:val="24"/>
          </w:rPr>
          <w:t>1997</w:t>
        </w:r>
      </w:ins>
      <w:del w:id="8" w:author="Joe" w:date="2016-06-15T08:08:00Z">
        <w:r w:rsidRPr="00C135D7" w:rsidDel="00147815">
          <w:rPr>
            <w:rFonts w:ascii="Times New Roman" w:hAnsi="Times New Roman" w:cs="Times New Roman"/>
            <w:sz w:val="24"/>
            <w:szCs w:val="24"/>
          </w:rPr>
          <w:delText>2005</w:delText>
        </w:r>
      </w:del>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sample size </w:t>
      </w:r>
      <w:r w:rsidRPr="00C135D7">
        <w:rPr>
          <w:rFonts w:ascii="Times New Roman" w:hAnsi="Times New Roman" w:cs="Times New Roman"/>
          <w:sz w:val="24"/>
          <w:szCs w:val="24"/>
        </w:rPr>
        <w:lastRenderedPageBreak/>
        <w:t>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drawn through application of the test (Sterne, Gavaghan,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likely to degrade under conditions of heterogeneity (e.g., Lau et al., 2006; Terrin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ins w:id="9" w:author="Joe" w:date="2016-06-15T08:09:00Z">
        <w:r w:rsidR="00147815">
          <w:rPr>
            <w:rFonts w:ascii="Times New Roman" w:hAnsi="Times New Roman" w:cs="Times New Roman"/>
            <w:sz w:val="24"/>
            <w:szCs w:val="24"/>
          </w:rPr>
          <w:t xml:space="preserve"> evidence of</w:t>
        </w:r>
      </w:ins>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Studies are trimmed and filled in this manner until the ranks are roughly equal.</w:t>
      </w:r>
    </w:p>
    <w:p w14:paraId="6A72F1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Trim-and-fill has its critics. Moreno et al. (2009), Simonsohn et al. (2014b), and van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Assen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data to the meta-analysis. Finally, as with most adjustments for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performs best when studies are </w:t>
      </w:r>
      <w:r w:rsidRPr="00C135D7">
        <w:rPr>
          <w:rFonts w:ascii="Times New Roman" w:hAnsi="Times New Roman" w:cs="Times New Roman"/>
          <w:sz w:val="24"/>
          <w:szCs w:val="24"/>
        </w:rPr>
        <w:lastRenderedPageBreak/>
        <w:t>homogeneous. Terrin et al. (2003) point out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heterogeneity may degrade trim-and-fill’s performance considerably.</w:t>
      </w:r>
      <w:r w:rsidR="00A42274" w:rsidRPr="00C135D7">
        <w:rPr>
          <w:rFonts w:ascii="Times New Roman" w:hAnsi="Times New Roman" w:cs="Times New Roman"/>
          <w:sz w:val="24"/>
          <w:szCs w:val="24"/>
        </w:rPr>
        <w:t xml:space="preserve">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commentRangeStart w:id="10"/>
      <w:r w:rsidRPr="00C135D7">
        <w:rPr>
          <w:rFonts w:ascii="Times New Roman" w:hAnsi="Times New Roman" w:cs="Times New Roman"/>
          <w:sz w:val="24"/>
          <w:szCs w:val="24"/>
        </w:rPr>
        <w:t>meta-analysis.</w:t>
      </w:r>
      <w:commentRangeEnd w:id="10"/>
      <w:r w:rsidR="00DF0008">
        <w:rPr>
          <w:rStyle w:val="CommentReference"/>
        </w:rPr>
        <w:commentReference w:id="10"/>
      </w:r>
      <w:r w:rsidRPr="00C135D7">
        <w:rPr>
          <w:rFonts w:ascii="Times New Roman" w:hAnsi="Times New Roman" w:cs="Times New Roman"/>
          <w:sz w:val="24"/>
          <w:szCs w:val="24"/>
        </w:rPr>
        <w:t xml:space="preserve">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concluded minimal research bias. 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 and precision, then estimating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size that would be found with perfect precision.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Standard Error (PEESE) (Stanley &amp; Doucouliagos, 2014).</w:t>
      </w:r>
      <w:r w:rsidR="00A42274" w:rsidRPr="00C135D7">
        <w:rPr>
          <w:rFonts w:ascii="Times New Roman" w:hAnsi="Times New Roman" w:cs="Times New Roman"/>
          <w:sz w:val="24"/>
          <w:szCs w:val="24"/>
        </w:rPr>
        <w:t xml:space="preserve"> </w:t>
      </w:r>
    </w:p>
    <w:p w14:paraId="7434A8A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and precision,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 represents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extrapolation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boundary between statistical significance and nonsignificance,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between sample size and precision. Thus, PET </w:t>
      </w:r>
      <w:r w:rsidRPr="00C135D7">
        <w:rPr>
          <w:rFonts w:ascii="Times New Roman" w:hAnsi="Times New Roman" w:cs="Times New Roman"/>
          <w:sz w:val="24"/>
          <w:szCs w:val="24"/>
        </w:rPr>
        <w:lastRenderedPageBreak/>
        <w:t>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effect. When there is an underlying effect, small studies will be censored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(Stanley &amp; Doucouliagos, 2014).</w:t>
      </w:r>
    </w:p>
    <w:p w14:paraId="2337DF8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commentRangeStart w:id="11"/>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 and precision.</w:t>
      </w:r>
      <w:commentRangeEnd w:id="11"/>
      <w:r w:rsidR="00DF0008">
        <w:rPr>
          <w:rStyle w:val="CommentReference"/>
        </w:rPr>
        <w:commentReference w:id="11"/>
      </w:r>
      <w:r w:rsidRPr="00C135D7">
        <w:rPr>
          <w:rFonts w:ascii="Times New Roman" w:hAnsi="Times New Roman" w:cs="Times New Roman"/>
          <w:sz w:val="24"/>
          <w:szCs w:val="24"/>
        </w:rPr>
        <w:t xml:space="preserv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curve models bias as being stronger in the lower part of the funnel but reduced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studies become better-powered and less subject to censoring. Again, in the absence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adjustment is minimal. </w:t>
      </w:r>
      <w:commentRangeStart w:id="12"/>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but risks overestimating the size of null effects (Stanley &amp; Doucouliagos, 2014).</w:t>
      </w:r>
      <w:commentRangeEnd w:id="12"/>
      <w:r w:rsidR="00DF0008">
        <w:rPr>
          <w:rStyle w:val="CommentReference"/>
        </w:rPr>
        <w:commentReference w:id="12"/>
      </w:r>
    </w:p>
    <w:p w14:paraId="3187CA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hypothesis. Caution is also necessary in conditions of heterogeneity, under which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performance of PET and PEESE will degrade.</w:t>
      </w:r>
    </w:p>
    <w:p w14:paraId="4170D676" w14:textId="4E64678F" w:rsidR="000A12B8" w:rsidRPr="00C135D7" w:rsidRDefault="00DF0008" w:rsidP="00C135D7">
      <w:pPr>
        <w:autoSpaceDE w:val="0"/>
        <w:autoSpaceDN w:val="0"/>
        <w:adjustRightInd w:val="0"/>
        <w:spacing w:after="0" w:line="480" w:lineRule="auto"/>
        <w:ind w:firstLine="720"/>
        <w:rPr>
          <w:rFonts w:ascii="Times New Roman" w:hAnsi="Times New Roman" w:cs="Times New Roman"/>
          <w:sz w:val="24"/>
          <w:szCs w:val="24"/>
        </w:rPr>
      </w:pPr>
      <w:ins w:id="13" w:author="Joe" w:date="2016-06-15T08:13:00Z">
        <w:r>
          <w:rPr>
            <w:rFonts w:ascii="Times New Roman" w:hAnsi="Times New Roman" w:cs="Times New Roman"/>
            <w:sz w:val="24"/>
            <w:szCs w:val="24"/>
          </w:rPr>
          <w:lastRenderedPageBreak/>
          <w:t xml:space="preserve">As one case study, </w:t>
        </w:r>
      </w:ins>
      <w:del w:id="14" w:author="Joe" w:date="2016-06-15T08:13:00Z">
        <w:r w:rsidR="000A12B8" w:rsidRPr="00C135D7" w:rsidDel="00DF0008">
          <w:rPr>
            <w:rFonts w:ascii="Times New Roman" w:hAnsi="Times New Roman" w:cs="Times New Roman"/>
            <w:sz w:val="24"/>
            <w:szCs w:val="24"/>
          </w:rPr>
          <w:delText>T</w:delText>
        </w:r>
      </w:del>
      <w:ins w:id="15" w:author="Joe" w:date="2016-06-15T08:13:00Z">
        <w:r>
          <w:rPr>
            <w:rFonts w:ascii="Times New Roman" w:hAnsi="Times New Roman" w:cs="Times New Roman"/>
            <w:sz w:val="24"/>
            <w:szCs w:val="24"/>
          </w:rPr>
          <w:t>t</w:t>
        </w:r>
      </w:ins>
      <w:r w:rsidR="000A12B8" w:rsidRPr="00C135D7">
        <w:rPr>
          <w:rFonts w:ascii="Times New Roman" w:hAnsi="Times New Roman" w:cs="Times New Roman"/>
          <w:sz w:val="24"/>
          <w:szCs w:val="24"/>
        </w:rPr>
        <w:t>hese meta-regression techniques have been previously applied by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 to inspect the amount of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PET-PEESE suggested an absence of evidence for the phenomenon. The authors 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del w:id="16" w:author="Joe" w:date="2016-06-15T08:13:00Z">
        <w:r w:rsidR="00A42274" w:rsidRPr="00C135D7" w:rsidDel="00945878">
          <w:rPr>
            <w:rFonts w:ascii="Times New Roman" w:hAnsi="Times New Roman" w:cs="Times New Roman"/>
            <w:sz w:val="24"/>
            <w:szCs w:val="24"/>
          </w:rPr>
          <w:delText>.</w:delText>
        </w:r>
        <w:r w:rsidR="000A12B8" w:rsidRPr="00C135D7" w:rsidDel="00945878">
          <w:rPr>
            <w:rFonts w:ascii="Times New Roman" w:hAnsi="Times New Roman" w:cs="Times New Roman"/>
            <w:sz w:val="24"/>
            <w:szCs w:val="24"/>
          </w:rPr>
          <w:delText xml:space="preserve"> </w:delText>
        </w:r>
        <w:r w:rsidR="00A42274" w:rsidRPr="00C135D7" w:rsidDel="00945878">
          <w:rPr>
            <w:rFonts w:ascii="Times New Roman" w:hAnsi="Times New Roman" w:cs="Times New Roman"/>
            <w:sz w:val="24"/>
            <w:szCs w:val="24"/>
          </w:rPr>
          <w:delText>This replication effort</w:delText>
        </w:r>
      </w:del>
      <w:ins w:id="17" w:author="Joe" w:date="2016-06-15T08:13:00Z">
        <w:r w:rsidR="00945878">
          <w:rPr>
            <w:rFonts w:ascii="Times New Roman" w:hAnsi="Times New Roman" w:cs="Times New Roman"/>
            <w:sz w:val="24"/>
            <w:szCs w:val="24"/>
          </w:rPr>
          <w:t>, which</w:t>
        </w:r>
      </w:ins>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40E5F5C0"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(Simonsohn et al., 2014a, 2014b)</w:t>
      </w:r>
      <w:del w:id="18" w:author="Joe" w:date="2016-06-15T08:14:00Z">
        <w:r w:rsidR="000A12B8" w:rsidRPr="00C135D7" w:rsidDel="00945878">
          <w:rPr>
            <w:rFonts w:ascii="Times New Roman" w:hAnsi="Times New Roman" w:cs="Times New Roman"/>
            <w:sz w:val="24"/>
            <w:szCs w:val="24"/>
          </w:rPr>
          <w:delText xml:space="preserve">. The </w:delText>
        </w:r>
        <w:r w:rsidR="000A12B8" w:rsidRPr="00C135D7" w:rsidDel="00945878">
          <w:rPr>
            <w:rFonts w:ascii="Times New Roman" w:hAnsi="Times New Roman" w:cs="Times New Roman"/>
            <w:i/>
            <w:iCs/>
            <w:sz w:val="24"/>
            <w:szCs w:val="24"/>
          </w:rPr>
          <w:delText>p</w:delText>
        </w:r>
        <w:r w:rsidR="000A12B8" w:rsidRPr="00C135D7" w:rsidDel="00945878">
          <w:rPr>
            <w:rFonts w:ascii="Times New Roman" w:hAnsi="Times New Roman" w:cs="Times New Roman"/>
            <w:sz w:val="24"/>
            <w:szCs w:val="24"/>
          </w:rPr>
          <w:delText>-curve technique</w:delText>
        </w:r>
      </w:del>
      <w:ins w:id="19" w:author="Joe" w:date="2016-06-15T08:14:00Z">
        <w:r w:rsidR="00945878">
          <w:rPr>
            <w:rFonts w:ascii="Times New Roman" w:hAnsi="Times New Roman" w:cs="Times New Roman"/>
            <w:sz w:val="24"/>
            <w:szCs w:val="24"/>
          </w:rPr>
          <w:t>, which</w:t>
        </w:r>
      </w:ins>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maximum-likelihood estimate of the true effect size.</w:t>
      </w:r>
      <w:r w:rsidR="00A42274" w:rsidRPr="00C135D7">
        <w:rPr>
          <w:rFonts w:ascii="Times New Roman" w:hAnsi="Times New Roman" w:cs="Times New Roman"/>
          <w:sz w:val="24"/>
          <w:szCs w:val="24"/>
        </w:rPr>
        <w:t xml:space="preserve"> </w:t>
      </w:r>
    </w:p>
    <w:p w14:paraId="566A2669" w14:textId="3D222AFA"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One 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estimation is that questionable research practices </w:t>
      </w:r>
      <w:ins w:id="20" w:author="Joe" w:date="2016-06-15T08:14:00Z">
        <w:r w:rsidR="00212CD9">
          <w:rPr>
            <w:rFonts w:ascii="Times New Roman" w:hAnsi="Times New Roman" w:cs="Times New Roman"/>
            <w:sz w:val="24"/>
            <w:szCs w:val="24"/>
          </w:rPr>
          <w:t xml:space="preserve">may </w:t>
        </w:r>
      </w:ins>
      <w:r w:rsidRPr="00C135D7">
        <w:rPr>
          <w:rFonts w:ascii="Times New Roman" w:hAnsi="Times New Roman" w:cs="Times New Roman"/>
          <w:sz w:val="24"/>
          <w:szCs w:val="24"/>
        </w:rPr>
        <w:t>introduce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into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The combination of right skew from fairly reported studies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from questionable studies results in a flatter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than would be found if 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had been fairly reported. Thus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underestimate the true effect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circumstances. Aside from this weakness, simulation work suggests that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quite effective at estimating true effect sizes (Simonsohn et al., 2014a, 2014b). </w:t>
      </w:r>
    </w:p>
    <w:p w14:paraId="41505BE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is that studies with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above the .05 criterion are not considered,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in a substantial loss of information. Consequently, the approach can be inefficient,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especially when effect sizes are small or statistical significance is rare.</w:t>
      </w:r>
    </w:p>
    <w:p w14:paraId="42E21A30"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contrast to the funnel-plot-based tests and estimators, which are derived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 between sample size and effect size,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a function of statistical power.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Thus, these estimators will perform differently given heterogeneous effect sizes and </w:t>
      </w:r>
      <w:r w:rsidRPr="00C135D7">
        <w:rPr>
          <w:rFonts w:ascii="Times New Roman" w:hAnsi="Times New Roman" w:cs="Times New Roman"/>
          <w:i/>
          <w:iCs/>
          <w:sz w:val="24"/>
          <w:szCs w:val="24"/>
        </w:rPr>
        <w:t>a priori</w:t>
      </w:r>
      <w:r w:rsidR="00DA515D"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power analysis. Whereas funnel plots will detect small-study effects in this scenario,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spuriously suggesting research bias,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find that the significant studies ar</w:t>
      </w:r>
      <w:r w:rsidR="00DA515D" w:rsidRPr="00C135D7">
        <w:rPr>
          <w:rFonts w:ascii="Times New Roman" w:hAnsi="Times New Roman" w:cs="Times New Roman"/>
          <w:sz w:val="24"/>
          <w:szCs w:val="24"/>
        </w:rPr>
        <w:t xml:space="preserve">e </w:t>
      </w:r>
      <w:r w:rsidRPr="00C135D7">
        <w:rPr>
          <w:rFonts w:ascii="Times New Roman" w:hAnsi="Times New Roman" w:cs="Times New Roman"/>
          <w:sz w:val="24"/>
          <w:szCs w:val="24"/>
        </w:rPr>
        <w:t>appropriately powered.</w:t>
      </w:r>
      <w:r w:rsidR="00DA515D" w:rsidRPr="00C135D7">
        <w:rPr>
          <w:rStyle w:val="FootnoteReference"/>
          <w:rFonts w:ascii="Times New Roman" w:hAnsi="Times New Roman" w:cs="Times New Roman"/>
          <w:sz w:val="24"/>
          <w:szCs w:val="24"/>
        </w:rPr>
        <w:footnoteReference w:id="1"/>
      </w:r>
    </w:p>
    <w:p w14:paraId="77136D8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Heterogeneity can nonetheless influence effect size estimation using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considers only the statistically significant results, and studies with greater underlying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more likely to attain statistical significance. 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to estimate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effect size than does naïve meta-analysis, as the naïve analysis considers all studies,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considers only the statistically-significant ones.</w:t>
      </w:r>
    </w:p>
    <w:p w14:paraId="3F5E39A0" w14:textId="62D786AB"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Assen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adjusted effect size is statistically 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information. It also assumes a fixed effect size and so may perform poorly under conditions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heterogeneity.</w:t>
      </w:r>
      <w:ins w:id="21" w:author="Joe" w:date="2016-06-15T08:15:00Z">
        <w:r w:rsidR="00212CD9">
          <w:rPr>
            <w:rFonts w:ascii="Times New Roman" w:hAnsi="Times New Roman" w:cs="Times New Roman"/>
            <w:sz w:val="24"/>
            <w:szCs w:val="24"/>
          </w:rPr>
          <w:t xml:space="preserve"> [CITATION NEEDED?]</w:t>
        </w:r>
      </w:ins>
    </w:p>
    <w:p w14:paraId="1CD57795"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lastRenderedPageBreak/>
        <w:t>Test for Excess Significance.</w:t>
      </w:r>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Another power-based test for publication bias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Test for Excess Significance (Ioannidis &amp; Trikalinos, 2007). This test estimates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number of expected studies with statistical significance given some anticipated effect size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(usually the naïve meta-analytic estimate), then compares that expectation against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number of observed significant results. A significant test suggests censoring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 or the manipulation of results into statistical significance.</w:t>
      </w:r>
    </w:p>
    <w:p w14:paraId="44595B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test has a number of weaknesses. It has poor statistical power (Ioannidis &amp;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Trikalinos, 2007), and the validity of its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rests on strong, perhaps unwarranted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assumptions about researcher behavior (Morey, 2013). Like other tests for bias, its results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spurious when there exists genuine between-study heterogeneity. We report the test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completeness, but the reader is urged to interpret the result with considerable caution.</w:t>
      </w:r>
    </w:p>
    <w:p w14:paraId="33147B2D"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present. Nonsignificant results can be difficult to retrieve for meta-analysis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33C63162"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significant results (O’Boyle, Banks, &amp; Gonzalez-Mule, 2014). </w:t>
      </w:r>
      <w:r w:rsidRPr="00C135D7">
        <w:rPr>
          <w:rFonts w:ascii="Times New Roman" w:hAnsi="Times New Roman" w:cs="Times New Roman"/>
          <w:sz w:val="24"/>
          <w:szCs w:val="24"/>
        </w:rPr>
        <w:lastRenderedPageBreak/>
        <w:t>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biases favoring significant results. </w:t>
      </w:r>
    </w:p>
    <w:p w14:paraId="556153B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Anderson and colleagues did an excellent job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retrieving unpublished dissertations for their meta-analysis. 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Egger test. Supplementary tests will be provided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the Test for Excess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are only coarsely known. Finally, we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125F1129"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and the Test for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Excess Significance.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point-biserial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w:t>
      </w:r>
      <w:r w:rsidRPr="00C135D7">
        <w:rPr>
          <w:rFonts w:ascii="Times New Roman" w:hAnsi="Times New Roman" w:cs="Times New Roman"/>
          <w:sz w:val="24"/>
          <w:szCs w:val="24"/>
        </w:rPr>
        <w:lastRenderedPageBreak/>
        <w:t xml:space="preserve">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C5C81C7"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errors in this analysis. 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inspection focuses on the raw effect sizes contained in that report. 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report partial correlation coefficients for cross-sectional studies; we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 Re-analysis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particularities of partial correlations (see, e.g., Aloe, 2014) and as such is omitted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current manuscript.</w:t>
      </w:r>
    </w:p>
    <w:p w14:paraId="106A28C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https://osf.io/r76j2/?view_only=0cbfaef76d0142c0864de9f28a4324e1. We thank</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Dr. Anderson for sharing with us the dataset from Anderson et al. (2010) and inviting us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host it publicly.</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to form a single </w:t>
      </w:r>
      <w:r w:rsidRPr="00C135D7">
        <w:rPr>
          <w:rFonts w:ascii="Times New Roman" w:hAnsi="Times New Roman" w:cs="Times New Roman"/>
          <w:sz w:val="24"/>
          <w:szCs w:val="24"/>
        </w:rPr>
        <w:lastRenderedPageBreak/>
        <w:t>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Simonsohn et al. (2014a),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from manuscripts. 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6A1BE1C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del w:id="22" w:author="Joe" w:date="2016-06-15T09:16:00Z">
        <w:r w:rsidRPr="00C135D7" w:rsidDel="00A60A19">
          <w:rPr>
            <w:rFonts w:ascii="Times New Roman" w:hAnsi="Times New Roman" w:cs="Times New Roman"/>
            <w:sz w:val="24"/>
            <w:szCs w:val="24"/>
          </w:rPr>
          <w:delText>All meta-regressions</w:delText>
        </w:r>
      </w:del>
      <w:ins w:id="23" w:author="Joe" w:date="2016-06-15T09:16:00Z">
        <w:r w:rsidR="00A60A19">
          <w:rPr>
            <w:rFonts w:ascii="Times New Roman" w:hAnsi="Times New Roman" w:cs="Times New Roman"/>
            <w:sz w:val="24"/>
            <w:szCs w:val="24"/>
          </w:rPr>
          <w:t>Egger tests, PET, and PEESE</w:t>
        </w:r>
      </w:ins>
      <w:bookmarkStart w:id="24" w:name="_GoBack"/>
      <w:bookmarkEnd w:id="24"/>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r w:rsidRPr="00350F25">
        <w:rPr>
          <w:rFonts w:ascii="Courier New" w:hAnsi="Courier New" w:cs="Courier New"/>
          <w:sz w:val="24"/>
          <w:szCs w:val="24"/>
        </w:rPr>
        <w:t>metafor</w:t>
      </w:r>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 xml:space="preserve">(Viechtbauer, 2010), using the </w:t>
      </w:r>
      <w:r w:rsidRPr="00350F25">
        <w:rPr>
          <w:rFonts w:ascii="Courier New" w:hAnsi="Courier New" w:cs="Courier New"/>
          <w:sz w:val="24"/>
          <w:szCs w:val="24"/>
        </w:rPr>
        <w:t>rma()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for </w:t>
      </w:r>
      <w:r w:rsidRPr="00C135D7">
        <w:rPr>
          <w:rFonts w:ascii="Times New Roman" w:hAnsi="Times New Roman" w:cs="Times New Roman"/>
          <w:sz w:val="24"/>
          <w:szCs w:val="24"/>
        </w:rPr>
        <w:lastRenderedPageBreak/>
        <w:t>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r w:rsidR="00C0463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we use the puniform package provided by van Aert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datapoints.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who want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r w:rsidR="00DA515D" w:rsidRPr="00C135D7">
        <w:rPr>
          <w:rStyle w:val="FootnoteReference"/>
          <w:rFonts w:ascii="Times New Roman" w:hAnsi="Times New Roman" w:cs="Times New Roman"/>
          <w:sz w:val="24"/>
          <w:szCs w:val="24"/>
        </w:rPr>
        <w:footnoteReference w:id="2"/>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removed three studies from meta-analysis due to concerns over relevance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accuracy. First, Matsuzaki, Watanabe, and Satou (2004, study 1) was removed because its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effect sizes were unusually large for their precision (i.e., aggressive behavior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60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aggressive cognition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53), were highly influential on the meta-regression model,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could </w:t>
      </w:r>
      <w:r w:rsidRPr="00C135D7">
        <w:rPr>
          <w:rFonts w:ascii="Times New Roman" w:hAnsi="Times New Roman" w:cs="Times New Roman"/>
          <w:sz w:val="24"/>
          <w:szCs w:val="24"/>
        </w:rPr>
        <w:lastRenderedPageBreak/>
        <w:t>not be found as entered in the Anderson et al. (2010) dataset by inspection of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original article. Panee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violent primes on in-game behaviors, not the effects of violent gameplay on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outcomes; therefore, it does not provide a relevant test of the hypothesis. </w:t>
      </w:r>
      <w:commentRangeStart w:id="25"/>
      <w:r w:rsidRPr="00C135D7">
        <w:rPr>
          <w:rFonts w:ascii="Times New Roman" w:hAnsi="Times New Roman" w:cs="Times New Roman"/>
          <w:sz w:val="24"/>
          <w:szCs w:val="24"/>
        </w:rPr>
        <w:t>Finally, Graybill,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Kirsch, and Esselman (1985) was removed from analysis. As entered in the Anderson et 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dataset, the effect size was unusually large and significant,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w:t>
      </w:r>
      <w:r w:rsidRPr="00C135D7">
        <w:rPr>
          <w:rFonts w:ascii="Times New Roman" w:hAnsi="Times New Roman" w:cs="Times New Roman"/>
          <w:i/>
          <w:iCs/>
          <w:sz w:val="24"/>
          <w:szCs w:val="24"/>
        </w:rPr>
        <w:t>.</w:t>
      </w:r>
      <w:r w:rsidRPr="00C135D7">
        <w:rPr>
          <w:rFonts w:ascii="Times New Roman" w:hAnsi="Times New Roman" w:cs="Times New Roman"/>
          <w:sz w:val="24"/>
          <w:szCs w:val="24"/>
        </w:rPr>
        <w:t>57</w:t>
      </w:r>
      <w:r w:rsidRPr="00C135D7">
        <w:rPr>
          <w:rFonts w:ascii="Times New Roman" w:hAnsi="Times New Roman" w:cs="Times New Roman"/>
          <w:i/>
          <w:iCs/>
          <w:sz w:val="24"/>
          <w:szCs w:val="24"/>
        </w:rPr>
        <w:t xml:space="preserve">, p </w:t>
      </w:r>
      <w:r w:rsidRPr="00C135D7">
        <w:rPr>
          <w:rFonts w:ascii="Times New Roman" w:hAnsi="Times New Roman" w:cs="Times New Roman"/>
          <w:sz w:val="24"/>
          <w:szCs w:val="24"/>
        </w:rPr>
        <w:t>= 1</w:t>
      </w:r>
      <w:r w:rsidRPr="00C135D7">
        <w:rPr>
          <w:rFonts w:ascii="Times New Roman" w:hAnsi="Times New Roman" w:cs="Times New Roman"/>
          <w:i/>
          <w:iCs/>
          <w:sz w:val="24"/>
          <w:szCs w:val="24"/>
        </w:rPr>
        <w:t>.</w:t>
      </w:r>
      <w:r w:rsidRPr="00C135D7">
        <w:rPr>
          <w:rFonts w:ascii="Times New Roman" w:hAnsi="Times New Roman" w:cs="Times New Roman"/>
          <w:sz w:val="24"/>
          <w:szCs w:val="24"/>
        </w:rPr>
        <w:t>6 × 10</w:t>
      </w:r>
      <w:r w:rsidRPr="00C777BE">
        <w:rPr>
          <w:rFonts w:ascii="Times New Roman" w:hAnsi="Times New Roman" w:cs="Times New Roman"/>
          <w:sz w:val="24"/>
          <w:szCs w:val="24"/>
          <w:vertAlign w:val="superscript"/>
        </w:rPr>
        <w:t>−10</w:t>
      </w:r>
      <w:r w:rsidRPr="00C135D7">
        <w:rPr>
          <w:rFonts w:ascii="Times New Roman" w:hAnsi="Times New Roman" w:cs="Times New Roman"/>
          <w:sz w:val="24"/>
          <w:szCs w:val="24"/>
        </w:rPr>
        <w:t xml:space="preserve">. </w:t>
      </w:r>
      <w:commentRangeEnd w:id="25"/>
      <w:r w:rsidR="00964D20">
        <w:rPr>
          <w:rStyle w:val="CommentReference"/>
        </w:rPr>
        <w:commentReference w:id="25"/>
      </w:r>
      <w:r w:rsidRPr="00C135D7">
        <w:rPr>
          <w:rFonts w:ascii="Times New Roman" w:hAnsi="Times New Roman" w:cs="Times New Roman"/>
          <w:sz w:val="24"/>
          <w:szCs w:val="24"/>
        </w:rPr>
        <w:t>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of this enormous outcome was that the study’s manipulation checks were entered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though they were primary study outcomes on aggressive cognitions; again, this is not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relevant hypothesis test.</w:t>
      </w:r>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Subsets Re-analyzed</w:t>
      </w:r>
    </w:p>
    <w:p w14:paraId="3B87AE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detect and adjust for small-study effects. Sufficient datapoints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aggressive behavior, and aggressive cognition. Studies are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00C8522E" w14:textId="1A24D8B3" w:rsidR="00C777BE" w:rsidRDefault="000A12B8" w:rsidP="00C777BE">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Again, we wished to know whether there are small-study effects indicative of bias,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Pr="00C135D7">
        <w:rPr>
          <w:rFonts w:ascii="Times New Roman" w:hAnsi="Times New Roman" w:cs="Times New Roman"/>
          <w:sz w:val="24"/>
          <w:szCs w:val="24"/>
        </w:rPr>
        <w:t xml:space="preserve"> appropriate bias-adjusted effect size estimates. We present each in turn.</w:t>
      </w:r>
      <w:r w:rsidR="00DA515D" w:rsidRPr="00C135D7">
        <w:rPr>
          <w:rFonts w:ascii="Times New Roman" w:hAnsi="Times New Roman" w:cs="Times New Roman"/>
          <w:sz w:val="24"/>
          <w:szCs w:val="24"/>
        </w:rPr>
        <w:t xml:space="preserve"> </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4. Here we see dramatic funnel-plot asymmetry in several conditions. Application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w:t>
      </w:r>
      <w:r w:rsidRPr="00C135D7">
        <w:rPr>
          <w:rFonts w:ascii="Times New Roman" w:hAnsi="Times New Roman" w:cs="Times New Roman"/>
          <w:sz w:val="24"/>
          <w:szCs w:val="24"/>
        </w:rPr>
        <w:lastRenderedPageBreak/>
        <w:t>criteria did not ameliorate this asymmetry. Asymmetry is present,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stronger, in many best-practices subsamples.</w:t>
      </w:r>
      <w:r w:rsidR="00DA515D" w:rsidRPr="00C135D7">
        <w:rPr>
          <w:rFonts w:ascii="Times New Roman" w:hAnsi="Times New Roman" w:cs="Times New Roman"/>
          <w:sz w:val="24"/>
          <w:szCs w:val="24"/>
        </w:rPr>
        <w:t xml:space="preserve"> </w:t>
      </w:r>
    </w:p>
    <w:p w14:paraId="6F4F6392" w14:textId="3BD878C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several subsets of the data. </w:t>
      </w:r>
      <w:r w:rsidR="0054738E">
        <w:rPr>
          <w:rFonts w:ascii="Times New Roman" w:hAnsi="Times New Roman" w:cs="Times New Roman"/>
          <w:sz w:val="24"/>
          <w:szCs w:val="24"/>
        </w:rPr>
        <w:t>Among the full sample of cross-sectional studies of aggressive behavior, Egger’s test found significant asymmetry.</w:t>
      </w:r>
      <w:r w:rsidRPr="00C135D7">
        <w:rPr>
          <w:rFonts w:ascii="Times New Roman" w:hAnsi="Times New Roman" w:cs="Times New Roman"/>
          <w:sz w:val="24"/>
          <w:szCs w:val="24"/>
        </w:rPr>
        <w:t xml:space="preserve"> There was also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asymmetry in both sets of experiments studying aggressive affect. Notably,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p>
    <w:p w14:paraId="53ABD9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Test of Excess Significance suggested an excess of significant results in the full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sample of experiments of aggressive affect, the full sample of experiments of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and the best-practices subsample of experiments of aggressive behavior.</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significant bias only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 these results indicate that small-study effects are likely present in studies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 game effects. Such a result is concerning because it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14A4384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Results of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PET, and PEESE analyses are provided in Table 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We caution the reader that we do not know the small-sample properties of the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and so do not valorize one in particular as being likely to provide the most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accurate estimate of </w:t>
      </w:r>
      <w:r w:rsidRPr="00C135D7">
        <w:rPr>
          <w:rFonts w:ascii="Times New Roman" w:hAnsi="Times New Roman" w:cs="Times New Roman"/>
          <w:sz w:val="24"/>
          <w:szCs w:val="24"/>
        </w:rPr>
        <w:lastRenderedPageBreak/>
        <w:t>the underlying effect. Instead, we consider all estimators and look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convergence among adjusted estimates. Like Anderson et al., we will emphasize in this text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results of the analysis of the best-practices subsample.</w:t>
      </w:r>
    </w:p>
    <w:p w14:paraId="7B0F2F9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experimental studies, the estimators yield larger adjustments for bias than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did Anderson et al.’s trim-and-fill estimators. In general, PET and PEESE suggested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substantially lower effect sizes in experimental research,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smaller adjustments. The notable exception is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behavior, in which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adjusted as harshly as did PET.</w:t>
      </w:r>
    </w:p>
    <w:p w14:paraId="10A1981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.14, and PET adjusted the effect into nonexistence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 Exclusion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 outlier (Ballard &amp; Wiest, 1996) reduced the naïve estimates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.27, fixed-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random-effects),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.20), and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also increased the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-.01) and PEESE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.17) estimates. Thus,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of the outlier seems to have brought the adjustments into greater agreement.</w:t>
      </w:r>
    </w:p>
    <w:p w14:paraId="225545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.18. By contrast, our analyses recommended harsh 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ranging from -.06–.19,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identical estimates </w:t>
      </w:r>
      <w:r w:rsidRPr="00C135D7">
        <w:rPr>
          <w:rFonts w:ascii="Times New Roman" w:hAnsi="Times New Roman" w:cs="Times New Roman"/>
          <w:sz w:val="24"/>
          <w:szCs w:val="24"/>
        </w:rPr>
        <w:lastRenderedPageBreak/>
        <w:t>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p>
    <w:p w14:paraId="3C58762D" w14:textId="77777777"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p>
    <w:p w14:paraId="28BA70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effects as large as, or larger than, the naïve estimate. Again,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presence of moderate heterogeneity may limit the strength of the conclusions possible given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data.</w:t>
      </w:r>
    </w:p>
    <w:p w14:paraId="13692BB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 This was true even of studies of aggressive behavior,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which Egger’s test suggested significant asymmetry in the full-sample analysis.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p>
    <w:p w14:paraId="44BEDD8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Modeling the relationship between sample size and effect size also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reduced the heterogeneity in some subsets of the data. Among best-practices experiments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to explain by study attributes. In the case of best-practices experiments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behavior, there was so little residual </w:t>
      </w:r>
      <w:r w:rsidRPr="00C135D7">
        <w:rPr>
          <w:rFonts w:ascii="Times New Roman" w:hAnsi="Times New Roman" w:cs="Times New Roman"/>
          <w:sz w:val="24"/>
          <w:szCs w:val="24"/>
        </w:rPr>
        <w:lastRenderedPageBreak/>
        <w:t xml:space="preserve">variance that a confidence interval on </w:t>
      </w:r>
      <w:r w:rsidRPr="00C135D7">
        <w:rPr>
          <w:rFonts w:ascii="Times New Roman" w:hAnsi="Times New Roman" w:cs="Times New Roman"/>
          <w:i/>
          <w:iCs/>
          <w:sz w:val="24"/>
          <w:szCs w:val="24"/>
        </w:rPr>
        <w:t>I</w:t>
      </w:r>
      <w:r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could not be calculated. The documentation for </w:t>
      </w:r>
      <w:r w:rsidRPr="00C777BE">
        <w:rPr>
          <w:rFonts w:ascii="Courier New" w:hAnsi="Courier New" w:cs="Courier New"/>
          <w:sz w:val="24"/>
          <w:szCs w:val="24"/>
        </w:rPr>
        <w:t>metafor</w:t>
      </w:r>
      <w:r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“highly (or overly) homogenous data,” (Veichtbauer, 2010, helpfile for </w:t>
      </w:r>
      <w:r w:rsidRPr="00C777BE">
        <w:rPr>
          <w:rFonts w:ascii="Courier New" w:hAnsi="Courier New" w:cs="Courier New"/>
          <w:sz w:val="24"/>
          <w:szCs w:val="24"/>
        </w:rPr>
        <w:t>confint.rma.uni</w:t>
      </w:r>
      <w:r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bias: effect sizes in this subset seem to reach statistical significance with improbable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24971FA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some instances of convergence in our presented estimates. When inspecting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underlying effects were so small as to be possibly undetectable in typical sample sizes.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Notably, these estimates are highly consistent with some recent reports (Engelhardt,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Mazurek, Hilgard, Rouder, &amp; Bartholow, 2015; Kneer, Elson, &amp; Knapp, in press;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Przybylski, Deci, Rigby, &amp; Ryan, 2014; Tear &amp; Nielsen, 2014). For effects on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affect and cognitions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 PEESE yielded similar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suggesting that there may be detectable, nonzero effects despite overestimation.</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605A064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or analysis. If this is the case, then 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p>
    <w:p w14:paraId="78AF4BA5"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Funnel plots highlighting the unpublished dissertations using experimental paradigms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provided in Figure 5.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3F9F4E0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status and selection as meeting best-practices criteria. Frequencies are given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4.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w:t>
      </w:r>
      <w:r w:rsidRPr="00C135D7">
        <w:rPr>
          <w:rFonts w:ascii="Times New Roman" w:hAnsi="Times New Roman" w:cs="Times New Roman"/>
          <w:sz w:val="24"/>
          <w:szCs w:val="24"/>
        </w:rPr>
        <w:lastRenderedPageBreak/>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These estimates should cause pause—they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0E02C0E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findings differ from those of Anderson et al. (2010) in three important ways.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First, we find strong evidence of publication bias whe</w:t>
      </w:r>
      <w:r w:rsidR="00241A4E" w:rsidRPr="00C135D7">
        <w:rPr>
          <w:rFonts w:ascii="Times New Roman" w:hAnsi="Times New Roman" w:cs="Times New Roman"/>
          <w:sz w:val="24"/>
          <w:szCs w:val="24"/>
        </w:rPr>
        <w:t xml:space="preserve">re the original analysis argued </w:t>
      </w:r>
      <w:r w:rsidRPr="00C135D7">
        <w:rPr>
          <w:rFonts w:ascii="Times New Roman" w:hAnsi="Times New Roman" w:cs="Times New Roman"/>
          <w:sz w:val="24"/>
          <w:szCs w:val="24"/>
        </w:rPr>
        <w:t>minimal bias. The funnel plots appear asymmetrical, application of Egger’s test confirms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presence of significant asymmetry, and bias-adjusted estimates were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than the naïve estimates. Second, the original meta-analysis claimed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methodologically strong experiments found larger effects than did methodologically weak</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Instead, we find that best-practices experiments yield adjusted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comparable to the full set of experiments. Division of studies into best-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not-best-practices sometimes exacerbated funnel-plot asymmetry, leading to higher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estimates but comparable adjusted estimates. Third, the original meta-analysis argued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all outcomes were statistically and practically significant. In our analysis, we find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that the effect of violent video games on aggressive behavior in experiments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likely smaller than anticipated, and may be so small as to be very challenging to study (</w:t>
      </w:r>
      <w:r w:rsidRPr="00C135D7">
        <w:rPr>
          <w:rFonts w:ascii="Times New Roman" w:hAnsi="Times New Roman" w:cs="Times New Roman"/>
          <w:i/>
          <w:iCs/>
          <w:sz w:val="24"/>
          <w:szCs w:val="24"/>
        </w:rPr>
        <w:t>r</w:t>
      </w:r>
      <w:r w:rsidR="00241A4E"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 .02–.15). If this is accurate, then the average experiment examining aggressive behavior</w:t>
      </w:r>
      <w:r w:rsidR="00241A4E" w:rsidRPr="00C135D7">
        <w:rPr>
          <w:rFonts w:ascii="Times New Roman" w:hAnsi="Times New Roman" w:cs="Times New Roman"/>
          <w:sz w:val="24"/>
          <w:szCs w:val="24"/>
        </w:rPr>
        <w:t xml:space="preserve"> may be seriously underpowered. In this case,</w:t>
      </w:r>
      <w:r w:rsidRPr="00C135D7">
        <w:rPr>
          <w:rFonts w:ascii="Times New Roman" w:hAnsi="Times New Roman" w:cs="Times New Roman"/>
          <w:sz w:val="24"/>
          <w:szCs w:val="24"/>
        </w:rPr>
        <w:t xml:space="preserve"> there may not be much evidence for violent games’ 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 aggressive behavior.</w:t>
      </w:r>
    </w:p>
    <w:p w14:paraId="1AB00CC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Overestimation seems most clear in experiments of aggressive behavior. By contrast,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is less clear in experiments of aggressive affect and aggressive cognition.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respect to experiments of aggressive affect, the funnel plot is clearly asymmetrical,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but our </w:t>
      </w:r>
      <w:r w:rsidRPr="00C135D7">
        <w:rPr>
          <w:rFonts w:ascii="Times New Roman" w:hAnsi="Times New Roman" w:cs="Times New Roman"/>
          <w:sz w:val="24"/>
          <w:szCs w:val="24"/>
        </w:rPr>
        <w:lastRenderedPageBreak/>
        <w:t>estimators disagree on the degree of bias. Meta-regression suggested effects near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zero,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-value-based adjustments suggested effects near the naïve estimate. With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respect to experiments of aggressive cognition, there is less evidence of small-study 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Nevertheless, there may be some degree of overestimation. To what degree there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is unclear, as our estimators did not converge. Finally, with respect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studies, the correlations received minimal adjustment, but these results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interpreted with caution due to the presence of considerable heterogeneity.</w:t>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3149855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underestimates effects when there is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This limitation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particularly salient given concerns about the flexible analysis of the CRTT; it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possible that the underlying effect is substantial but our estimates are biased downwards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in one or more studies.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also discard all non-significant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causing a considerable loss of information. Perhaps selection models (Vevea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excited by the possibility of Bayesian selection methods (Guan &amp; Vandekerckhove, 2015)</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 must insist, however, that a combination of heterogeneity and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analysis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likely to be one of them. Power analyses are rare in the studies synthesized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Furthermore, the meta-analysis found no significant moderators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effect sizes in experiments.</w:t>
      </w:r>
      <w:r w:rsidR="00241A4E" w:rsidRPr="00C135D7">
        <w:rPr>
          <w:rStyle w:val="FootnoteReference"/>
          <w:rFonts w:ascii="Times New Roman" w:hAnsi="Times New Roman" w:cs="Times New Roman"/>
          <w:sz w:val="24"/>
          <w:szCs w:val="24"/>
        </w:rPr>
        <w:footnoteReference w:id="3"/>
      </w:r>
      <w:r w:rsidRPr="00C135D7">
        <w:rPr>
          <w:rFonts w:ascii="Times New Roman" w:hAnsi="Times New Roman" w:cs="Times New Roman"/>
          <w:sz w:val="24"/>
          <w:szCs w:val="24"/>
        </w:rPr>
        <w:t xml:space="preserve"> Thus, researchers could not have known enough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sources of heterogeneity among these studies to power experiments accordingly.</w:t>
      </w:r>
    </w:p>
    <w:p w14:paraId="0E47A82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enough data points to permit a good estimate. It is likely 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(e.g., Willoughby,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Adachi, &amp; Good, 2012; but see Etchells, Gage, Rutherford, &amp; Munafo, 2016)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same, researchers conducting longitudinal studies should be </w:t>
      </w:r>
      <w:r w:rsidRPr="00C135D7">
        <w:rPr>
          <w:rFonts w:ascii="Times New Roman" w:hAnsi="Times New Roman" w:cs="Times New Roman"/>
          <w:sz w:val="24"/>
          <w:szCs w:val="24"/>
        </w:rPr>
        <w:lastRenderedPageBreak/>
        <w:t>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longitudinal research literature be found to suffer from similar weaknesses. Our point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chiefly that our understanding of the phenomenon as studied through experimental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paradigms is likely overstated. Researchers believe they have well-controlled manipulations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yielding robust, unbiased effects. We are concerned that, instead, researchers have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poorly-controlled manipulations yielding uncertain effects overstated through research bias.</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A meta-analysis by Greitemeyer and Mügge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137ED1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Implications</w:t>
      </w:r>
    </w:p>
    <w:p w14:paraId="0326D6A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present results have important implications for theory and research practice.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Practically speaking, sample sizes may need to be much larger. Theoretically speaking,</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researchers may have a poorer understanding of the antecedents and causes of aggression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anticipated. We elaborate below.</w:t>
      </w:r>
    </w:p>
    <w:p w14:paraId="0404E8CF"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Power. </w:t>
      </w:r>
      <w:r w:rsidRPr="00C135D7">
        <w:rPr>
          <w:rFonts w:ascii="Times New Roman" w:hAnsi="Times New Roman" w:cs="Times New Roman"/>
          <w:sz w:val="24"/>
          <w:szCs w:val="24"/>
        </w:rPr>
        <w:t>The results suggest that individual experiments studying the effects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 video games may be badly underpowered. If the effects are indeed so small as we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researchers will be hard-pressed to detect them. For example, our largest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of the effect </w:t>
      </w:r>
      <w:r w:rsidRPr="00C135D7">
        <w:rPr>
          <w:rFonts w:ascii="Times New Roman" w:hAnsi="Times New Roman" w:cs="Times New Roman"/>
          <w:sz w:val="24"/>
          <w:szCs w:val="24"/>
        </w:rPr>
        <w:lastRenderedPageBreak/>
        <w:t xml:space="preserve">size recommended an adjustment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.21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.15 for</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in a well-designed experiment. Although this would seem to be a small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it is of substantial practical importance. Whereas the naïve estimate suggests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 sample size of 136 is sufficient for 80% power in a one-tailed test, the PEESE estimate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suggests that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270 is needed—a doubling of the sample size. The other adjustments 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 that incredible sample sizes would be needed: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.09,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759;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.07,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1,250;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.02,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15,400.</w:t>
      </w:r>
    </w:p>
    <w:p w14:paraId="4B640C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Moderators and boundary conditions. </w:t>
      </w:r>
      <w:r w:rsidRPr="00C135D7">
        <w:rPr>
          <w:rFonts w:ascii="Times New Roman" w:hAnsi="Times New Roman" w:cs="Times New Roman"/>
          <w:sz w:val="24"/>
          <w:szCs w:val="24"/>
        </w:rPr>
        <w:t>This poor power would have serious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the field’s understanding of moderators and boundary conditions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on aggressive outcomes. Many studies report significant interactions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content by individual differences such as trait anger or gender. We are concerned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understanding of such nuance is overstated. If the main effects are so small, tests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of moderators are likely to be dramatically underpowered. If power is poor, the positive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predictive value of significant interactions is minimal; such significant interactions would be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more likely to be Type I errors than to reflect correctly-rejected null hypotheses.</w:t>
      </w:r>
    </w:p>
    <w:p w14:paraId="5841011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Furthermore, we suspect that significant moderators are tested and discovered </w:t>
      </w:r>
      <w:r w:rsidR="00CE1129" w:rsidRPr="00C135D7">
        <w:rPr>
          <w:rFonts w:ascii="Times New Roman" w:hAnsi="Times New Roman" w:cs="Times New Roman"/>
          <w:i/>
          <w:iCs/>
          <w:sz w:val="24"/>
          <w:szCs w:val="24"/>
        </w:rPr>
        <w:t xml:space="preserve">post </w:t>
      </w:r>
      <w:r w:rsidRPr="00C135D7">
        <w:rPr>
          <w:rFonts w:ascii="Times New Roman" w:hAnsi="Times New Roman" w:cs="Times New Roman"/>
          <w:i/>
          <w:iCs/>
          <w:sz w:val="24"/>
          <w:szCs w:val="24"/>
        </w:rPr>
        <w:t>hoc</w:t>
      </w:r>
      <w:r w:rsidRPr="00C135D7">
        <w:rPr>
          <w:rFonts w:ascii="Times New Roman" w:hAnsi="Times New Roman" w:cs="Times New Roman"/>
          <w:sz w:val="24"/>
          <w:szCs w:val="24"/>
        </w:rPr>
        <w:t>. We expect that it is not unusual to collect a batter</w:t>
      </w:r>
      <w:r w:rsidR="00CE1129" w:rsidRPr="00C135D7">
        <w:rPr>
          <w:rFonts w:ascii="Times New Roman" w:hAnsi="Times New Roman" w:cs="Times New Roman"/>
          <w:sz w:val="24"/>
          <w:szCs w:val="24"/>
        </w:rPr>
        <w:t xml:space="preserve">y of brief personality measures </w:t>
      </w:r>
      <w:r w:rsidRPr="00C135D7">
        <w:rPr>
          <w:rFonts w:ascii="Times New Roman" w:hAnsi="Times New Roman" w:cs="Times New Roman"/>
          <w:sz w:val="24"/>
          <w:szCs w:val="24"/>
        </w:rPr>
        <w:t>alongside an experimental manipulation. How these measures are to be applied in analysis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flexible — perhaps they are applied as possible moderators when a significant main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is not found. When many moderators are tested, Type I error rates will rise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substantially due to the number of tests conducted. Post-hoc exploratory analyses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moderators are valuable, but they should be reported as such, as the presentation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exploratory results as confirmatory results is misleading. One of us has published such an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interaction, trait anger × violent game exposure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has experienced difficulty in replicating it </w:t>
      </w:r>
      <w:r w:rsidRPr="00C135D7">
        <w:rPr>
          <w:rFonts w:ascii="Times New Roman" w:hAnsi="Times New Roman" w:cs="Times New Roman"/>
          <w:i/>
          <w:sz w:val="24"/>
          <w:szCs w:val="24"/>
        </w:rPr>
        <w:t>(</w:t>
      </w:r>
      <w:r w:rsidRPr="00C135D7">
        <w:rPr>
          <w:rFonts w:ascii="Times New Roman" w:hAnsi="Times New Roman" w:cs="Times New Roman"/>
          <w:i/>
          <w:iCs/>
          <w:sz w:val="24"/>
          <w:szCs w:val="24"/>
        </w:rPr>
        <w:t xml:space="preserve">1 citation removed </w:t>
      </w:r>
      <w:r w:rsidRPr="00C135D7">
        <w:rPr>
          <w:rFonts w:ascii="Times New Roman" w:hAnsi="Times New Roman" w:cs="Times New Roman"/>
          <w:i/>
          <w:iCs/>
          <w:sz w:val="24"/>
          <w:szCs w:val="24"/>
        </w:rPr>
        <w:lastRenderedPageBreak/>
        <w:t>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exploratory analysis of ours, claiming to find effects on cognitive control</w:t>
      </w:r>
      <w:r w:rsidR="00CE1129" w:rsidRPr="00C135D7">
        <w:rPr>
          <w:rFonts w:ascii="Times New Roman" w:hAnsi="Times New Roman" w:cs="Times New Roman"/>
          <w:sz w:val="24"/>
          <w:szCs w:val="24"/>
        </w:rPr>
        <w:t xml:space="preserv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 was likely mistaken, as such “ego-depletion”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could not be detected in a large-scale replication effort (Hagger et al., in press).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diversity of reported moderators and the infrequency of their replication suggest possible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in the literature of violent game effects.</w:t>
      </w:r>
    </w:p>
    <w:p w14:paraId="50D344B7" w14:textId="77777777" w:rsidR="00CE112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Unfalsifiable predictions of aggressive affect. </w:t>
      </w:r>
      <w:r w:rsidRPr="00C135D7">
        <w:rPr>
          <w:rFonts w:ascii="Times New Roman" w:hAnsi="Times New Roman" w:cs="Times New Roman"/>
          <w:sz w:val="24"/>
          <w:szCs w:val="24"/>
        </w:rPr>
        <w:t>Of the outcomes we tested,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had the most dramatically asymmetrical funnel plot. We suspect that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asymmetry is caused in part by inferential practices that may serve to remove these null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results from meta-analysis. </w:t>
      </w:r>
    </w:p>
    <w:p w14:paraId="5400024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Consider a hypothetical experiment comparing feelings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frustration caused by a violent and a non-violent game. If the result is significant, this 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interpreted as evidence that violent video games cause aggressive feelings. However, if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test is not significant, this is not always interpreted as evidence that violent games do not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aggressive feelings. Rather, it is sometimes taken as evidence that the games are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matched stimuli, differing only in violent content and not in other confounding dimensions.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hypothesis can be changed after analyses to support the theory.</w:t>
      </w:r>
    </w:p>
    <w:p w14:paraId="1F639FC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excluded from meta-analysis. Anderson and colleagues (2010) are explicit about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saying “Studies based on violent and nonviolent video games that have been preselected to</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be equally arousing obviously are not appropriate tests of the short-term arousal- and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affect-inducing effects of violent video games. Thus, they should be excluded from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designed to test this specific hypothesis. The same is true when comparison games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have been preselected to create </w:t>
      </w:r>
      <w:r w:rsidRPr="00C135D7">
        <w:rPr>
          <w:rFonts w:ascii="Times New Roman" w:hAnsi="Times New Roman" w:cs="Times New Roman"/>
          <w:sz w:val="24"/>
          <w:szCs w:val="24"/>
        </w:rPr>
        <w:lastRenderedPageBreak/>
        <w:t>equivalent affective states” (page 156). Ambiguities 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whether stimuli were truly </w:t>
      </w:r>
      <w:r w:rsidRPr="00C135D7">
        <w:rPr>
          <w:rFonts w:ascii="Times New Roman" w:hAnsi="Times New Roman" w:cs="Times New Roman"/>
          <w:i/>
          <w:iCs/>
          <w:sz w:val="24"/>
          <w:szCs w:val="24"/>
        </w:rPr>
        <w:t>pre</w:t>
      </w:r>
      <w:r w:rsidRPr="00C135D7">
        <w:rPr>
          <w:rFonts w:ascii="Times New Roman" w:hAnsi="Times New Roman" w:cs="Times New Roman"/>
          <w:sz w:val="24"/>
          <w:szCs w:val="24"/>
        </w:rPr>
        <w:t>selected threaten the validity of these meta-analytic results.</w:t>
      </w:r>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Meta-analysis, while 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modified-game paradigm (Elson, Bruer, Van Looy, Kneer, &amp; Quandt, 2013; Elson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Quandt, 2014; Engelhardt, Hilgard, &amp; Bartholow, 2015; Engelhardt, Mazurek, et al., 2015;</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Kneer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 xml:space="preserve">direct replications of each </w:t>
      </w:r>
      <w:r w:rsidRPr="00C135D7">
        <w:rPr>
          <w:rFonts w:ascii="Times New Roman" w:hAnsi="Times New Roman" w:cs="Times New Roman"/>
          <w:sz w:val="24"/>
          <w:szCs w:val="24"/>
        </w:rPr>
        <w:t>others’ studies.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evidentiary value of </w:t>
      </w:r>
      <w:r w:rsidRPr="00C135D7">
        <w:rPr>
          <w:rFonts w:ascii="Times New Roman" w:hAnsi="Times New Roman" w:cs="Times New Roman"/>
          <w:sz w:val="24"/>
          <w:szCs w:val="24"/>
        </w:rPr>
        <w:lastRenderedPageBreak/>
        <w:t>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p>
    <w:p w14:paraId="36698A7F"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(Lakens, Hilgard,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Staaks, in press).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77777777"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p>
    <w:p w14:paraId="4F65C07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each find results that support their conclusions and refuse to believe the results of the other </w:t>
      </w:r>
      <w:r w:rsidRPr="00C135D7">
        <w:rPr>
          <w:rFonts w:ascii="Times New Roman" w:hAnsi="Times New Roman" w:cs="Times New Roman"/>
          <w:sz w:val="24"/>
          <w:szCs w:val="24"/>
        </w:rPr>
        <w:lastRenderedPageBreak/>
        <w:t>camp. We cannot bear the thought of another thirty years’ stalemate. Our best hope for an accurate and informative hypothesis test rests upon an international, collaborative, and transparent research effort including proponents, skeptics, and disinterested third parties.</w:t>
      </w:r>
    </w:p>
    <w:p w14:paraId="0D95EA08"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sectPr w:rsidR="000A12B8">
          <w:headerReference w:type="default" r:id="rId11"/>
          <w:pgSz w:w="12240" w:h="15840"/>
          <w:pgMar w:top="1440" w:right="1440" w:bottom="1440" w:left="1440" w:header="720" w:footer="720" w:gutter="0"/>
          <w:cols w:space="720"/>
          <w:docGrid w:linePitch="360"/>
        </w:sectPr>
      </w:pP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0650EE9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141 </w:t>
      </w:r>
      <w:r w:rsidRPr="00926678">
        <w:rPr>
          <w:rFonts w:ascii="Times New Roman" w:hAnsi="Times New Roman" w:cs="Times New Roman"/>
          <w:sz w:val="24"/>
          <w:szCs w:val="24"/>
        </w:rPr>
        <w:t>, 47-64. DOI:10.1080/00221309.2013.853021</w:t>
      </w:r>
    </w:p>
    <w:p w14:paraId="60E293B1"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American Psychological Association Task Force on Violent Media. (2015). </w:t>
      </w:r>
      <w:r w:rsidRPr="00926678">
        <w:rPr>
          <w:rFonts w:ascii="Times New Roman" w:hAnsi="Times New Roman" w:cs="Times New Roman"/>
          <w:i/>
          <w:iCs/>
          <w:sz w:val="24"/>
          <w:szCs w:val="24"/>
        </w:rPr>
        <w:t xml:space="preserve">Technical report on the review of the violent video game literature. </w:t>
      </w:r>
      <w:r w:rsidRPr="00926678">
        <w:rPr>
          <w:rFonts w:ascii="Times New Roman" w:hAnsi="Times New Roman" w:cs="Times New Roman"/>
          <w:sz w:val="24"/>
          <w:szCs w:val="24"/>
        </w:rPr>
        <w:t>Retrieved from https://www.apa.org/news/press/releases/2015/08/technical-violent-games.pdf</w:t>
      </w:r>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Anderson, C. A., Shibuya, A., Ihori, N., Swing, E. L., Bushman, B. J., Sakamoto, A., …</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Saleem,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r w:rsidRPr="00926678">
        <w:rPr>
          <w:rFonts w:ascii="Times New Roman" w:hAnsi="Times New Roman" w:cs="Times New Roman"/>
          <w:sz w:val="24"/>
          <w:szCs w:val="24"/>
        </w:rPr>
        <w:t>10.1037/a0018251</w:t>
      </w:r>
    </w:p>
    <w:p w14:paraId="5606C202" w14:textId="7DD4DE8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Ballard, M. E., &amp; Wiest, J. R. (1996). Mortal Kombat: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r w:rsidRPr="00926678">
        <w:rPr>
          <w:rFonts w:ascii="Times New Roman" w:hAnsi="Times New Roman" w:cs="Times New Roman"/>
          <w:sz w:val="24"/>
          <w:szCs w:val="24"/>
        </w:rPr>
        <w:t>10.1037/a0018718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43A63B85" w14:textId="2C67045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B463A73" w14:textId="30BDD990"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Bruer, J., Van Looy, J., Kneer, J., &amp; Quandt,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10.1037/ppm0000010</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Mohseni, M. R., Breuer, J., Scharkow, M., &amp; Quandt,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r w:rsidRPr="00926678">
        <w:rPr>
          <w:rFonts w:ascii="Times New Roman" w:hAnsi="Times New Roman" w:cs="Times New Roman"/>
          <w:sz w:val="24"/>
          <w:szCs w:val="24"/>
        </w:rPr>
        <w:t>10.1037/a0035569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Elson, M., &amp; Quandt, T. (2014). Digital games in laboratory experiments: Controlling a complex stimulus through modding.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Bartholow,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Etchells, P. J., Gage, S. H., Rutherford, A. D., &amp; Munafo, M. R. (2016). Prospective investigation of video game use in children and subsequent conduct disorder and depression using data from the Avon Longitudinal Study of Parents and Children. </w:t>
      </w:r>
      <w:r w:rsidRPr="00926678">
        <w:rPr>
          <w:rFonts w:ascii="Times New Roman" w:hAnsi="Times New Roman" w:cs="Times New Roman"/>
          <w:i/>
          <w:iCs/>
          <w:sz w:val="24"/>
          <w:szCs w:val="24"/>
        </w:rPr>
        <w:t>PLoS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BBCB5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misestimation and overinterpretation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DOI:1</w:t>
      </w:r>
      <w:r w:rsidRPr="00926678">
        <w:rPr>
          <w:rFonts w:ascii="Times New Roman" w:hAnsi="Times New Roman" w:cs="Times New Roman"/>
          <w:sz w:val="24"/>
          <w:szCs w:val="24"/>
        </w:rPr>
        <w:t>0.1037/a0018566</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Graybill, D., Kirsch, J. R., &amp; Esselman,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Greitemeyer, T., &amp; Mügge,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r w:rsidRPr="00926678">
        <w:rPr>
          <w:rFonts w:ascii="Times New Roman" w:hAnsi="Times New Roman" w:cs="Times New Roman"/>
          <w:sz w:val="24"/>
          <w:szCs w:val="24"/>
        </w:rPr>
        <w:t>10.1177/0146167213520459</w:t>
      </w:r>
    </w:p>
    <w:p w14:paraId="49CA79C3"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Guan, M., &amp; Vandekerckhove, J. (2015). A Bayesian approach to mitigation of publication bias. </w:t>
      </w:r>
      <w:r w:rsidRPr="00926678">
        <w:rPr>
          <w:rFonts w:ascii="Times New Roman" w:hAnsi="Times New Roman" w:cs="Times New Roman"/>
          <w:i/>
          <w:iCs/>
          <w:sz w:val="24"/>
          <w:szCs w:val="24"/>
        </w:rPr>
        <w:t>Psychonomic Bulletin and Review</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http://www.cidlab.com/prints/guan2015bayesian.pdf</w:t>
      </w:r>
    </w:p>
    <w:p w14:paraId="77AE152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Hagger, M. S., Chatzisarantis, N. L. D., Alberts, H., Anggono, C. O., Birt,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6C6ED89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Collaboration. Retrieved from www.cochrane-handbook.org</w:t>
      </w:r>
    </w:p>
    <w:p w14:paraId="73787EF5" w14:textId="5D01F96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Huesmann,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r w:rsidRPr="00926678">
        <w:rPr>
          <w:rFonts w:ascii="Times New Roman" w:hAnsi="Times New Roman" w:cs="Times New Roman"/>
          <w:sz w:val="24"/>
          <w:szCs w:val="24"/>
        </w:rPr>
        <w:t>10.1037/a0018567</w:t>
      </w:r>
    </w:p>
    <w:p w14:paraId="70AB764F" w14:textId="1AFE9DD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Ioannidis, J. P. A., &amp; Trikalinos, T. A. (2007). An ex</w:t>
      </w:r>
      <w:r w:rsidR="00114D9F" w:rsidRPr="00926678">
        <w:rPr>
          <w:rFonts w:ascii="Times New Roman" w:hAnsi="Times New Roman" w:cs="Times New Roman"/>
          <w:sz w:val="24"/>
          <w:szCs w:val="24"/>
        </w:rPr>
        <w:t xml:space="preserve">ploratory test for an excess of </w:t>
      </w:r>
      <w:r w:rsidRPr="00926678">
        <w:rPr>
          <w:rFonts w:ascii="Times New Roman" w:hAnsi="Times New Roman" w:cs="Times New Roman"/>
          <w:sz w:val="24"/>
          <w:szCs w:val="24"/>
        </w:rPr>
        <w:t xml:space="preserve">significant findings.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sidR="00B00DC4">
        <w:rPr>
          <w:rFonts w:ascii="Times New Roman" w:hAnsi="Times New Roman" w:cs="Times New Roman"/>
          <w:sz w:val="24"/>
          <w:szCs w:val="24"/>
        </w:rPr>
        <w:t xml:space="preserve"> DOI:</w:t>
      </w:r>
      <w:r w:rsidR="00B00DC4" w:rsidRPr="00B00DC4">
        <w:rPr>
          <w:rFonts w:ascii="Times New Roman" w:hAnsi="Times New Roman" w:cs="Times New Roman"/>
          <w:sz w:val="24"/>
          <w:szCs w:val="24"/>
        </w:rPr>
        <w:t>10.1177/1740774507079441</w:t>
      </w:r>
    </w:p>
    <w:p w14:paraId="7CE6B7E5" w14:textId="43DD60B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Kneer, J., Elson, M., &amp; Knapp, F. (in press).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Lakens, D., Hilgard, J., &amp; Staaks, J. (in press).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r w:rsidRPr="00926678">
        <w:rPr>
          <w:rFonts w:ascii="Times New Roman" w:hAnsi="Times New Roman" w:cs="Times New Roman"/>
          <w:i/>
          <w:iCs/>
          <w:sz w:val="24"/>
          <w:szCs w:val="24"/>
        </w:rPr>
        <w:t>BioMed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Lau, J., Ioannidis, J. P. A., Terrin, N., Schmid, C. H., &amp; Ol</w:t>
      </w:r>
      <w:r w:rsidR="00114D9F" w:rsidRPr="00926678">
        <w:rPr>
          <w:rFonts w:ascii="Times New Roman" w:hAnsi="Times New Roman" w:cs="Times New Roman"/>
          <w:sz w:val="24"/>
          <w:szCs w:val="24"/>
        </w:rPr>
        <w:t xml:space="preserve">kin,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r w:rsidRPr="00926678">
        <w:rPr>
          <w:rFonts w:ascii="Times New Roman" w:hAnsi="Times New Roman" w:cs="Times New Roman"/>
          <w:sz w:val="24"/>
          <w:szCs w:val="24"/>
        </w:rPr>
        <w:t>Matsuzaki, N., Watanabe, H., &amp; Satou, K. (2004). 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aggressiveness in the video game.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614A30E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Nieuwenhuis, S., van Rijn, H., Slagter, H. A., van der </w:t>
      </w:r>
      <w:r w:rsidR="00114D9F" w:rsidRPr="00926678">
        <w:rPr>
          <w:rFonts w:ascii="Times New Roman" w:hAnsi="Times New Roman" w:cs="Times New Roman"/>
          <w:sz w:val="24"/>
          <w:szCs w:val="24"/>
        </w:rPr>
        <w:t xml:space="preserve">Molen, M. W., &amp; </w:t>
      </w:r>
      <w:r w:rsidRPr="00926678">
        <w:rPr>
          <w:rFonts w:ascii="Times New Roman" w:hAnsi="Times New Roman" w:cs="Times New Roman"/>
          <w:sz w:val="24"/>
          <w:szCs w:val="24"/>
        </w:rPr>
        <w:t xml:space="preserve">Wagenmakers, E.-J. (2015). The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r w:rsidRPr="00926678">
        <w:rPr>
          <w:rFonts w:ascii="Times New Roman" w:hAnsi="Times New Roman" w:cs="Times New Roman"/>
          <w:sz w:val="24"/>
          <w:szCs w:val="24"/>
        </w:rPr>
        <w:t>10.1037/xge0000038</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p>
    <w:p w14:paraId="482B570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Morey, R. D. (2013). The consistency test does not - and cannot - deliver what is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w:t>
      </w:r>
      <w:r w:rsidR="00114D9F"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intitial results metamorphosize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Panee,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3DB7BA8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Przybylski,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r w:rsidRPr="00926678">
        <w:rPr>
          <w:rFonts w:ascii="Times New Roman" w:hAnsi="Times New Roman" w:cs="Times New Roman"/>
          <w:sz w:val="24"/>
          <w:szCs w:val="24"/>
        </w:rPr>
        <w:t>10.1037/a0034820</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Sigurdsson, J. F., Gudjonsson, G. H., Bragason, A. V., Krist</w:t>
      </w:r>
      <w:r w:rsidR="001F2D1D" w:rsidRPr="00926678">
        <w:rPr>
          <w:rFonts w:ascii="Times New Roman" w:hAnsi="Times New Roman" w:cs="Times New Roman"/>
          <w:sz w:val="24"/>
          <w:szCs w:val="24"/>
        </w:rPr>
        <w:t xml:space="preserve">jansdottir, E., &amp; Sigfusdottir,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r w:rsidRPr="00926678">
        <w:rPr>
          <w:rFonts w:ascii="Times New Roman" w:hAnsi="Times New Roman" w:cs="Times New Roman"/>
          <w:sz w:val="24"/>
          <w:szCs w:val="24"/>
        </w:rPr>
        <w:t>10.1037/a0033242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r w:rsidRPr="00926678">
        <w:rPr>
          <w:rFonts w:ascii="Times New Roman" w:hAnsi="Times New Roman" w:cs="Times New Roman"/>
          <w:sz w:val="24"/>
          <w:szCs w:val="24"/>
        </w:rPr>
        <w:t>10.1177/1745691614553988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Stanley, T. D., &amp; Doucouliagos,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4CF0EDE5"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Sterne, J. A. C., &amp; Egger, M. (2005). Regression me</w:t>
      </w:r>
      <w:r w:rsidR="001F2D1D" w:rsidRPr="00926678">
        <w:rPr>
          <w:rFonts w:ascii="Times New Roman" w:hAnsi="Times New Roman" w:cs="Times New Roman"/>
          <w:sz w:val="24"/>
          <w:szCs w:val="24"/>
        </w:rPr>
        <w:t xml:space="preserve">thods to detect publication and </w:t>
      </w:r>
      <w:r w:rsidRPr="00926678">
        <w:rPr>
          <w:rFonts w:ascii="Times New Roman" w:hAnsi="Times New Roman" w:cs="Times New Roman"/>
          <w:sz w:val="24"/>
          <w:szCs w:val="24"/>
        </w:rPr>
        <w:t>other</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bias in meta-analysis. In H. R. Rothstein, A. J. Sutton, &amp; M. Borenstein (Eds.),</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(p. 99-110). John Wiley and Sons, Ltd.</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Sterne, J. A. C., Gavaghan,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r w:rsidRPr="00926678">
        <w:rPr>
          <w:rFonts w:ascii="Times New Roman" w:hAnsi="Times New Roman" w:cs="Times New Roman"/>
          <w:sz w:val="24"/>
          <w:szCs w:val="24"/>
        </w:rPr>
        <w:t>:10.1016/S0895-4356(00)00242-0</w:t>
      </w:r>
    </w:p>
    <w:p w14:paraId="1773700C" w14:textId="1BB86B8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December).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Terrin, N., Schmid, C. H., Lau, J., &amp; Olkin,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Urashima, M., &amp; Suzuki, K. (2003). Konpyuuta gemu</w:t>
      </w:r>
      <w:r w:rsidR="001F2D1D" w:rsidRPr="00926678">
        <w:rPr>
          <w:rFonts w:ascii="Times New Roman" w:hAnsi="Times New Roman" w:cs="Times New Roman"/>
          <w:sz w:val="24"/>
          <w:szCs w:val="24"/>
        </w:rPr>
        <w:t xml:space="preserve"> ga kodomo no koudou ni oyobosu </w:t>
      </w:r>
      <w:r w:rsidRPr="00926678">
        <w:rPr>
          <w:rFonts w:ascii="Times New Roman" w:hAnsi="Times New Roman" w:cs="Times New Roman"/>
          <w:sz w:val="24"/>
          <w:szCs w:val="24"/>
        </w:rPr>
        <w:t xml:space="preserve">eikyo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van Assen, M. A. L. M., van Aert, R. C. M., &amp; Wicher</w:t>
      </w:r>
      <w:r w:rsidR="001F2D1D" w:rsidRPr="00926678">
        <w:rPr>
          <w:rFonts w:ascii="Times New Roman" w:hAnsi="Times New Roman" w:cs="Times New Roman"/>
          <w:sz w:val="24"/>
          <w:szCs w:val="24"/>
        </w:rPr>
        <w:t xml:space="preserve">ts,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r w:rsidRPr="00926678">
        <w:rPr>
          <w:rFonts w:ascii="Times New Roman" w:hAnsi="Times New Roman" w:cs="Times New Roman"/>
          <w:sz w:val="24"/>
          <w:szCs w:val="24"/>
        </w:rPr>
        <w:t>10.1037/met0000025</w:t>
      </w:r>
    </w:p>
    <w:p w14:paraId="0285103D"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Veichtbauer, W. (2010). Conducting meta-analyses in R with the </w:t>
      </w:r>
      <w:r w:rsidRPr="00B00DC4">
        <w:rPr>
          <w:rFonts w:ascii="Courier New" w:hAnsi="Courier New" w:cs="Courier New"/>
          <w:sz w:val="24"/>
          <w:szCs w:val="24"/>
        </w:rPr>
        <w:t>metafor</w:t>
      </w:r>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Vevea,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r w:rsidRPr="00926678">
        <w:rPr>
          <w:rFonts w:ascii="Times New Roman" w:hAnsi="Times New Roman" w:cs="Times New Roman"/>
          <w:i/>
          <w:iCs/>
          <w:sz w:val="24"/>
          <w:szCs w:val="24"/>
        </w:rPr>
        <w:t>Psychometrika</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r w:rsidRPr="00926678">
        <w:rPr>
          <w:rFonts w:ascii="Times New Roman" w:hAnsi="Times New Roman" w:cs="Times New Roman"/>
          <w:sz w:val="24"/>
          <w:szCs w:val="24"/>
        </w:rPr>
        <w:t>10.1007/BF02294384</w:t>
      </w:r>
    </w:p>
    <w:p w14:paraId="161AA31E" w14:textId="750F01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r w:rsidRPr="00926678">
        <w:rPr>
          <w:rFonts w:ascii="Times New Roman" w:hAnsi="Times New Roman" w:cs="Times New Roman"/>
          <w:sz w:val="24"/>
          <w:szCs w:val="24"/>
        </w:rPr>
        <w:t>10.1037/a0026046</w:t>
      </w: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10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2C56C4">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65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2C56C4">
        <w:trPr>
          <w:trHeight w:val="300"/>
        </w:trPr>
        <w:tc>
          <w:tcPr>
            <w:tcW w:w="8100" w:type="dxa"/>
            <w:gridSpan w:val="7"/>
            <w:tcBorders>
              <w:top w:val="single" w:sz="4" w:space="0" w:color="auto"/>
              <w:left w:val="nil"/>
              <w:bottom w:val="nil"/>
              <w:right w:val="nil"/>
            </w:tcBorders>
            <w:shd w:val="clear" w:color="auto" w:fill="auto"/>
            <w:noWrap/>
            <w:vAlign w:val="bottom"/>
            <w:hideMark/>
          </w:tcPr>
          <w:p w14:paraId="744D1F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Affect</w:t>
            </w:r>
          </w:p>
        </w:tc>
      </w:tr>
      <w:tr w:rsidR="002C56C4" w:rsidRPr="00AE537A" w14:paraId="5C5B0121" w14:textId="77777777" w:rsidTr="002C56C4">
        <w:trPr>
          <w:trHeight w:val="300"/>
        </w:trPr>
        <w:tc>
          <w:tcPr>
            <w:tcW w:w="1620" w:type="dxa"/>
            <w:tcBorders>
              <w:top w:val="nil"/>
              <w:left w:val="nil"/>
              <w:bottom w:val="nil"/>
              <w:right w:val="nil"/>
            </w:tcBorders>
            <w:shd w:val="clear" w:color="auto" w:fill="auto"/>
            <w:noWrap/>
            <w:vAlign w:val="bottom"/>
            <w:hideMark/>
          </w:tcPr>
          <w:p w14:paraId="33AC444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2C36C0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E14DA8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w:t>
            </w:r>
          </w:p>
        </w:tc>
        <w:tc>
          <w:tcPr>
            <w:tcW w:w="885" w:type="dxa"/>
            <w:tcBorders>
              <w:top w:val="nil"/>
              <w:left w:val="nil"/>
              <w:bottom w:val="nil"/>
              <w:right w:val="nil"/>
            </w:tcBorders>
            <w:shd w:val="clear" w:color="auto" w:fill="auto"/>
            <w:noWrap/>
            <w:vAlign w:val="bottom"/>
            <w:hideMark/>
          </w:tcPr>
          <w:p w14:paraId="11115D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1318</w:t>
            </w:r>
          </w:p>
        </w:tc>
        <w:tc>
          <w:tcPr>
            <w:tcW w:w="1605" w:type="dxa"/>
            <w:tcBorders>
              <w:top w:val="nil"/>
              <w:left w:val="nil"/>
              <w:bottom w:val="nil"/>
              <w:right w:val="nil"/>
            </w:tcBorders>
            <w:shd w:val="clear" w:color="auto" w:fill="auto"/>
            <w:noWrap/>
            <w:vAlign w:val="bottom"/>
            <w:hideMark/>
          </w:tcPr>
          <w:p w14:paraId="623B7CF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.29 [.24, .34]</w:t>
            </w:r>
          </w:p>
        </w:tc>
        <w:tc>
          <w:tcPr>
            <w:tcW w:w="1530" w:type="dxa"/>
            <w:tcBorders>
              <w:top w:val="nil"/>
              <w:left w:val="nil"/>
              <w:bottom w:val="nil"/>
              <w:right w:val="nil"/>
            </w:tcBorders>
            <w:shd w:val="clear" w:color="auto" w:fill="auto"/>
            <w:noWrap/>
            <w:vAlign w:val="bottom"/>
            <w:hideMark/>
          </w:tcPr>
          <w:p w14:paraId="1F34F3C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 [.24, .42]</w:t>
            </w:r>
          </w:p>
        </w:tc>
        <w:tc>
          <w:tcPr>
            <w:tcW w:w="1350" w:type="dxa"/>
            <w:tcBorders>
              <w:top w:val="nil"/>
              <w:left w:val="nil"/>
              <w:bottom w:val="nil"/>
              <w:right w:val="nil"/>
            </w:tcBorders>
            <w:shd w:val="clear" w:color="auto" w:fill="auto"/>
            <w:noWrap/>
            <w:vAlign w:val="bottom"/>
            <w:hideMark/>
          </w:tcPr>
          <w:p w14:paraId="4D79FFE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66 [45, 91]</w:t>
            </w:r>
          </w:p>
        </w:tc>
      </w:tr>
      <w:tr w:rsidR="002C56C4" w:rsidRPr="00AE537A" w14:paraId="21442973" w14:textId="77777777" w:rsidTr="002C56C4">
        <w:trPr>
          <w:trHeight w:val="300"/>
        </w:trPr>
        <w:tc>
          <w:tcPr>
            <w:tcW w:w="1620" w:type="dxa"/>
            <w:tcBorders>
              <w:top w:val="nil"/>
              <w:left w:val="nil"/>
              <w:bottom w:val="nil"/>
              <w:right w:val="nil"/>
            </w:tcBorders>
            <w:shd w:val="clear" w:color="auto" w:fill="auto"/>
            <w:noWrap/>
            <w:vAlign w:val="bottom"/>
            <w:hideMark/>
          </w:tcPr>
          <w:p w14:paraId="2A47426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0ACA529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ECF2C0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w:t>
            </w:r>
          </w:p>
        </w:tc>
        <w:tc>
          <w:tcPr>
            <w:tcW w:w="885" w:type="dxa"/>
            <w:tcBorders>
              <w:top w:val="nil"/>
              <w:left w:val="nil"/>
              <w:bottom w:val="nil"/>
              <w:right w:val="nil"/>
            </w:tcBorders>
            <w:shd w:val="clear" w:color="auto" w:fill="auto"/>
            <w:noWrap/>
            <w:vAlign w:val="bottom"/>
            <w:hideMark/>
          </w:tcPr>
          <w:p w14:paraId="3CD97CE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2879</w:t>
            </w:r>
          </w:p>
        </w:tc>
        <w:tc>
          <w:tcPr>
            <w:tcW w:w="1605" w:type="dxa"/>
            <w:tcBorders>
              <w:top w:val="nil"/>
              <w:left w:val="nil"/>
              <w:bottom w:val="nil"/>
              <w:right w:val="nil"/>
            </w:tcBorders>
            <w:shd w:val="clear" w:color="auto" w:fill="auto"/>
            <w:noWrap/>
            <w:vAlign w:val="bottom"/>
            <w:hideMark/>
          </w:tcPr>
          <w:p w14:paraId="7E98D09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.21]</w:t>
            </w:r>
          </w:p>
        </w:tc>
        <w:tc>
          <w:tcPr>
            <w:tcW w:w="1530" w:type="dxa"/>
            <w:tcBorders>
              <w:top w:val="nil"/>
              <w:left w:val="nil"/>
              <w:bottom w:val="nil"/>
              <w:right w:val="nil"/>
            </w:tcBorders>
            <w:shd w:val="clear" w:color="auto" w:fill="auto"/>
            <w:noWrap/>
            <w:vAlign w:val="bottom"/>
            <w:hideMark/>
          </w:tcPr>
          <w:p w14:paraId="478790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[.15, .29]</w:t>
            </w:r>
          </w:p>
        </w:tc>
        <w:tc>
          <w:tcPr>
            <w:tcW w:w="1350" w:type="dxa"/>
            <w:tcBorders>
              <w:top w:val="nil"/>
              <w:left w:val="nil"/>
              <w:bottom w:val="nil"/>
              <w:right w:val="nil"/>
            </w:tcBorders>
            <w:shd w:val="clear" w:color="auto" w:fill="auto"/>
            <w:noWrap/>
            <w:vAlign w:val="bottom"/>
            <w:hideMark/>
          </w:tcPr>
          <w:p w14:paraId="36BA39B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 [61, 89]</w:t>
            </w:r>
          </w:p>
        </w:tc>
      </w:tr>
      <w:tr w:rsidR="002C56C4" w:rsidRPr="00AE537A" w14:paraId="522E8AA5" w14:textId="77777777" w:rsidTr="002C56C4">
        <w:trPr>
          <w:trHeight w:val="300"/>
        </w:trPr>
        <w:tc>
          <w:tcPr>
            <w:tcW w:w="1620" w:type="dxa"/>
            <w:tcBorders>
              <w:top w:val="nil"/>
              <w:left w:val="nil"/>
              <w:bottom w:val="nil"/>
              <w:right w:val="nil"/>
            </w:tcBorders>
            <w:shd w:val="clear" w:color="auto" w:fill="auto"/>
            <w:noWrap/>
            <w:vAlign w:val="bottom"/>
            <w:hideMark/>
          </w:tcPr>
          <w:p w14:paraId="4EF6D4B4"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E4AD28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77AAC4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w:t>
            </w:r>
          </w:p>
        </w:tc>
        <w:tc>
          <w:tcPr>
            <w:tcW w:w="885" w:type="dxa"/>
            <w:tcBorders>
              <w:top w:val="nil"/>
              <w:left w:val="nil"/>
              <w:bottom w:val="nil"/>
              <w:right w:val="nil"/>
            </w:tcBorders>
            <w:shd w:val="clear" w:color="auto" w:fill="auto"/>
            <w:noWrap/>
            <w:vAlign w:val="bottom"/>
            <w:hideMark/>
          </w:tcPr>
          <w:p w14:paraId="482F0A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4348</w:t>
            </w:r>
          </w:p>
        </w:tc>
        <w:tc>
          <w:tcPr>
            <w:tcW w:w="1605" w:type="dxa"/>
            <w:tcBorders>
              <w:top w:val="nil"/>
              <w:left w:val="nil"/>
              <w:bottom w:val="nil"/>
              <w:right w:val="nil"/>
            </w:tcBorders>
            <w:shd w:val="clear" w:color="auto" w:fill="auto"/>
            <w:noWrap/>
            <w:vAlign w:val="bottom"/>
            <w:hideMark/>
          </w:tcPr>
          <w:p w14:paraId="4FA5AAD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[.07, .13]</w:t>
            </w:r>
          </w:p>
        </w:tc>
        <w:tc>
          <w:tcPr>
            <w:tcW w:w="1530" w:type="dxa"/>
            <w:tcBorders>
              <w:top w:val="nil"/>
              <w:left w:val="nil"/>
              <w:bottom w:val="nil"/>
              <w:right w:val="nil"/>
            </w:tcBorders>
            <w:shd w:val="clear" w:color="auto" w:fill="auto"/>
            <w:noWrap/>
            <w:vAlign w:val="bottom"/>
            <w:hideMark/>
          </w:tcPr>
          <w:p w14:paraId="21982C8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[.05, .16]</w:t>
            </w:r>
          </w:p>
        </w:tc>
        <w:tc>
          <w:tcPr>
            <w:tcW w:w="1350" w:type="dxa"/>
            <w:tcBorders>
              <w:top w:val="nil"/>
              <w:left w:val="nil"/>
              <w:bottom w:val="nil"/>
              <w:right w:val="nil"/>
            </w:tcBorders>
            <w:shd w:val="clear" w:color="auto" w:fill="auto"/>
            <w:noWrap/>
            <w:vAlign w:val="bottom"/>
            <w:hideMark/>
          </w:tcPr>
          <w:p w14:paraId="65F063B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65 [12, 96]</w:t>
            </w:r>
          </w:p>
        </w:tc>
      </w:tr>
      <w:tr w:rsidR="002C56C4" w:rsidRPr="00AE537A" w14:paraId="16DCE45B" w14:textId="77777777" w:rsidTr="002C56C4">
        <w:trPr>
          <w:trHeight w:val="300"/>
        </w:trPr>
        <w:tc>
          <w:tcPr>
            <w:tcW w:w="1620" w:type="dxa"/>
            <w:tcBorders>
              <w:top w:val="nil"/>
              <w:left w:val="nil"/>
              <w:bottom w:val="nil"/>
              <w:right w:val="nil"/>
            </w:tcBorders>
            <w:shd w:val="clear" w:color="auto" w:fill="auto"/>
            <w:noWrap/>
            <w:vAlign w:val="bottom"/>
            <w:hideMark/>
          </w:tcPr>
          <w:p w14:paraId="5E89BEFF"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5711B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F35CF7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w:t>
            </w:r>
          </w:p>
        </w:tc>
        <w:tc>
          <w:tcPr>
            <w:tcW w:w="885" w:type="dxa"/>
            <w:tcBorders>
              <w:top w:val="nil"/>
              <w:left w:val="nil"/>
              <w:bottom w:val="nil"/>
              <w:right w:val="nil"/>
            </w:tcBorders>
            <w:shd w:val="clear" w:color="auto" w:fill="auto"/>
            <w:noWrap/>
            <w:vAlign w:val="bottom"/>
            <w:hideMark/>
          </w:tcPr>
          <w:p w14:paraId="0E64917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9811</w:t>
            </w:r>
          </w:p>
        </w:tc>
        <w:tc>
          <w:tcPr>
            <w:tcW w:w="1605" w:type="dxa"/>
            <w:tcBorders>
              <w:top w:val="nil"/>
              <w:left w:val="nil"/>
              <w:bottom w:val="nil"/>
              <w:right w:val="nil"/>
            </w:tcBorders>
            <w:shd w:val="clear" w:color="auto" w:fill="auto"/>
            <w:noWrap/>
            <w:vAlign w:val="bottom"/>
            <w:hideMark/>
          </w:tcPr>
          <w:p w14:paraId="432CA9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[.13, .17]</w:t>
            </w:r>
          </w:p>
        </w:tc>
        <w:tc>
          <w:tcPr>
            <w:tcW w:w="1530" w:type="dxa"/>
            <w:tcBorders>
              <w:top w:val="nil"/>
              <w:left w:val="nil"/>
              <w:bottom w:val="nil"/>
              <w:right w:val="nil"/>
            </w:tcBorders>
            <w:shd w:val="clear" w:color="auto" w:fill="auto"/>
            <w:noWrap/>
            <w:vAlign w:val="bottom"/>
            <w:hideMark/>
          </w:tcPr>
          <w:p w14:paraId="236A44A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[.08, .24]</w:t>
            </w:r>
          </w:p>
        </w:tc>
        <w:tc>
          <w:tcPr>
            <w:tcW w:w="1350" w:type="dxa"/>
            <w:tcBorders>
              <w:top w:val="nil"/>
              <w:left w:val="nil"/>
              <w:bottom w:val="nil"/>
              <w:right w:val="nil"/>
            </w:tcBorders>
            <w:shd w:val="clear" w:color="auto" w:fill="auto"/>
            <w:noWrap/>
            <w:vAlign w:val="bottom"/>
            <w:hideMark/>
          </w:tcPr>
          <w:p w14:paraId="3ED89BC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93 [87, 98]</w:t>
            </w:r>
          </w:p>
        </w:tc>
      </w:tr>
      <w:tr w:rsidR="00AE537A" w:rsidRPr="00AE537A" w14:paraId="037E15D0"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333140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Behavior</w:t>
            </w:r>
          </w:p>
        </w:tc>
      </w:tr>
      <w:tr w:rsidR="002C56C4" w:rsidRPr="00AE537A" w14:paraId="6A1F8EA7" w14:textId="77777777" w:rsidTr="002C56C4">
        <w:trPr>
          <w:trHeight w:val="300"/>
        </w:trPr>
        <w:tc>
          <w:tcPr>
            <w:tcW w:w="1620" w:type="dxa"/>
            <w:tcBorders>
              <w:top w:val="nil"/>
              <w:left w:val="nil"/>
              <w:bottom w:val="nil"/>
              <w:right w:val="nil"/>
            </w:tcBorders>
            <w:shd w:val="clear" w:color="auto" w:fill="auto"/>
            <w:noWrap/>
            <w:vAlign w:val="bottom"/>
            <w:hideMark/>
          </w:tcPr>
          <w:p w14:paraId="171775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A08434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A09F7E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w:t>
            </w:r>
          </w:p>
        </w:tc>
        <w:tc>
          <w:tcPr>
            <w:tcW w:w="885" w:type="dxa"/>
            <w:tcBorders>
              <w:top w:val="nil"/>
              <w:left w:val="nil"/>
              <w:bottom w:val="nil"/>
              <w:right w:val="nil"/>
            </w:tcBorders>
            <w:shd w:val="clear" w:color="auto" w:fill="auto"/>
            <w:noWrap/>
            <w:vAlign w:val="bottom"/>
            <w:hideMark/>
          </w:tcPr>
          <w:p w14:paraId="5B78FFC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2413</w:t>
            </w:r>
          </w:p>
        </w:tc>
        <w:tc>
          <w:tcPr>
            <w:tcW w:w="1605" w:type="dxa"/>
            <w:tcBorders>
              <w:top w:val="nil"/>
              <w:left w:val="nil"/>
              <w:bottom w:val="nil"/>
              <w:right w:val="nil"/>
            </w:tcBorders>
            <w:shd w:val="clear" w:color="auto" w:fill="auto"/>
            <w:noWrap/>
            <w:vAlign w:val="bottom"/>
            <w:hideMark/>
          </w:tcPr>
          <w:p w14:paraId="4BF8AC5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530" w:type="dxa"/>
            <w:tcBorders>
              <w:top w:val="nil"/>
              <w:left w:val="nil"/>
              <w:bottom w:val="nil"/>
              <w:right w:val="nil"/>
            </w:tcBorders>
            <w:shd w:val="clear" w:color="auto" w:fill="auto"/>
            <w:noWrap/>
            <w:vAlign w:val="bottom"/>
            <w:hideMark/>
          </w:tcPr>
          <w:p w14:paraId="1DF7560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350" w:type="dxa"/>
            <w:tcBorders>
              <w:top w:val="nil"/>
              <w:left w:val="nil"/>
              <w:bottom w:val="nil"/>
              <w:right w:val="nil"/>
            </w:tcBorders>
            <w:shd w:val="clear" w:color="auto" w:fill="auto"/>
            <w:noWrap/>
            <w:vAlign w:val="bottom"/>
            <w:hideMark/>
          </w:tcPr>
          <w:p w14:paraId="34ACF4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 xml:space="preserve"> 4 [0, 17]</w:t>
            </w:r>
          </w:p>
        </w:tc>
      </w:tr>
      <w:tr w:rsidR="002C56C4" w:rsidRPr="00AE537A" w14:paraId="335A2AD7" w14:textId="77777777" w:rsidTr="002C56C4">
        <w:trPr>
          <w:trHeight w:val="300"/>
        </w:trPr>
        <w:tc>
          <w:tcPr>
            <w:tcW w:w="1620" w:type="dxa"/>
            <w:tcBorders>
              <w:top w:val="nil"/>
              <w:left w:val="nil"/>
              <w:bottom w:val="nil"/>
              <w:right w:val="nil"/>
            </w:tcBorders>
            <w:shd w:val="clear" w:color="auto" w:fill="auto"/>
            <w:noWrap/>
            <w:vAlign w:val="bottom"/>
            <w:hideMark/>
          </w:tcPr>
          <w:p w14:paraId="57B07A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85D43CA"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1CFE52E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39</w:t>
            </w:r>
          </w:p>
        </w:tc>
        <w:tc>
          <w:tcPr>
            <w:tcW w:w="885" w:type="dxa"/>
            <w:tcBorders>
              <w:top w:val="nil"/>
              <w:left w:val="nil"/>
              <w:bottom w:val="nil"/>
              <w:right w:val="nil"/>
            </w:tcBorders>
            <w:shd w:val="clear" w:color="auto" w:fill="auto"/>
            <w:noWrap/>
            <w:vAlign w:val="bottom"/>
            <w:hideMark/>
          </w:tcPr>
          <w:p w14:paraId="63C0574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3328</w:t>
            </w:r>
          </w:p>
        </w:tc>
        <w:tc>
          <w:tcPr>
            <w:tcW w:w="1605" w:type="dxa"/>
            <w:tcBorders>
              <w:top w:val="nil"/>
              <w:left w:val="nil"/>
              <w:bottom w:val="nil"/>
              <w:right w:val="nil"/>
            </w:tcBorders>
            <w:shd w:val="clear" w:color="auto" w:fill="auto"/>
            <w:noWrap/>
            <w:vAlign w:val="bottom"/>
            <w:hideMark/>
          </w:tcPr>
          <w:p w14:paraId="64E1A22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530" w:type="dxa"/>
            <w:tcBorders>
              <w:top w:val="nil"/>
              <w:left w:val="nil"/>
              <w:bottom w:val="nil"/>
              <w:right w:val="nil"/>
            </w:tcBorders>
            <w:shd w:val="clear" w:color="auto" w:fill="auto"/>
            <w:noWrap/>
            <w:vAlign w:val="bottom"/>
            <w:hideMark/>
          </w:tcPr>
          <w:p w14:paraId="3F1583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350" w:type="dxa"/>
            <w:tcBorders>
              <w:top w:val="nil"/>
              <w:left w:val="nil"/>
              <w:bottom w:val="nil"/>
              <w:right w:val="nil"/>
            </w:tcBorders>
            <w:shd w:val="clear" w:color="auto" w:fill="auto"/>
            <w:noWrap/>
            <w:vAlign w:val="bottom"/>
            <w:hideMark/>
          </w:tcPr>
          <w:p w14:paraId="3757837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0 [0, 7]</w:t>
            </w:r>
          </w:p>
        </w:tc>
      </w:tr>
      <w:tr w:rsidR="002C56C4" w:rsidRPr="00AE537A" w14:paraId="0C21E9F5" w14:textId="77777777" w:rsidTr="002C56C4">
        <w:trPr>
          <w:trHeight w:val="300"/>
        </w:trPr>
        <w:tc>
          <w:tcPr>
            <w:tcW w:w="1620" w:type="dxa"/>
            <w:tcBorders>
              <w:top w:val="nil"/>
              <w:left w:val="nil"/>
              <w:bottom w:val="nil"/>
              <w:right w:val="nil"/>
            </w:tcBorders>
            <w:shd w:val="clear" w:color="auto" w:fill="auto"/>
            <w:noWrap/>
            <w:vAlign w:val="bottom"/>
            <w:hideMark/>
          </w:tcPr>
          <w:p w14:paraId="252A5B1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4F4504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0BB96B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35DB29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11615</w:t>
            </w:r>
          </w:p>
        </w:tc>
        <w:tc>
          <w:tcPr>
            <w:tcW w:w="1605" w:type="dxa"/>
            <w:tcBorders>
              <w:top w:val="nil"/>
              <w:left w:val="nil"/>
              <w:bottom w:val="nil"/>
              <w:right w:val="nil"/>
            </w:tcBorders>
            <w:shd w:val="clear" w:color="auto" w:fill="auto"/>
            <w:noWrap/>
            <w:vAlign w:val="bottom"/>
            <w:hideMark/>
          </w:tcPr>
          <w:p w14:paraId="1C99215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.26 [.25, .28]</w:t>
            </w:r>
          </w:p>
        </w:tc>
        <w:tc>
          <w:tcPr>
            <w:tcW w:w="1530" w:type="dxa"/>
            <w:tcBorders>
              <w:top w:val="nil"/>
              <w:left w:val="nil"/>
              <w:bottom w:val="nil"/>
              <w:right w:val="nil"/>
            </w:tcBorders>
            <w:shd w:val="clear" w:color="auto" w:fill="auto"/>
            <w:noWrap/>
            <w:vAlign w:val="bottom"/>
            <w:hideMark/>
          </w:tcPr>
          <w:p w14:paraId="39A0382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 [.24, .31]</w:t>
            </w:r>
          </w:p>
        </w:tc>
        <w:tc>
          <w:tcPr>
            <w:tcW w:w="1350" w:type="dxa"/>
            <w:tcBorders>
              <w:top w:val="nil"/>
              <w:left w:val="nil"/>
              <w:bottom w:val="nil"/>
              <w:right w:val="nil"/>
            </w:tcBorders>
            <w:shd w:val="clear" w:color="auto" w:fill="auto"/>
            <w:noWrap/>
            <w:vAlign w:val="bottom"/>
            <w:hideMark/>
          </w:tcPr>
          <w:p w14:paraId="5297298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67 [38, 86]</w:t>
            </w:r>
          </w:p>
        </w:tc>
      </w:tr>
      <w:tr w:rsidR="002C56C4" w:rsidRPr="00AE537A" w14:paraId="09DCABCE" w14:textId="77777777" w:rsidTr="002C56C4">
        <w:trPr>
          <w:trHeight w:val="300"/>
        </w:trPr>
        <w:tc>
          <w:tcPr>
            <w:tcW w:w="1620" w:type="dxa"/>
            <w:tcBorders>
              <w:top w:val="nil"/>
              <w:left w:val="nil"/>
              <w:bottom w:val="nil"/>
              <w:right w:val="nil"/>
            </w:tcBorders>
            <w:shd w:val="clear" w:color="auto" w:fill="auto"/>
            <w:noWrap/>
            <w:vAlign w:val="bottom"/>
            <w:hideMark/>
          </w:tcPr>
          <w:p w14:paraId="0C1906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3717E30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2A6C76A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36</w:t>
            </w:r>
          </w:p>
        </w:tc>
        <w:tc>
          <w:tcPr>
            <w:tcW w:w="885" w:type="dxa"/>
            <w:tcBorders>
              <w:top w:val="nil"/>
              <w:left w:val="nil"/>
              <w:bottom w:val="nil"/>
              <w:right w:val="nil"/>
            </w:tcBorders>
            <w:shd w:val="clear" w:color="auto" w:fill="auto"/>
            <w:noWrap/>
            <w:vAlign w:val="bottom"/>
            <w:hideMark/>
          </w:tcPr>
          <w:p w14:paraId="1E11B8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28337</w:t>
            </w:r>
          </w:p>
        </w:tc>
        <w:tc>
          <w:tcPr>
            <w:tcW w:w="1605" w:type="dxa"/>
            <w:tcBorders>
              <w:top w:val="nil"/>
              <w:left w:val="nil"/>
              <w:bottom w:val="nil"/>
              <w:right w:val="nil"/>
            </w:tcBorders>
            <w:shd w:val="clear" w:color="auto" w:fill="auto"/>
            <w:noWrap/>
            <w:vAlign w:val="bottom"/>
            <w:hideMark/>
          </w:tcPr>
          <w:p w14:paraId="28DEA3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[.19, .21]</w:t>
            </w:r>
          </w:p>
        </w:tc>
        <w:tc>
          <w:tcPr>
            <w:tcW w:w="1530" w:type="dxa"/>
            <w:tcBorders>
              <w:top w:val="nil"/>
              <w:left w:val="nil"/>
              <w:bottom w:val="nil"/>
              <w:right w:val="nil"/>
            </w:tcBorders>
            <w:shd w:val="clear" w:color="auto" w:fill="auto"/>
            <w:noWrap/>
            <w:vAlign w:val="bottom"/>
            <w:hideMark/>
          </w:tcPr>
          <w:p w14:paraId="0031FE3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 [.20, .26]</w:t>
            </w:r>
          </w:p>
        </w:tc>
        <w:tc>
          <w:tcPr>
            <w:tcW w:w="1350" w:type="dxa"/>
            <w:tcBorders>
              <w:top w:val="nil"/>
              <w:left w:val="nil"/>
              <w:bottom w:val="nil"/>
              <w:right w:val="nil"/>
            </w:tcBorders>
            <w:shd w:val="clear" w:color="auto" w:fill="auto"/>
            <w:noWrap/>
            <w:vAlign w:val="bottom"/>
            <w:hideMark/>
          </w:tcPr>
          <w:p w14:paraId="18F1A89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82 [70, 90]</w:t>
            </w:r>
          </w:p>
        </w:tc>
      </w:tr>
      <w:tr w:rsidR="00AE537A" w:rsidRPr="00AE537A" w14:paraId="3058756A"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1B7B99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Cognition</w:t>
            </w:r>
          </w:p>
        </w:tc>
      </w:tr>
      <w:tr w:rsidR="002C56C4" w:rsidRPr="00AE537A" w14:paraId="11B7764A" w14:textId="77777777" w:rsidTr="002C56C4">
        <w:trPr>
          <w:trHeight w:val="300"/>
        </w:trPr>
        <w:tc>
          <w:tcPr>
            <w:tcW w:w="1620" w:type="dxa"/>
            <w:tcBorders>
              <w:top w:val="nil"/>
              <w:left w:val="nil"/>
              <w:bottom w:val="nil"/>
              <w:right w:val="nil"/>
            </w:tcBorders>
            <w:shd w:val="clear" w:color="auto" w:fill="auto"/>
            <w:noWrap/>
            <w:vAlign w:val="bottom"/>
            <w:hideMark/>
          </w:tcPr>
          <w:p w14:paraId="4C9D242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43817C75"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5990717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155EB2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2887</w:t>
            </w:r>
          </w:p>
        </w:tc>
        <w:tc>
          <w:tcPr>
            <w:tcW w:w="1605" w:type="dxa"/>
            <w:tcBorders>
              <w:top w:val="nil"/>
              <w:left w:val="nil"/>
              <w:bottom w:val="nil"/>
              <w:right w:val="nil"/>
            </w:tcBorders>
            <w:shd w:val="clear" w:color="auto" w:fill="auto"/>
            <w:noWrap/>
            <w:vAlign w:val="bottom"/>
            <w:hideMark/>
          </w:tcPr>
          <w:p w14:paraId="6CE7875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.25]</w:t>
            </w:r>
          </w:p>
        </w:tc>
        <w:tc>
          <w:tcPr>
            <w:tcW w:w="1530" w:type="dxa"/>
            <w:tcBorders>
              <w:top w:val="nil"/>
              <w:left w:val="nil"/>
              <w:bottom w:val="nil"/>
              <w:right w:val="nil"/>
            </w:tcBorders>
            <w:shd w:val="clear" w:color="auto" w:fill="auto"/>
            <w:noWrap/>
            <w:vAlign w:val="bottom"/>
            <w:hideMark/>
          </w:tcPr>
          <w:p w14:paraId="09414BD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.27]</w:t>
            </w:r>
          </w:p>
        </w:tc>
        <w:tc>
          <w:tcPr>
            <w:tcW w:w="1350" w:type="dxa"/>
            <w:tcBorders>
              <w:top w:val="nil"/>
              <w:left w:val="nil"/>
              <w:bottom w:val="nil"/>
              <w:right w:val="nil"/>
            </w:tcBorders>
            <w:shd w:val="clear" w:color="auto" w:fill="auto"/>
            <w:noWrap/>
            <w:vAlign w:val="bottom"/>
            <w:hideMark/>
          </w:tcPr>
          <w:p w14:paraId="2907223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70]</w:t>
            </w:r>
          </w:p>
        </w:tc>
      </w:tr>
      <w:tr w:rsidR="002C56C4" w:rsidRPr="00AE537A" w14:paraId="38E43930" w14:textId="77777777" w:rsidTr="002C56C4">
        <w:trPr>
          <w:trHeight w:val="300"/>
        </w:trPr>
        <w:tc>
          <w:tcPr>
            <w:tcW w:w="1620" w:type="dxa"/>
            <w:tcBorders>
              <w:top w:val="nil"/>
              <w:left w:val="nil"/>
              <w:bottom w:val="nil"/>
              <w:right w:val="nil"/>
            </w:tcBorders>
            <w:shd w:val="clear" w:color="auto" w:fill="auto"/>
            <w:noWrap/>
            <w:vAlign w:val="bottom"/>
            <w:hideMark/>
          </w:tcPr>
          <w:p w14:paraId="4641A91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600161C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011CC0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w:t>
            </w:r>
          </w:p>
        </w:tc>
        <w:tc>
          <w:tcPr>
            <w:tcW w:w="885" w:type="dxa"/>
            <w:tcBorders>
              <w:top w:val="nil"/>
              <w:left w:val="nil"/>
              <w:bottom w:val="nil"/>
              <w:right w:val="nil"/>
            </w:tcBorders>
            <w:shd w:val="clear" w:color="auto" w:fill="auto"/>
            <w:noWrap/>
            <w:vAlign w:val="bottom"/>
            <w:hideMark/>
          </w:tcPr>
          <w:p w14:paraId="35CC87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4073.5</w:t>
            </w:r>
          </w:p>
        </w:tc>
        <w:tc>
          <w:tcPr>
            <w:tcW w:w="1605" w:type="dxa"/>
            <w:tcBorders>
              <w:top w:val="nil"/>
              <w:left w:val="nil"/>
              <w:bottom w:val="nil"/>
              <w:right w:val="nil"/>
            </w:tcBorders>
            <w:shd w:val="clear" w:color="auto" w:fill="auto"/>
            <w:noWrap/>
            <w:vAlign w:val="bottom"/>
            <w:hideMark/>
          </w:tcPr>
          <w:p w14:paraId="02742F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[.17, .23]</w:t>
            </w:r>
          </w:p>
        </w:tc>
        <w:tc>
          <w:tcPr>
            <w:tcW w:w="1530" w:type="dxa"/>
            <w:tcBorders>
              <w:top w:val="nil"/>
              <w:left w:val="nil"/>
              <w:bottom w:val="nil"/>
              <w:right w:val="nil"/>
            </w:tcBorders>
            <w:shd w:val="clear" w:color="auto" w:fill="auto"/>
            <w:noWrap/>
            <w:vAlign w:val="bottom"/>
            <w:hideMark/>
          </w:tcPr>
          <w:p w14:paraId="3E4EFF3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[.16, .24]</w:t>
            </w:r>
          </w:p>
        </w:tc>
        <w:tc>
          <w:tcPr>
            <w:tcW w:w="1350" w:type="dxa"/>
            <w:tcBorders>
              <w:top w:val="nil"/>
              <w:left w:val="nil"/>
              <w:bottom w:val="nil"/>
              <w:right w:val="nil"/>
            </w:tcBorders>
            <w:shd w:val="clear" w:color="auto" w:fill="auto"/>
            <w:noWrap/>
            <w:vAlign w:val="bottom"/>
            <w:hideMark/>
          </w:tcPr>
          <w:p w14:paraId="77A2BA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27 [0, 67]</w:t>
            </w:r>
          </w:p>
        </w:tc>
      </w:tr>
      <w:tr w:rsidR="002C56C4" w:rsidRPr="00AE537A" w14:paraId="04F0F614" w14:textId="77777777" w:rsidTr="002C56C4">
        <w:trPr>
          <w:trHeight w:val="300"/>
        </w:trPr>
        <w:tc>
          <w:tcPr>
            <w:tcW w:w="1620" w:type="dxa"/>
            <w:tcBorders>
              <w:top w:val="nil"/>
              <w:left w:val="nil"/>
              <w:bottom w:val="nil"/>
              <w:right w:val="nil"/>
            </w:tcBorders>
            <w:shd w:val="clear" w:color="auto" w:fill="auto"/>
            <w:noWrap/>
            <w:vAlign w:val="bottom"/>
            <w:hideMark/>
          </w:tcPr>
          <w:p w14:paraId="2672B8A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A2202A9"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5CCBE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w:t>
            </w:r>
          </w:p>
        </w:tc>
        <w:tc>
          <w:tcPr>
            <w:tcW w:w="885" w:type="dxa"/>
            <w:tcBorders>
              <w:top w:val="nil"/>
              <w:left w:val="nil"/>
              <w:bottom w:val="nil"/>
              <w:right w:val="nil"/>
            </w:tcBorders>
            <w:shd w:val="clear" w:color="auto" w:fill="auto"/>
            <w:noWrap/>
            <w:vAlign w:val="bottom"/>
            <w:hideMark/>
          </w:tcPr>
          <w:p w14:paraId="3ABF804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7221</w:t>
            </w:r>
          </w:p>
        </w:tc>
        <w:tc>
          <w:tcPr>
            <w:tcW w:w="1605" w:type="dxa"/>
            <w:tcBorders>
              <w:top w:val="nil"/>
              <w:left w:val="nil"/>
              <w:bottom w:val="nil"/>
              <w:right w:val="nil"/>
            </w:tcBorders>
            <w:shd w:val="clear" w:color="auto" w:fill="auto"/>
            <w:noWrap/>
            <w:vAlign w:val="bottom"/>
            <w:hideMark/>
          </w:tcPr>
          <w:p w14:paraId="5FAA0A0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[.15, .19]</w:t>
            </w:r>
          </w:p>
        </w:tc>
        <w:tc>
          <w:tcPr>
            <w:tcW w:w="1530" w:type="dxa"/>
            <w:tcBorders>
              <w:top w:val="nil"/>
              <w:left w:val="nil"/>
              <w:bottom w:val="nil"/>
              <w:right w:val="nil"/>
            </w:tcBorders>
            <w:shd w:val="clear" w:color="auto" w:fill="auto"/>
            <w:noWrap/>
            <w:vAlign w:val="bottom"/>
            <w:hideMark/>
          </w:tcPr>
          <w:p w14:paraId="194F724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 [.14, .22]</w:t>
            </w:r>
          </w:p>
        </w:tc>
        <w:tc>
          <w:tcPr>
            <w:tcW w:w="1350" w:type="dxa"/>
            <w:tcBorders>
              <w:top w:val="nil"/>
              <w:left w:val="nil"/>
              <w:bottom w:val="nil"/>
              <w:right w:val="nil"/>
            </w:tcBorders>
            <w:shd w:val="clear" w:color="auto" w:fill="auto"/>
            <w:noWrap/>
            <w:vAlign w:val="bottom"/>
            <w:hideMark/>
          </w:tcPr>
          <w:p w14:paraId="17DFEF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62 [27, 85]</w:t>
            </w:r>
          </w:p>
        </w:tc>
      </w:tr>
      <w:tr w:rsidR="002C56C4" w:rsidRPr="00AE537A" w14:paraId="18BBB039" w14:textId="77777777" w:rsidTr="002C56C4">
        <w:trPr>
          <w:trHeight w:val="300"/>
        </w:trPr>
        <w:tc>
          <w:tcPr>
            <w:tcW w:w="1620" w:type="dxa"/>
            <w:tcBorders>
              <w:top w:val="nil"/>
              <w:left w:val="nil"/>
              <w:bottom w:val="nil"/>
              <w:right w:val="nil"/>
            </w:tcBorders>
            <w:shd w:val="clear" w:color="auto" w:fill="auto"/>
            <w:noWrap/>
            <w:vAlign w:val="bottom"/>
            <w:hideMark/>
          </w:tcPr>
          <w:p w14:paraId="2B1D09B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409E6D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5AEA165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1678C4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12236</w:t>
            </w:r>
          </w:p>
        </w:tc>
        <w:tc>
          <w:tcPr>
            <w:tcW w:w="1605" w:type="dxa"/>
            <w:tcBorders>
              <w:top w:val="nil"/>
              <w:left w:val="nil"/>
              <w:bottom w:val="nil"/>
              <w:right w:val="nil"/>
            </w:tcBorders>
            <w:shd w:val="clear" w:color="auto" w:fill="auto"/>
            <w:noWrap/>
            <w:vAlign w:val="bottom"/>
            <w:hideMark/>
          </w:tcPr>
          <w:p w14:paraId="5C7C572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[.14, .18]</w:t>
            </w:r>
          </w:p>
        </w:tc>
        <w:tc>
          <w:tcPr>
            <w:tcW w:w="1530" w:type="dxa"/>
            <w:tcBorders>
              <w:top w:val="nil"/>
              <w:left w:val="nil"/>
              <w:bottom w:val="nil"/>
              <w:right w:val="nil"/>
            </w:tcBorders>
            <w:shd w:val="clear" w:color="auto" w:fill="auto"/>
            <w:noWrap/>
            <w:vAlign w:val="bottom"/>
            <w:hideMark/>
          </w:tcPr>
          <w:p w14:paraId="29276BB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.19 [.14, .24]</w:t>
            </w:r>
          </w:p>
        </w:tc>
        <w:tc>
          <w:tcPr>
            <w:tcW w:w="1350" w:type="dxa"/>
            <w:tcBorders>
              <w:top w:val="nil"/>
              <w:left w:val="nil"/>
              <w:bottom w:val="nil"/>
              <w:right w:val="nil"/>
            </w:tcBorders>
            <w:shd w:val="clear" w:color="auto" w:fill="auto"/>
            <w:noWrap/>
            <w:vAlign w:val="bottom"/>
            <w:hideMark/>
          </w:tcPr>
          <w:p w14:paraId="685B7C4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84 [70, 93]</w:t>
            </w:r>
          </w:p>
        </w:tc>
      </w:tr>
      <w:tr w:rsidR="00AE537A" w:rsidRPr="00AE537A" w14:paraId="67353CC2"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3643AE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Physiological Arousal</w:t>
            </w:r>
          </w:p>
        </w:tc>
      </w:tr>
      <w:tr w:rsidR="002C56C4" w:rsidRPr="00AE537A" w14:paraId="6051194A" w14:textId="77777777" w:rsidTr="002C56C4">
        <w:trPr>
          <w:trHeight w:val="300"/>
        </w:trPr>
        <w:tc>
          <w:tcPr>
            <w:tcW w:w="1620" w:type="dxa"/>
            <w:tcBorders>
              <w:top w:val="nil"/>
              <w:left w:val="nil"/>
              <w:bottom w:val="nil"/>
              <w:right w:val="nil"/>
            </w:tcBorders>
            <w:shd w:val="clear" w:color="auto" w:fill="auto"/>
            <w:noWrap/>
            <w:vAlign w:val="bottom"/>
            <w:hideMark/>
          </w:tcPr>
          <w:p w14:paraId="0068D43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50A11CF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50 [0, 80]</w:t>
            </w:r>
          </w:p>
        </w:tc>
      </w:tr>
      <w:tr w:rsidR="002C56C4" w:rsidRPr="00AE537A" w14:paraId="7E53D540" w14:textId="77777777" w:rsidTr="002C56C4">
        <w:trPr>
          <w:trHeight w:val="300"/>
        </w:trPr>
        <w:tc>
          <w:tcPr>
            <w:tcW w:w="1620" w:type="dxa"/>
            <w:tcBorders>
              <w:top w:val="nil"/>
              <w:left w:val="nil"/>
              <w:bottom w:val="nil"/>
              <w:right w:val="nil"/>
            </w:tcBorders>
            <w:shd w:val="clear" w:color="auto" w:fill="auto"/>
            <w:noWrap/>
            <w:vAlign w:val="bottom"/>
            <w:hideMark/>
          </w:tcPr>
          <w:p w14:paraId="2244223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AE0AAB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7790" w:type="dxa"/>
        <w:tblLook w:val="04A0" w:firstRow="1" w:lastRow="0" w:firstColumn="1" w:lastColumn="0" w:noHBand="0" w:noVBand="1"/>
      </w:tblPr>
      <w:tblGrid>
        <w:gridCol w:w="1480"/>
        <w:gridCol w:w="779"/>
        <w:gridCol w:w="1187"/>
        <w:gridCol w:w="1529"/>
        <w:gridCol w:w="895"/>
        <w:gridCol w:w="1040"/>
        <w:gridCol w:w="880"/>
      </w:tblGrid>
      <w:tr w:rsidR="002C56C4" w:rsidRPr="002C56C4" w14:paraId="547153D7" w14:textId="77777777" w:rsidTr="002C56C4">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2C56C4" w:rsidRPr="002C56C4" w:rsidRDefault="002C56C4" w:rsidP="002C56C4">
            <w:pPr>
              <w:spacing w:after="0" w:line="240" w:lineRule="auto"/>
              <w:jc w:val="right"/>
              <w:rPr>
                <w:rFonts w:ascii="Calibri" w:eastAsia="Times New Roman" w:hAnsi="Calibri" w:cs="Times New Roman"/>
                <w:color w:val="000000"/>
              </w:rPr>
            </w:pP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c>
          <w:tcPr>
            <w:tcW w:w="880" w:type="dxa"/>
            <w:tcBorders>
              <w:top w:val="single" w:sz="4" w:space="0" w:color="auto"/>
              <w:left w:val="nil"/>
              <w:bottom w:val="single" w:sz="4" w:space="0" w:color="auto"/>
              <w:right w:val="nil"/>
            </w:tcBorders>
            <w:shd w:val="clear" w:color="auto" w:fill="auto"/>
            <w:noWrap/>
            <w:vAlign w:val="bottom"/>
            <w:hideMark/>
          </w:tcPr>
          <w:p w14:paraId="4C863A24" w14:textId="56C6E512" w:rsidR="002C56C4" w:rsidRPr="002C56C4" w:rsidRDefault="002C56C4"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w:t>
            </w:r>
            <w:r w:rsidRPr="002C56C4">
              <w:rPr>
                <w:rFonts w:ascii="Calibri" w:eastAsia="Times New Roman" w:hAnsi="Calibri" w:cs="Times New Roman"/>
                <w:color w:val="000000"/>
                <w:vertAlign w:val="subscript"/>
              </w:rPr>
              <w:t>TES</w:t>
            </w:r>
          </w:p>
        </w:tc>
      </w:tr>
      <w:tr w:rsidR="002C56C4" w:rsidRPr="002C56C4" w14:paraId="4717ADAF" w14:textId="77777777" w:rsidTr="002C56C4">
        <w:trPr>
          <w:trHeight w:val="300"/>
        </w:trPr>
        <w:tc>
          <w:tcPr>
            <w:tcW w:w="7790" w:type="dxa"/>
            <w:gridSpan w:val="7"/>
            <w:tcBorders>
              <w:top w:val="single" w:sz="4" w:space="0" w:color="auto"/>
              <w:left w:val="nil"/>
              <w:bottom w:val="nil"/>
              <w:right w:val="nil"/>
            </w:tcBorders>
            <w:shd w:val="clear" w:color="auto" w:fill="auto"/>
            <w:noWrap/>
            <w:vAlign w:val="bottom"/>
            <w:hideMark/>
          </w:tcPr>
          <w:p w14:paraId="0AE32539" w14:textId="6F330ECC"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2C56C4" w:rsidRPr="002C56C4" w14:paraId="193AE7EF" w14:textId="77777777" w:rsidTr="002C56C4">
        <w:trPr>
          <w:trHeight w:val="300"/>
        </w:trPr>
        <w:tc>
          <w:tcPr>
            <w:tcW w:w="1480" w:type="dxa"/>
            <w:tcBorders>
              <w:top w:val="nil"/>
              <w:left w:val="nil"/>
              <w:bottom w:val="nil"/>
              <w:right w:val="nil"/>
            </w:tcBorders>
            <w:shd w:val="clear" w:color="auto" w:fill="auto"/>
            <w:noWrap/>
            <w:vAlign w:val="bottom"/>
            <w:hideMark/>
          </w:tcPr>
          <w:p w14:paraId="726EF25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c>
          <w:tcPr>
            <w:tcW w:w="880" w:type="dxa"/>
            <w:tcBorders>
              <w:top w:val="nil"/>
              <w:left w:val="nil"/>
              <w:bottom w:val="nil"/>
              <w:right w:val="nil"/>
            </w:tcBorders>
            <w:shd w:val="clear" w:color="auto" w:fill="auto"/>
            <w:noWrap/>
            <w:vAlign w:val="bottom"/>
            <w:hideMark/>
          </w:tcPr>
          <w:p w14:paraId="45D8622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0.079</w:t>
            </w:r>
          </w:p>
        </w:tc>
      </w:tr>
      <w:tr w:rsidR="002C56C4" w:rsidRPr="002C56C4" w14:paraId="31B042F7" w14:textId="77777777" w:rsidTr="002C56C4">
        <w:trPr>
          <w:trHeight w:val="300"/>
        </w:trPr>
        <w:tc>
          <w:tcPr>
            <w:tcW w:w="1480" w:type="dxa"/>
            <w:tcBorders>
              <w:top w:val="nil"/>
              <w:left w:val="nil"/>
              <w:bottom w:val="nil"/>
              <w:right w:val="nil"/>
            </w:tcBorders>
            <w:shd w:val="clear" w:color="auto" w:fill="auto"/>
            <w:noWrap/>
            <w:vAlign w:val="bottom"/>
            <w:hideMark/>
          </w:tcPr>
          <w:p w14:paraId="03E08D4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c>
          <w:tcPr>
            <w:tcW w:w="880" w:type="dxa"/>
            <w:tcBorders>
              <w:top w:val="nil"/>
              <w:left w:val="nil"/>
              <w:bottom w:val="nil"/>
              <w:right w:val="nil"/>
            </w:tcBorders>
            <w:shd w:val="clear" w:color="auto" w:fill="auto"/>
            <w:noWrap/>
            <w:vAlign w:val="bottom"/>
            <w:hideMark/>
          </w:tcPr>
          <w:p w14:paraId="6699B48C"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0.022</w:t>
            </w:r>
          </w:p>
        </w:tc>
      </w:tr>
      <w:tr w:rsidR="002C56C4" w:rsidRPr="002C56C4" w14:paraId="4AA7864E" w14:textId="77777777" w:rsidTr="002C56C4">
        <w:trPr>
          <w:trHeight w:val="300"/>
        </w:trPr>
        <w:tc>
          <w:tcPr>
            <w:tcW w:w="1480" w:type="dxa"/>
            <w:tcBorders>
              <w:top w:val="nil"/>
              <w:left w:val="nil"/>
              <w:bottom w:val="nil"/>
              <w:right w:val="nil"/>
            </w:tcBorders>
            <w:shd w:val="clear" w:color="auto" w:fill="auto"/>
            <w:noWrap/>
            <w:vAlign w:val="bottom"/>
            <w:hideMark/>
          </w:tcPr>
          <w:p w14:paraId="5205CAF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80" w:type="dxa"/>
            <w:tcBorders>
              <w:top w:val="nil"/>
              <w:left w:val="nil"/>
              <w:bottom w:val="nil"/>
              <w:right w:val="nil"/>
            </w:tcBorders>
            <w:shd w:val="clear" w:color="auto" w:fill="auto"/>
            <w:noWrap/>
            <w:vAlign w:val="bottom"/>
            <w:hideMark/>
          </w:tcPr>
          <w:p w14:paraId="7EC79B8E"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2C56C4" w:rsidRPr="002C56C4" w14:paraId="0847221D" w14:textId="77777777" w:rsidTr="002C56C4">
        <w:trPr>
          <w:trHeight w:val="300"/>
        </w:trPr>
        <w:tc>
          <w:tcPr>
            <w:tcW w:w="1480" w:type="dxa"/>
            <w:tcBorders>
              <w:top w:val="nil"/>
              <w:left w:val="nil"/>
              <w:bottom w:val="nil"/>
              <w:right w:val="nil"/>
            </w:tcBorders>
            <w:shd w:val="clear" w:color="auto" w:fill="auto"/>
            <w:noWrap/>
            <w:vAlign w:val="bottom"/>
            <w:hideMark/>
          </w:tcPr>
          <w:p w14:paraId="17D8319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c>
          <w:tcPr>
            <w:tcW w:w="880" w:type="dxa"/>
            <w:tcBorders>
              <w:top w:val="nil"/>
              <w:left w:val="nil"/>
              <w:bottom w:val="nil"/>
              <w:right w:val="nil"/>
            </w:tcBorders>
            <w:shd w:val="clear" w:color="auto" w:fill="auto"/>
            <w:noWrap/>
            <w:vAlign w:val="bottom"/>
            <w:hideMark/>
          </w:tcPr>
          <w:p w14:paraId="69D41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0.211</w:t>
            </w:r>
          </w:p>
        </w:tc>
      </w:tr>
      <w:tr w:rsidR="002C56C4" w:rsidRPr="002C56C4" w14:paraId="22D01CC7"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1CA28B8B" w14:textId="1365C1E5"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2C56C4" w:rsidRPr="002C56C4" w14:paraId="0C31E016" w14:textId="77777777" w:rsidTr="002C56C4">
        <w:trPr>
          <w:trHeight w:val="300"/>
        </w:trPr>
        <w:tc>
          <w:tcPr>
            <w:tcW w:w="1480" w:type="dxa"/>
            <w:tcBorders>
              <w:top w:val="nil"/>
              <w:left w:val="nil"/>
              <w:bottom w:val="nil"/>
              <w:right w:val="nil"/>
            </w:tcBorders>
            <w:shd w:val="clear" w:color="auto" w:fill="auto"/>
            <w:noWrap/>
            <w:vAlign w:val="bottom"/>
            <w:hideMark/>
          </w:tcPr>
          <w:p w14:paraId="24ECC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c>
          <w:tcPr>
            <w:tcW w:w="880" w:type="dxa"/>
            <w:tcBorders>
              <w:top w:val="nil"/>
              <w:left w:val="nil"/>
              <w:bottom w:val="nil"/>
              <w:right w:val="nil"/>
            </w:tcBorders>
            <w:shd w:val="clear" w:color="auto" w:fill="auto"/>
            <w:noWrap/>
            <w:vAlign w:val="bottom"/>
            <w:hideMark/>
          </w:tcPr>
          <w:p w14:paraId="177C0754"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0.015</w:t>
            </w:r>
          </w:p>
        </w:tc>
      </w:tr>
      <w:tr w:rsidR="002C56C4" w:rsidRPr="002C56C4" w14:paraId="51812527" w14:textId="77777777" w:rsidTr="002C56C4">
        <w:trPr>
          <w:trHeight w:val="300"/>
        </w:trPr>
        <w:tc>
          <w:tcPr>
            <w:tcW w:w="1480" w:type="dxa"/>
            <w:tcBorders>
              <w:top w:val="nil"/>
              <w:left w:val="nil"/>
              <w:bottom w:val="nil"/>
              <w:right w:val="nil"/>
            </w:tcBorders>
            <w:shd w:val="clear" w:color="auto" w:fill="auto"/>
            <w:noWrap/>
            <w:vAlign w:val="bottom"/>
            <w:hideMark/>
          </w:tcPr>
          <w:p w14:paraId="706E52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c>
          <w:tcPr>
            <w:tcW w:w="880" w:type="dxa"/>
            <w:tcBorders>
              <w:top w:val="nil"/>
              <w:left w:val="nil"/>
              <w:bottom w:val="nil"/>
              <w:right w:val="nil"/>
            </w:tcBorders>
            <w:shd w:val="clear" w:color="auto" w:fill="auto"/>
            <w:noWrap/>
            <w:vAlign w:val="bottom"/>
            <w:hideMark/>
          </w:tcPr>
          <w:p w14:paraId="5371D83B" w14:textId="5E33CAB2"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w:t>
            </w:r>
            <w:r w:rsidR="0054738E" w:rsidRPr="0054738E">
              <w:rPr>
                <w:rFonts w:ascii="Calibri" w:eastAsia="Times New Roman" w:hAnsi="Calibri" w:cs="Times New Roman"/>
                <w:b/>
                <w:color w:val="000000"/>
              </w:rPr>
              <w:t>0</w:t>
            </w:r>
          </w:p>
        </w:tc>
      </w:tr>
      <w:tr w:rsidR="002C56C4" w:rsidRPr="002C56C4" w14:paraId="427F2A4F" w14:textId="77777777" w:rsidTr="002C56C4">
        <w:trPr>
          <w:trHeight w:val="300"/>
        </w:trPr>
        <w:tc>
          <w:tcPr>
            <w:tcW w:w="1480" w:type="dxa"/>
            <w:tcBorders>
              <w:top w:val="nil"/>
              <w:left w:val="nil"/>
              <w:bottom w:val="nil"/>
              <w:right w:val="nil"/>
            </w:tcBorders>
            <w:shd w:val="clear" w:color="auto" w:fill="auto"/>
            <w:noWrap/>
            <w:vAlign w:val="bottom"/>
            <w:hideMark/>
          </w:tcPr>
          <w:p w14:paraId="627B1B3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c>
          <w:tcPr>
            <w:tcW w:w="880" w:type="dxa"/>
            <w:tcBorders>
              <w:top w:val="nil"/>
              <w:left w:val="nil"/>
              <w:bottom w:val="nil"/>
              <w:right w:val="nil"/>
            </w:tcBorders>
            <w:shd w:val="clear" w:color="auto" w:fill="auto"/>
            <w:noWrap/>
            <w:vAlign w:val="bottom"/>
            <w:hideMark/>
          </w:tcPr>
          <w:p w14:paraId="1DE7038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0.931</w:t>
            </w:r>
          </w:p>
        </w:tc>
      </w:tr>
      <w:tr w:rsidR="002C56C4" w:rsidRPr="002C56C4" w14:paraId="3397D436" w14:textId="77777777" w:rsidTr="002C56C4">
        <w:trPr>
          <w:trHeight w:val="300"/>
        </w:trPr>
        <w:tc>
          <w:tcPr>
            <w:tcW w:w="1480" w:type="dxa"/>
            <w:tcBorders>
              <w:top w:val="nil"/>
              <w:left w:val="nil"/>
              <w:bottom w:val="nil"/>
              <w:right w:val="nil"/>
            </w:tcBorders>
            <w:shd w:val="clear" w:color="auto" w:fill="auto"/>
            <w:noWrap/>
            <w:vAlign w:val="bottom"/>
            <w:hideMark/>
          </w:tcPr>
          <w:p w14:paraId="2386F17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c>
          <w:tcPr>
            <w:tcW w:w="880" w:type="dxa"/>
            <w:tcBorders>
              <w:top w:val="nil"/>
              <w:left w:val="nil"/>
              <w:bottom w:val="nil"/>
              <w:right w:val="nil"/>
            </w:tcBorders>
            <w:shd w:val="clear" w:color="auto" w:fill="auto"/>
            <w:noWrap/>
            <w:vAlign w:val="bottom"/>
            <w:hideMark/>
          </w:tcPr>
          <w:p w14:paraId="642D295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0.199</w:t>
            </w:r>
          </w:p>
        </w:tc>
      </w:tr>
      <w:tr w:rsidR="002C56C4" w:rsidRPr="002C56C4" w14:paraId="7193A5E5"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7F761F17" w14:textId="0C67984F"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2C56C4" w:rsidRPr="002C56C4" w14:paraId="1D8069D1" w14:textId="77777777" w:rsidTr="002C56C4">
        <w:trPr>
          <w:trHeight w:val="300"/>
        </w:trPr>
        <w:tc>
          <w:tcPr>
            <w:tcW w:w="1480" w:type="dxa"/>
            <w:tcBorders>
              <w:top w:val="nil"/>
              <w:left w:val="nil"/>
              <w:bottom w:val="nil"/>
              <w:right w:val="nil"/>
            </w:tcBorders>
            <w:shd w:val="clear" w:color="auto" w:fill="auto"/>
            <w:noWrap/>
            <w:vAlign w:val="bottom"/>
            <w:hideMark/>
          </w:tcPr>
          <w:p w14:paraId="48503B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c>
          <w:tcPr>
            <w:tcW w:w="880" w:type="dxa"/>
            <w:tcBorders>
              <w:top w:val="nil"/>
              <w:left w:val="nil"/>
              <w:bottom w:val="nil"/>
              <w:right w:val="nil"/>
            </w:tcBorders>
            <w:shd w:val="clear" w:color="auto" w:fill="auto"/>
            <w:noWrap/>
            <w:vAlign w:val="bottom"/>
            <w:hideMark/>
          </w:tcPr>
          <w:p w14:paraId="539F335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0.309</w:t>
            </w:r>
          </w:p>
        </w:tc>
      </w:tr>
      <w:tr w:rsidR="002C56C4" w:rsidRPr="002C56C4" w14:paraId="119B14F7" w14:textId="77777777" w:rsidTr="002C56C4">
        <w:trPr>
          <w:trHeight w:val="300"/>
        </w:trPr>
        <w:tc>
          <w:tcPr>
            <w:tcW w:w="1480" w:type="dxa"/>
            <w:tcBorders>
              <w:top w:val="nil"/>
              <w:left w:val="nil"/>
              <w:bottom w:val="nil"/>
              <w:right w:val="nil"/>
            </w:tcBorders>
            <w:shd w:val="clear" w:color="auto" w:fill="auto"/>
            <w:noWrap/>
            <w:vAlign w:val="bottom"/>
            <w:hideMark/>
          </w:tcPr>
          <w:p w14:paraId="6268440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c>
          <w:tcPr>
            <w:tcW w:w="880" w:type="dxa"/>
            <w:tcBorders>
              <w:top w:val="nil"/>
              <w:left w:val="nil"/>
              <w:bottom w:val="nil"/>
              <w:right w:val="nil"/>
            </w:tcBorders>
            <w:shd w:val="clear" w:color="auto" w:fill="auto"/>
            <w:noWrap/>
            <w:vAlign w:val="bottom"/>
            <w:hideMark/>
          </w:tcPr>
          <w:p w14:paraId="503B64E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0.339</w:t>
            </w:r>
          </w:p>
        </w:tc>
      </w:tr>
      <w:tr w:rsidR="002C56C4" w:rsidRPr="002C56C4" w14:paraId="6B4B99E9" w14:textId="77777777" w:rsidTr="002C56C4">
        <w:trPr>
          <w:trHeight w:val="300"/>
        </w:trPr>
        <w:tc>
          <w:tcPr>
            <w:tcW w:w="1480" w:type="dxa"/>
            <w:tcBorders>
              <w:top w:val="nil"/>
              <w:left w:val="nil"/>
              <w:bottom w:val="nil"/>
              <w:right w:val="nil"/>
            </w:tcBorders>
            <w:shd w:val="clear" w:color="auto" w:fill="auto"/>
            <w:noWrap/>
            <w:vAlign w:val="bottom"/>
            <w:hideMark/>
          </w:tcPr>
          <w:p w14:paraId="058004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c>
          <w:tcPr>
            <w:tcW w:w="880" w:type="dxa"/>
            <w:tcBorders>
              <w:top w:val="nil"/>
              <w:left w:val="nil"/>
              <w:bottom w:val="nil"/>
              <w:right w:val="nil"/>
            </w:tcBorders>
            <w:shd w:val="clear" w:color="auto" w:fill="auto"/>
            <w:noWrap/>
            <w:vAlign w:val="bottom"/>
            <w:hideMark/>
          </w:tcPr>
          <w:p w14:paraId="7A56B43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0.354</w:t>
            </w:r>
          </w:p>
        </w:tc>
      </w:tr>
      <w:tr w:rsidR="002C56C4" w:rsidRPr="002C56C4" w14:paraId="789E2B58" w14:textId="77777777" w:rsidTr="002C56C4">
        <w:trPr>
          <w:trHeight w:val="300"/>
        </w:trPr>
        <w:tc>
          <w:tcPr>
            <w:tcW w:w="1480" w:type="dxa"/>
            <w:tcBorders>
              <w:top w:val="nil"/>
              <w:left w:val="nil"/>
              <w:bottom w:val="nil"/>
              <w:right w:val="nil"/>
            </w:tcBorders>
            <w:shd w:val="clear" w:color="auto" w:fill="auto"/>
            <w:noWrap/>
            <w:vAlign w:val="bottom"/>
            <w:hideMark/>
          </w:tcPr>
          <w:p w14:paraId="4E5C5EE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80" w:type="dxa"/>
            <w:tcBorders>
              <w:top w:val="nil"/>
              <w:left w:val="nil"/>
              <w:bottom w:val="nil"/>
              <w:right w:val="nil"/>
            </w:tcBorders>
            <w:shd w:val="clear" w:color="auto" w:fill="auto"/>
            <w:noWrap/>
            <w:vAlign w:val="bottom"/>
            <w:hideMark/>
          </w:tcPr>
          <w:p w14:paraId="0F34D36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0.234</w:t>
            </w:r>
          </w:p>
        </w:tc>
      </w:tr>
      <w:tr w:rsidR="002C56C4" w:rsidRPr="002C56C4" w14:paraId="01FF9CB9"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0D153785" w14:textId="36A7B710"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2C56C4" w:rsidRPr="002C56C4" w14:paraId="2DF00A0A" w14:textId="77777777" w:rsidTr="002C56C4">
        <w:trPr>
          <w:trHeight w:val="300"/>
        </w:trPr>
        <w:tc>
          <w:tcPr>
            <w:tcW w:w="1480" w:type="dxa"/>
            <w:tcBorders>
              <w:top w:val="nil"/>
              <w:left w:val="nil"/>
              <w:bottom w:val="nil"/>
              <w:right w:val="nil"/>
            </w:tcBorders>
            <w:shd w:val="clear" w:color="auto" w:fill="auto"/>
            <w:noWrap/>
            <w:vAlign w:val="bottom"/>
            <w:hideMark/>
          </w:tcPr>
          <w:p w14:paraId="462C098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c>
          <w:tcPr>
            <w:tcW w:w="880" w:type="dxa"/>
            <w:tcBorders>
              <w:top w:val="nil"/>
              <w:left w:val="nil"/>
              <w:bottom w:val="nil"/>
              <w:right w:val="nil"/>
            </w:tcBorders>
            <w:shd w:val="clear" w:color="auto" w:fill="auto"/>
            <w:noWrap/>
            <w:vAlign w:val="bottom"/>
            <w:hideMark/>
          </w:tcPr>
          <w:p w14:paraId="759D486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0.636</w:t>
            </w:r>
          </w:p>
        </w:tc>
      </w:tr>
      <w:tr w:rsidR="002C56C4" w:rsidRPr="002C56C4" w14:paraId="69F8DC5D" w14:textId="77777777" w:rsidTr="002C56C4">
        <w:trPr>
          <w:trHeight w:val="300"/>
        </w:trPr>
        <w:tc>
          <w:tcPr>
            <w:tcW w:w="1480" w:type="dxa"/>
            <w:tcBorders>
              <w:top w:val="nil"/>
              <w:left w:val="nil"/>
              <w:bottom w:val="nil"/>
              <w:right w:val="nil"/>
            </w:tcBorders>
            <w:shd w:val="clear" w:color="auto" w:fill="auto"/>
            <w:noWrap/>
            <w:vAlign w:val="bottom"/>
            <w:hideMark/>
          </w:tcPr>
          <w:p w14:paraId="6CBDDB1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c>
          <w:tcPr>
            <w:tcW w:w="880" w:type="dxa"/>
            <w:tcBorders>
              <w:top w:val="nil"/>
              <w:left w:val="nil"/>
              <w:bottom w:val="nil"/>
              <w:right w:val="nil"/>
            </w:tcBorders>
            <w:shd w:val="clear" w:color="auto" w:fill="auto"/>
            <w:noWrap/>
            <w:vAlign w:val="bottom"/>
            <w:hideMark/>
          </w:tcPr>
          <w:p w14:paraId="12CD531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0.704</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52E95F4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AE537A" w:rsidRPr="00AE537A" w14:paraId="49DBD474" w14:textId="77777777" w:rsidTr="002C56C4">
        <w:trPr>
          <w:trHeight w:val="300"/>
        </w:trPr>
        <w:tc>
          <w:tcPr>
            <w:tcW w:w="1435" w:type="dxa"/>
            <w:tcBorders>
              <w:top w:val="nil"/>
              <w:left w:val="nil"/>
              <w:bottom w:val="nil"/>
              <w:right w:val="nil"/>
            </w:tcBorders>
            <w:shd w:val="clear" w:color="auto" w:fill="auto"/>
            <w:noWrap/>
            <w:vAlign w:val="bottom"/>
            <w:hideMark/>
          </w:tcPr>
          <w:p w14:paraId="36B74265"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2F7AE8B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93FA8E0"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.22 [.14, .30]</w:t>
            </w:r>
          </w:p>
        </w:tc>
        <w:tc>
          <w:tcPr>
            <w:tcW w:w="1256" w:type="dxa"/>
            <w:tcBorders>
              <w:top w:val="nil"/>
              <w:left w:val="nil"/>
              <w:bottom w:val="nil"/>
              <w:right w:val="nil"/>
            </w:tcBorders>
            <w:shd w:val="clear" w:color="auto" w:fill="auto"/>
            <w:noWrap/>
            <w:vAlign w:val="bottom"/>
            <w:hideMark/>
          </w:tcPr>
          <w:p w14:paraId="3A3E69C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62 [30, 86]</w:t>
            </w:r>
          </w:p>
        </w:tc>
        <w:tc>
          <w:tcPr>
            <w:tcW w:w="1435" w:type="dxa"/>
            <w:tcBorders>
              <w:top w:val="nil"/>
              <w:left w:val="nil"/>
              <w:bottom w:val="nil"/>
              <w:right w:val="nil"/>
            </w:tcBorders>
            <w:shd w:val="clear" w:color="auto" w:fill="auto"/>
            <w:noWrap/>
            <w:vAlign w:val="bottom"/>
            <w:hideMark/>
          </w:tcPr>
          <w:p w14:paraId="076CA6F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[.21, .30]</w:t>
            </w:r>
          </w:p>
        </w:tc>
        <w:tc>
          <w:tcPr>
            <w:tcW w:w="1166" w:type="dxa"/>
            <w:tcBorders>
              <w:top w:val="nil"/>
              <w:left w:val="nil"/>
              <w:bottom w:val="nil"/>
              <w:right w:val="nil"/>
            </w:tcBorders>
            <w:shd w:val="clear" w:color="auto" w:fill="auto"/>
            <w:noWrap/>
            <w:vAlign w:val="bottom"/>
            <w:hideMark/>
          </w:tcPr>
          <w:p w14:paraId="6E4D7F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65 [35, 87]</w:t>
            </w:r>
          </w:p>
        </w:tc>
        <w:tc>
          <w:tcPr>
            <w:tcW w:w="1375" w:type="dxa"/>
            <w:tcBorders>
              <w:top w:val="nil"/>
              <w:left w:val="nil"/>
              <w:bottom w:val="nil"/>
              <w:right w:val="nil"/>
            </w:tcBorders>
            <w:shd w:val="clear" w:color="auto" w:fill="auto"/>
            <w:noWrap/>
            <w:vAlign w:val="bottom"/>
            <w:hideMark/>
          </w:tcPr>
          <w:p w14:paraId="2E2DFA2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[.24, .31]</w:t>
            </w:r>
          </w:p>
        </w:tc>
        <w:tc>
          <w:tcPr>
            <w:tcW w:w="900" w:type="dxa"/>
            <w:tcBorders>
              <w:top w:val="nil"/>
              <w:left w:val="nil"/>
              <w:bottom w:val="nil"/>
              <w:right w:val="nil"/>
            </w:tcBorders>
            <w:shd w:val="clear" w:color="auto" w:fill="auto"/>
            <w:noWrap/>
            <w:vAlign w:val="bottom"/>
            <w:hideMark/>
          </w:tcPr>
          <w:p w14:paraId="34E17F4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w:t>
            </w:r>
          </w:p>
        </w:tc>
      </w:tr>
      <w:tr w:rsidR="00AE537A" w:rsidRPr="00AE537A" w14:paraId="7E076848" w14:textId="77777777" w:rsidTr="002C56C4">
        <w:trPr>
          <w:trHeight w:val="300"/>
        </w:trPr>
        <w:tc>
          <w:tcPr>
            <w:tcW w:w="1435" w:type="dxa"/>
            <w:tcBorders>
              <w:top w:val="nil"/>
              <w:left w:val="nil"/>
              <w:bottom w:val="nil"/>
              <w:right w:val="nil"/>
            </w:tcBorders>
            <w:shd w:val="clear" w:color="auto" w:fill="auto"/>
            <w:noWrap/>
            <w:vAlign w:val="bottom"/>
            <w:hideMark/>
          </w:tcPr>
          <w:p w14:paraId="117238F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65FF1E0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072F363B"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.17 [.11, .23]</w:t>
            </w:r>
          </w:p>
        </w:tc>
        <w:tc>
          <w:tcPr>
            <w:tcW w:w="1256" w:type="dxa"/>
            <w:tcBorders>
              <w:top w:val="nil"/>
              <w:left w:val="nil"/>
              <w:bottom w:val="nil"/>
              <w:right w:val="nil"/>
            </w:tcBorders>
            <w:shd w:val="clear" w:color="auto" w:fill="auto"/>
            <w:noWrap/>
            <w:vAlign w:val="bottom"/>
            <w:hideMark/>
          </w:tcPr>
          <w:p w14:paraId="3940207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79 [65, 89]</w:t>
            </w:r>
          </w:p>
        </w:tc>
        <w:tc>
          <w:tcPr>
            <w:tcW w:w="1435" w:type="dxa"/>
            <w:tcBorders>
              <w:top w:val="nil"/>
              <w:left w:val="nil"/>
              <w:bottom w:val="nil"/>
              <w:right w:val="nil"/>
            </w:tcBorders>
            <w:shd w:val="clear" w:color="auto" w:fill="auto"/>
            <w:noWrap/>
            <w:vAlign w:val="bottom"/>
            <w:hideMark/>
          </w:tcPr>
          <w:p w14:paraId="6C2972E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[.18, .25]</w:t>
            </w:r>
          </w:p>
        </w:tc>
        <w:tc>
          <w:tcPr>
            <w:tcW w:w="1166" w:type="dxa"/>
            <w:tcBorders>
              <w:top w:val="nil"/>
              <w:left w:val="nil"/>
              <w:bottom w:val="nil"/>
              <w:right w:val="nil"/>
            </w:tcBorders>
            <w:shd w:val="clear" w:color="auto" w:fill="auto"/>
            <w:noWrap/>
            <w:vAlign w:val="bottom"/>
            <w:hideMark/>
          </w:tcPr>
          <w:p w14:paraId="0D2AF32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81 [69, 90]</w:t>
            </w:r>
          </w:p>
        </w:tc>
        <w:tc>
          <w:tcPr>
            <w:tcW w:w="1375" w:type="dxa"/>
            <w:tcBorders>
              <w:top w:val="nil"/>
              <w:left w:val="nil"/>
              <w:bottom w:val="nil"/>
              <w:right w:val="nil"/>
            </w:tcBorders>
            <w:shd w:val="clear" w:color="auto" w:fill="auto"/>
            <w:noWrap/>
            <w:vAlign w:val="bottom"/>
            <w:hideMark/>
          </w:tcPr>
          <w:p w14:paraId="43BFA93D"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.22 [.19, .25]</w:t>
            </w:r>
          </w:p>
        </w:tc>
        <w:tc>
          <w:tcPr>
            <w:tcW w:w="900" w:type="dxa"/>
            <w:tcBorders>
              <w:top w:val="nil"/>
              <w:left w:val="nil"/>
              <w:bottom w:val="nil"/>
              <w:right w:val="nil"/>
            </w:tcBorders>
            <w:shd w:val="clear" w:color="auto" w:fill="auto"/>
            <w:noWrap/>
            <w:vAlign w:val="bottom"/>
            <w:hideMark/>
          </w:tcPr>
          <w:p w14:paraId="2ACC633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394C2E02" w14:textId="77777777" w:rsidTr="002C56C4">
        <w:trPr>
          <w:trHeight w:val="300"/>
        </w:trPr>
        <w:tc>
          <w:tcPr>
            <w:tcW w:w="1435" w:type="dxa"/>
            <w:tcBorders>
              <w:top w:val="nil"/>
              <w:left w:val="nil"/>
              <w:bottom w:val="nil"/>
              <w:right w:val="nil"/>
            </w:tcBorders>
            <w:shd w:val="clear" w:color="auto" w:fill="auto"/>
            <w:noWrap/>
            <w:vAlign w:val="bottom"/>
            <w:hideMark/>
          </w:tcPr>
          <w:p w14:paraId="29AABFF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[.03, .23]</w:t>
            </w:r>
          </w:p>
        </w:tc>
        <w:tc>
          <w:tcPr>
            <w:tcW w:w="1256" w:type="dxa"/>
            <w:tcBorders>
              <w:top w:val="nil"/>
              <w:left w:val="nil"/>
              <w:bottom w:val="nil"/>
              <w:right w:val="nil"/>
            </w:tcBorders>
            <w:shd w:val="clear" w:color="auto" w:fill="auto"/>
            <w:noWrap/>
            <w:vAlign w:val="bottom"/>
            <w:hideMark/>
          </w:tcPr>
          <w:p w14:paraId="18D8300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[22, 87]</w:t>
            </w:r>
          </w:p>
        </w:tc>
        <w:tc>
          <w:tcPr>
            <w:tcW w:w="1435" w:type="dxa"/>
            <w:tcBorders>
              <w:top w:val="nil"/>
              <w:left w:val="nil"/>
              <w:bottom w:val="nil"/>
              <w:right w:val="nil"/>
            </w:tcBorders>
            <w:shd w:val="clear" w:color="auto" w:fill="auto"/>
            <w:noWrap/>
            <w:vAlign w:val="bottom"/>
            <w:hideMark/>
          </w:tcPr>
          <w:p w14:paraId="38B7959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[.11, .23]</w:t>
            </w:r>
          </w:p>
        </w:tc>
        <w:tc>
          <w:tcPr>
            <w:tcW w:w="1166" w:type="dxa"/>
            <w:tcBorders>
              <w:top w:val="nil"/>
              <w:left w:val="nil"/>
              <w:bottom w:val="nil"/>
              <w:right w:val="nil"/>
            </w:tcBorders>
            <w:shd w:val="clear" w:color="auto" w:fill="auto"/>
            <w:noWrap/>
            <w:vAlign w:val="bottom"/>
            <w:hideMark/>
          </w:tcPr>
          <w:p w14:paraId="75F3D21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61 [26, 87]</w:t>
            </w:r>
          </w:p>
        </w:tc>
        <w:tc>
          <w:tcPr>
            <w:tcW w:w="1375" w:type="dxa"/>
            <w:tcBorders>
              <w:top w:val="nil"/>
              <w:left w:val="nil"/>
              <w:bottom w:val="nil"/>
              <w:right w:val="nil"/>
            </w:tcBorders>
            <w:shd w:val="clear" w:color="auto" w:fill="auto"/>
            <w:noWrap/>
            <w:vAlign w:val="bottom"/>
            <w:hideMark/>
          </w:tcPr>
          <w:p w14:paraId="25D0D58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[.14, .22]</w:t>
            </w:r>
          </w:p>
        </w:tc>
        <w:tc>
          <w:tcPr>
            <w:tcW w:w="900" w:type="dxa"/>
            <w:tcBorders>
              <w:top w:val="nil"/>
              <w:left w:val="nil"/>
              <w:bottom w:val="nil"/>
              <w:right w:val="nil"/>
            </w:tcBorders>
            <w:shd w:val="clear" w:color="auto" w:fill="auto"/>
            <w:noWrap/>
            <w:vAlign w:val="bottom"/>
            <w:hideMark/>
          </w:tcPr>
          <w:p w14:paraId="579CE6B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4700BFED" w14:textId="77777777" w:rsidTr="002C56C4">
        <w:trPr>
          <w:trHeight w:val="300"/>
        </w:trPr>
        <w:tc>
          <w:tcPr>
            <w:tcW w:w="1435" w:type="dxa"/>
            <w:tcBorders>
              <w:top w:val="nil"/>
              <w:left w:val="nil"/>
              <w:bottom w:val="nil"/>
              <w:right w:val="nil"/>
            </w:tcBorders>
            <w:shd w:val="clear" w:color="auto" w:fill="auto"/>
            <w:noWrap/>
            <w:vAlign w:val="bottom"/>
            <w:hideMark/>
          </w:tcPr>
          <w:p w14:paraId="3A8DE4A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[.02, .24]</w:t>
            </w:r>
          </w:p>
        </w:tc>
        <w:tc>
          <w:tcPr>
            <w:tcW w:w="1256" w:type="dxa"/>
            <w:tcBorders>
              <w:top w:val="nil"/>
              <w:left w:val="nil"/>
              <w:bottom w:val="nil"/>
              <w:right w:val="nil"/>
            </w:tcBorders>
            <w:shd w:val="clear" w:color="auto" w:fill="auto"/>
            <w:noWrap/>
            <w:vAlign w:val="bottom"/>
            <w:hideMark/>
          </w:tcPr>
          <w:p w14:paraId="4AF8A86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82 [68, 93]</w:t>
            </w:r>
          </w:p>
        </w:tc>
        <w:tc>
          <w:tcPr>
            <w:tcW w:w="1435" w:type="dxa"/>
            <w:tcBorders>
              <w:top w:val="nil"/>
              <w:left w:val="nil"/>
              <w:bottom w:val="nil"/>
              <w:right w:val="nil"/>
            </w:tcBorders>
            <w:shd w:val="clear" w:color="auto" w:fill="auto"/>
            <w:noWrap/>
            <w:vAlign w:val="bottom"/>
            <w:hideMark/>
          </w:tcPr>
          <w:p w14:paraId="406173E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75A726E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84 [71, 93]</w:t>
            </w:r>
          </w:p>
        </w:tc>
        <w:tc>
          <w:tcPr>
            <w:tcW w:w="1375" w:type="dxa"/>
            <w:tcBorders>
              <w:top w:val="nil"/>
              <w:left w:val="nil"/>
              <w:bottom w:val="nil"/>
              <w:right w:val="nil"/>
            </w:tcBorders>
            <w:shd w:val="clear" w:color="auto" w:fill="auto"/>
            <w:noWrap/>
            <w:vAlign w:val="bottom"/>
            <w:hideMark/>
          </w:tcPr>
          <w:p w14:paraId="288C2D2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[.13, .20]</w:t>
            </w:r>
          </w:p>
        </w:tc>
        <w:tc>
          <w:tcPr>
            <w:tcW w:w="900" w:type="dxa"/>
            <w:tcBorders>
              <w:top w:val="nil"/>
              <w:left w:val="nil"/>
              <w:bottom w:val="nil"/>
              <w:right w:val="nil"/>
            </w:tcBorders>
            <w:shd w:val="clear" w:color="auto" w:fill="auto"/>
            <w:noWrap/>
            <w:vAlign w:val="bottom"/>
            <w:hideMark/>
          </w:tcPr>
          <w:p w14:paraId="24AE1FA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r>
        <w:rPr>
          <w:rFonts w:ascii="LMRoman12-Regular" w:hAnsi="LMRoman12-Regular" w:cs="LMRoman12-Regular"/>
          <w:sz w:val="24"/>
          <w:szCs w:val="24"/>
        </w:rPr>
        <w:t>unavailable 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199</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206</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72</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82</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681B1CC4" w:rsidR="007C63CA" w:rsidRDefault="00964D20"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lastRenderedPageBreak/>
        <w:pict w14:anchorId="3D98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2" o:title="funnels-0_AggAff"/>
          </v:shape>
        </w:pict>
      </w:r>
    </w:p>
    <w:p w14:paraId="0944502D" w14:textId="0F56D70C"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Pr>
          <w:rFonts w:ascii="LMRoman12-Regular" w:hAnsi="LMRoman12-Regular" w:cs="LMRoman12-Regular"/>
          <w:sz w:val="24"/>
          <w:szCs w:val="24"/>
        </w:rPr>
        <w:t xml:space="preserve">33), as does one not-best-practices </w:t>
      </w:r>
      <w:r w:rsidR="001F2D1D">
        <w:rPr>
          <w:rFonts w:ascii="LMRoman12-Regular" w:hAnsi="LMRoman12-Regular" w:cs="LMRoman12-Regular"/>
          <w:sz w:val="24"/>
          <w:szCs w:val="24"/>
        </w:rPr>
        <w:t xml:space="preserve">cross-sectional study (Urashima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A1708EE" w14:textId="3E1DBEAF" w:rsidR="000A12B8" w:rsidRDefault="00964D20"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noProof/>
          <w:sz w:val="24"/>
          <w:szCs w:val="24"/>
        </w:rPr>
        <w:lastRenderedPageBreak/>
        <w:pict w14:anchorId="62206051">
          <v:shape id="_x0000_i1026" type="#_x0000_t75" style="width:467.25pt;height:467.25pt">
            <v:imagedata r:id="rId13" o:title="funnels-0_AggBeh"/>
          </v:shape>
        </w:pict>
      </w:r>
      <w:r w:rsidR="007C63CA" w:rsidRPr="007C63CA">
        <w:rPr>
          <w:rFonts w:ascii="LMRoman12-Italic" w:hAnsi="LMRoman12-Italic" w:cs="LMRoman12-Italic"/>
          <w:i/>
          <w:iCs/>
          <w:sz w:val="24"/>
          <w:szCs w:val="24"/>
        </w:rPr>
        <w:t xml:space="preserve"> </w:t>
      </w:r>
      <w:r w:rsidR="000A12B8">
        <w:rPr>
          <w:rFonts w:ascii="LMRoman12-Italic" w:hAnsi="LMRoman12-Italic" w:cs="LMRoman12-Italic"/>
          <w:i/>
          <w:iCs/>
          <w:sz w:val="24"/>
          <w:szCs w:val="24"/>
        </w:rPr>
        <w:t>Figure 2</w:t>
      </w:r>
      <w:r w:rsidR="000A12B8">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sidR="000A12B8">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finding statistical significance.</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771309CD" w:rsidR="000A12B8" w:rsidRDefault="00964D20"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 id="_x0000_i1027" type="#_x0000_t75" style="width:467.25pt;height:467.25pt">
            <v:imagedata r:id="rId14"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cross-sectional study may be an outlier (Sigurdsson, Gudjonsson, Bragason,</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 xml:space="preserve">Kristjansdottir, &amp; Sigfusdottir,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49).</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964D20"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8" type="#_x0000_t75" style="width:287.25pt;height:573.75pt">
            <v:imagedata r:id="rId15"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964D20"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9" type="#_x0000_t75" style="width:596.25pt;height:223.5pt">
            <v:imagedata r:id="rId16"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Xs,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Joe" w:date="2016-06-15T08:10:00Z" w:initials="J">
    <w:p w14:paraId="4DD7B264" w14:textId="614044E5" w:rsidR="00964D20" w:rsidRDefault="00964D20">
      <w:pPr>
        <w:pStyle w:val="CommentText"/>
      </w:pPr>
      <w:r>
        <w:rPr>
          <w:rStyle w:val="CommentReference"/>
        </w:rPr>
        <w:annotationRef/>
      </w:r>
      <w:r>
        <w:t>Quoth Johnson: “</w:t>
      </w:r>
      <w:r>
        <w:rPr>
          <w:rFonts w:ascii="Segoe UI" w:hAnsi="Segoe UI" w:cs="Segoe UI"/>
          <w:color w:val="000000"/>
        </w:rPr>
        <w:t>And did not consider heterogeneity as a limitation.”</w:t>
      </w:r>
    </w:p>
  </w:comment>
  <w:comment w:id="11" w:author="Joe" w:date="2016-06-15T08:11:00Z" w:initials="J">
    <w:p w14:paraId="79A000BF" w14:textId="42C1B4F4" w:rsidR="00964D20" w:rsidRDefault="00964D20">
      <w:pPr>
        <w:pStyle w:val="CommentText"/>
      </w:pPr>
      <w:r>
        <w:rPr>
          <w:rStyle w:val="CommentReference"/>
        </w:rPr>
        <w:annotationRef/>
      </w:r>
      <w:r>
        <w:t>Johnson asks why. I figure the next sentence is explanation enough but I guess not!</w:t>
      </w:r>
    </w:p>
  </w:comment>
  <w:comment w:id="12" w:author="Joe" w:date="2016-06-15T08:12:00Z" w:initials="J">
    <w:p w14:paraId="28EC2AFC" w14:textId="77777777" w:rsidR="00964D20" w:rsidRDefault="00964D20" w:rsidP="00DF000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Re-state to give reader a better sense of the meaning. Thus, more chance of Type-I error?”</w:t>
      </w:r>
    </w:p>
    <w:p w14:paraId="0739C923" w14:textId="77777777" w:rsidR="00964D20" w:rsidRDefault="00964D20" w:rsidP="00DF0008">
      <w:pPr>
        <w:autoSpaceDE w:val="0"/>
        <w:autoSpaceDN w:val="0"/>
        <w:adjustRightInd w:val="0"/>
        <w:spacing w:after="0" w:line="240" w:lineRule="auto"/>
        <w:rPr>
          <w:rFonts w:ascii="Segoe UI" w:hAnsi="Segoe UI" w:cs="Segoe UI"/>
          <w:color w:val="000000"/>
          <w:sz w:val="20"/>
          <w:szCs w:val="20"/>
        </w:rPr>
      </w:pPr>
    </w:p>
    <w:p w14:paraId="1C47D201" w14:textId="07A2D873" w:rsidR="00964D20" w:rsidRPr="00DF0008" w:rsidRDefault="00964D20" w:rsidP="00DF000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I disdain NHST but…??? Not sure what I think.</w:t>
      </w:r>
    </w:p>
  </w:comment>
  <w:comment w:id="25" w:author="Joe" w:date="2016-06-15T08:44:00Z" w:initials="J">
    <w:p w14:paraId="7CA34BE8" w14:textId="1D6D72D8" w:rsidR="00964D20" w:rsidRDefault="00964D20">
      <w:pPr>
        <w:pStyle w:val="CommentText"/>
      </w:pPr>
      <w:r>
        <w:rPr>
          <w:rStyle w:val="CommentReference"/>
        </w:rPr>
        <w:annotationRef/>
      </w:r>
      <w:r>
        <w:t>See if you can fix this. I can’t seem to right it just by looking at Anderson’s meta-dataset alone.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5AC7C" w14:textId="77777777" w:rsidR="001E5C34" w:rsidRDefault="001E5C34" w:rsidP="00DA515D">
      <w:pPr>
        <w:spacing w:after="0" w:line="240" w:lineRule="auto"/>
      </w:pPr>
      <w:r>
        <w:separator/>
      </w:r>
    </w:p>
  </w:endnote>
  <w:endnote w:type="continuationSeparator" w:id="0">
    <w:p w14:paraId="72A98761" w14:textId="77777777" w:rsidR="001E5C34" w:rsidRDefault="001E5C34"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MRoman12-Italic">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73097" w14:textId="77777777" w:rsidR="001E5C34" w:rsidRDefault="001E5C34" w:rsidP="00DA515D">
      <w:pPr>
        <w:spacing w:after="0" w:line="240" w:lineRule="auto"/>
      </w:pPr>
      <w:r>
        <w:separator/>
      </w:r>
    </w:p>
  </w:footnote>
  <w:footnote w:type="continuationSeparator" w:id="0">
    <w:p w14:paraId="5C25BA71" w14:textId="77777777" w:rsidR="001E5C34" w:rsidRDefault="001E5C34" w:rsidP="00DA515D">
      <w:pPr>
        <w:spacing w:after="0" w:line="240" w:lineRule="auto"/>
      </w:pPr>
      <w:r>
        <w:continuationSeparator/>
      </w:r>
    </w:p>
  </w:footnote>
  <w:footnote w:id="1">
    <w:p w14:paraId="4D971519" w14:textId="77777777" w:rsidR="00964D20" w:rsidRDefault="00964D20">
      <w:pPr>
        <w:pStyle w:val="FootnoteText"/>
      </w:pPr>
      <w:r>
        <w:rPr>
          <w:rStyle w:val="FootnoteReference"/>
        </w:rPr>
        <w:footnoteRef/>
      </w:r>
      <w:r>
        <w:t xml:space="preserve"> See supplementary file p_curve_power_analysis.R for a simulation.</w:t>
      </w:r>
    </w:p>
  </w:footnote>
  <w:footnote w:id="2">
    <w:p w14:paraId="381133DA" w14:textId="77777777" w:rsidR="00964D20" w:rsidRDefault="00964D20">
      <w:pPr>
        <w:pStyle w:val="FootnoteText"/>
      </w:pPr>
      <w:r>
        <w:rPr>
          <w:rStyle w:val="FootnoteReference"/>
        </w:rPr>
        <w:footnoteRef/>
      </w:r>
      <w:r>
        <w:t xml:space="preserve"> </w:t>
      </w:r>
      <w:r w:rsidRPr="00DA515D">
        <w:t>Initially, we had attempted a different sensitivity analysis in which we removed datapoints with a Cook’s distance of more than 0.5 on the PET regression. In the case that several observations were excessively influential, we performed an iterative procedure, deleting the single most influential observation and checking again for influence until no observations had excessive influence. In practice, this tended to delete all datapoints that did not fit the PET regression well. This seemed to inappropriately favor the PET model</w:t>
      </w:r>
      <w:r>
        <w:t xml:space="preserve"> </w:t>
      </w:r>
      <w:r w:rsidRPr="00DA515D">
        <w:t>over the available data, so we abandoned this approach.</w:t>
      </w:r>
    </w:p>
  </w:footnote>
  <w:footnote w:id="3">
    <w:p w14:paraId="06FF0EE3" w14:textId="77777777" w:rsidR="00964D20" w:rsidRDefault="00964D20">
      <w:pPr>
        <w:pStyle w:val="FootnoteText"/>
      </w:pPr>
      <w:r>
        <w:rPr>
          <w:rStyle w:val="FootnoteReference"/>
        </w:rPr>
        <w:footnoteRef/>
      </w:r>
      <w:r>
        <w:t xml:space="preserve"> </w:t>
      </w:r>
      <w:r w:rsidRPr="00241A4E">
        <w:t>Moderators confounded with effect size could give the false impression of publication bias. We looked for such a confounding, and found none: see supplementary file moderator_inspection.R. In general, we agree with Anderson et al. (2010) that there is little evidence of moderation between studies.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ABD15" w14:textId="2B209516" w:rsidR="00964D20" w:rsidRPr="00C135D7" w:rsidRDefault="00964D20"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A60A19">
      <w:rPr>
        <w:noProof/>
      </w:rPr>
      <w:t>1</w:t>
    </w:r>
    <w:r>
      <w:rPr>
        <w:noProof/>
      </w:rPr>
      <w:fldChar w:fldCharType="end"/>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48695" w14:textId="54FFA87D" w:rsidR="00964D20" w:rsidRPr="00C135D7" w:rsidRDefault="00964D20">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A60A19">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48CE1" w14:textId="50BD7A8A" w:rsidR="00964D20" w:rsidRPr="00C135D7" w:rsidRDefault="00964D20" w:rsidP="00C135D7">
    <w:pPr>
      <w:pStyle w:val="Header"/>
    </w:pPr>
    <w:r>
      <w:rPr>
        <w:rFonts w:ascii="LMRoman12-Regular" w:hAnsi="LMRoman12-Regular" w:cs="LMRoman12-Regular"/>
        <w:sz w:val="24"/>
        <w:szCs w:val="24"/>
      </w:rPr>
      <w:t>OVERESTIMATED EFFECTS OF VIOLENT GAMES</w:t>
    </w:r>
    <w:r>
      <w:tab/>
    </w:r>
    <w:r>
      <w:fldChar w:fldCharType="begin"/>
    </w:r>
    <w:r>
      <w:instrText xml:space="preserve"> PAGE   \* MERGEFORMAT </w:instrText>
    </w:r>
    <w:r>
      <w:fldChar w:fldCharType="separate"/>
    </w:r>
    <w:r w:rsidR="00A60A19">
      <w:rPr>
        <w:noProof/>
      </w:rPr>
      <w:t>19</w:t>
    </w:r>
    <w:r>
      <w:rPr>
        <w:noProof/>
      </w:rPr>
      <w:fldChar w:fldCharType="end"/>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5FEB"/>
    <w:rsid w:val="00020F3B"/>
    <w:rsid w:val="000A0E13"/>
    <w:rsid w:val="000A12B8"/>
    <w:rsid w:val="00114D9F"/>
    <w:rsid w:val="00147815"/>
    <w:rsid w:val="001E5C34"/>
    <w:rsid w:val="001F2D1D"/>
    <w:rsid w:val="00212CD9"/>
    <w:rsid w:val="002246C0"/>
    <w:rsid w:val="00241A4E"/>
    <w:rsid w:val="002C56C4"/>
    <w:rsid w:val="002F6D33"/>
    <w:rsid w:val="00350F25"/>
    <w:rsid w:val="004E52F3"/>
    <w:rsid w:val="00514A6A"/>
    <w:rsid w:val="0054738E"/>
    <w:rsid w:val="00547B6F"/>
    <w:rsid w:val="007C63CA"/>
    <w:rsid w:val="00926678"/>
    <w:rsid w:val="00945878"/>
    <w:rsid w:val="00964D20"/>
    <w:rsid w:val="00A42274"/>
    <w:rsid w:val="00A60A19"/>
    <w:rsid w:val="00AA69DA"/>
    <w:rsid w:val="00AE537A"/>
    <w:rsid w:val="00B00DC4"/>
    <w:rsid w:val="00B50450"/>
    <w:rsid w:val="00C04636"/>
    <w:rsid w:val="00C135D7"/>
    <w:rsid w:val="00C61686"/>
    <w:rsid w:val="00C777BE"/>
    <w:rsid w:val="00CE1129"/>
    <w:rsid w:val="00CE7770"/>
    <w:rsid w:val="00D84DF6"/>
    <w:rsid w:val="00DA515D"/>
    <w:rsid w:val="00DF0008"/>
    <w:rsid w:val="00E9644A"/>
    <w:rsid w:val="00F12DD0"/>
    <w:rsid w:val="00F9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semiHidden/>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semiHidden/>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semiHidden/>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semiHidden/>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0273D-3BA9-4C30-B0BF-9934044D0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49</Pages>
  <Words>12245</Words>
  <Characters>69800</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Joe</cp:lastModifiedBy>
  <cp:revision>19</cp:revision>
  <dcterms:created xsi:type="dcterms:W3CDTF">2016-03-11T15:29:00Z</dcterms:created>
  <dcterms:modified xsi:type="dcterms:W3CDTF">2016-06-15T00:16:00Z</dcterms:modified>
</cp:coreProperties>
</file>