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37075EEA"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 xml:space="preserve">effects of violent games on aggressive behavior in experimental research are estimated as being very small, and estimates of effects on aggressive affect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lastRenderedPageBreak/>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3EB18214"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w:t>
      </w:r>
      <w:r w:rsidR="00F45474">
        <w:rPr>
          <w:rFonts w:ascii="Times New Roman" w:hAnsi="Times New Roman" w:cs="Times New Roman"/>
          <w:sz w:val="24"/>
          <w:szCs w:val="24"/>
        </w:rPr>
        <w:t>small-study effects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3DCAC42D"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F45474">
        <w:rPr>
          <w:rFonts w:ascii="Times New Roman" w:hAnsi="Times New Roman" w:cs="Times New Roman"/>
          <w:sz w:val="24"/>
          <w:szCs w:val="24"/>
        </w:rPr>
        <w:t>might</w:t>
      </w:r>
      <w:r w:rsidRPr="00C135D7">
        <w:rPr>
          <w:rFonts w:ascii="Times New Roman" w:hAnsi="Times New Roman" w:cs="Times New Roman"/>
          <w:sz w:val="24"/>
          <w:szCs w:val="24"/>
        </w:rPr>
        <w:t xml:space="preserve">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26D4B808"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w:t>
      </w:r>
      <w:r w:rsidR="00F45474">
        <w:rPr>
          <w:rFonts w:ascii="Times New Roman" w:hAnsi="Times New Roman" w:cs="Times New Roman"/>
          <w:sz w:val="24"/>
          <w:szCs w:val="24"/>
        </w:rPr>
        <w:t xml:space="preserve">residual </w:t>
      </w:r>
      <w:r w:rsidR="00863546">
        <w:rPr>
          <w:rFonts w:ascii="Times New Roman" w:hAnsi="Times New Roman" w:cs="Times New Roman"/>
          <w:sz w:val="24"/>
          <w:szCs w:val="24"/>
        </w:rPr>
        <w:t xml:space="preserve">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Ioannidis, Trikalinos, &amp; Zintzaras,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7B7BEF9B"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F45474">
        <w:rPr>
          <w:rFonts w:ascii="Times New Roman" w:hAnsi="Times New Roman" w:cs="Times New Roman"/>
          <w:sz w:val="24"/>
          <w:szCs w:val="24"/>
        </w:rPr>
        <w:t xml:space="preserve">bias-adjusted </w:t>
      </w:r>
      <w:r w:rsidR="00BE26AE">
        <w:rPr>
          <w:rFonts w:ascii="Times New Roman" w:hAnsi="Times New Roman" w:cs="Times New Roman"/>
          <w:sz w:val="24"/>
          <w:szCs w:val="24"/>
        </w:rPr>
        <w:t>effect sizes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594FA9FE"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necessary for the best-practices subset.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F45474">
        <w:rPr>
          <w:rFonts w:ascii="Times New Roman" w:hAnsi="Times New Roman" w:cs="Times New Roman"/>
          <w:sz w:val="24"/>
          <w:szCs w:val="24"/>
        </w:rPr>
        <w:t xml:space="preserve">we see </w:t>
      </w:r>
      <w:r w:rsidR="005C4578">
        <w:rPr>
          <w:rFonts w:ascii="Times New Roman" w:hAnsi="Times New Roman" w:cs="Times New Roman"/>
          <w:sz w:val="24"/>
          <w:szCs w:val="24"/>
        </w:rPr>
        <w:t xml:space="preserve">it </w:t>
      </w:r>
      <w:r w:rsidR="00F45474">
        <w:rPr>
          <w:rFonts w:ascii="Times New Roman" w:hAnsi="Times New Roman" w:cs="Times New Roman"/>
          <w:sz w:val="24"/>
          <w:szCs w:val="24"/>
        </w:rPr>
        <w:t>as</w:t>
      </w:r>
      <w:r w:rsidR="005C4578">
        <w:rPr>
          <w:rFonts w:ascii="Times New Roman" w:hAnsi="Times New Roman" w:cs="Times New Roman"/>
          <w:sz w:val="24"/>
          <w:szCs w:val="24"/>
        </w:rPr>
        <w:t xml:space="preserve"> </w:t>
      </w:r>
      <w:r w:rsidR="00F45474">
        <w:rPr>
          <w:rFonts w:ascii="Times New Roman" w:hAnsi="Times New Roman" w:cs="Times New Roman"/>
          <w:sz w:val="24"/>
          <w:szCs w:val="24"/>
        </w:rPr>
        <w:t>an over</w:t>
      </w:r>
      <w:r w:rsidR="00A7286A">
        <w:rPr>
          <w:rFonts w:ascii="Times New Roman" w:hAnsi="Times New Roman" w:cs="Times New Roman"/>
          <w:sz w:val="24"/>
          <w:szCs w:val="24"/>
        </w:rPr>
        <w:t xml:space="preserve">zealous </w:t>
      </w:r>
      <w:r w:rsidR="00F45474">
        <w:rPr>
          <w:rFonts w:ascii="Times New Roman" w:hAnsi="Times New Roman" w:cs="Times New Roman"/>
          <w:sz w:val="24"/>
          <w:szCs w:val="24"/>
        </w:rPr>
        <w:t>hyper</w:t>
      </w:r>
      <w:r w:rsidR="00A7286A">
        <w:rPr>
          <w:rFonts w:ascii="Times New Roman" w:hAnsi="Times New Roman" w:cs="Times New Roman"/>
          <w:sz w:val="24"/>
          <w:szCs w:val="24"/>
        </w:rPr>
        <w:t xml:space="preserve">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5F34D4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r w:rsidR="00F45474">
        <w:rPr>
          <w:rFonts w:ascii="Times New Roman" w:hAnsi="Times New Roman" w:cs="Times New Roman"/>
          <w:sz w:val="24"/>
          <w:szCs w:val="24"/>
        </w:rPr>
        <w:t>.</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w:t>
      </w:r>
      <w:r>
        <w:rPr>
          <w:rFonts w:ascii="Times New Roman" w:hAnsi="Times New Roman" w:cs="Times New Roman"/>
          <w:sz w:val="24"/>
          <w:szCs w:val="24"/>
        </w:rPr>
        <w:lastRenderedPageBreak/>
        <w:t xml:space="preserve">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w:t>
      </w:r>
      <w:r w:rsidR="000A12B8" w:rsidRPr="00C135D7">
        <w:rPr>
          <w:rFonts w:ascii="Times New Roman" w:hAnsi="Times New Roman" w:cs="Times New Roman"/>
          <w:sz w:val="24"/>
          <w:szCs w:val="24"/>
        </w:rPr>
        <w:lastRenderedPageBreak/>
        <w:t xml:space="preserve">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56DF1EA9"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 xml:space="preserve">studies, which strikes us as </w:t>
      </w:r>
      <w:r w:rsidR="00F2049F">
        <w:rPr>
          <w:rFonts w:ascii="Times New Roman" w:hAnsi="Times New Roman" w:cs="Times New Roman"/>
          <w:sz w:val="24"/>
          <w:szCs w:val="24"/>
        </w:rPr>
        <w:lastRenderedPageBreak/>
        <w:t>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find correlations between violent game play and aggressive traits.</w:t>
      </w:r>
    </w:p>
    <w:p w14:paraId="7FBF3536" w14:textId="2F5B2675"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w:t>
      </w:r>
      <w:r w:rsidR="003F4A88">
        <w:rPr>
          <w:rFonts w:ascii="Times New Roman" w:hAnsi="Times New Roman" w:cs="Times New Roman"/>
          <w:sz w:val="24"/>
          <w:szCs w:val="24"/>
        </w:rPr>
        <w:t>By way of comparison</w:t>
      </w:r>
      <w:r w:rsidR="00753CEA">
        <w:rPr>
          <w:rFonts w:ascii="Times New Roman" w:hAnsi="Times New Roman" w:cs="Times New Roman"/>
          <w:sz w:val="24"/>
          <w:szCs w:val="24"/>
        </w:rPr>
        <w: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6226937B"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639A0196" w14:textId="67C891F3" w:rsidR="003F4A88" w:rsidRDefault="003F4A88"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results suggest that theories of aggression may be weaker than previously thought. We consider theories of aggression and their proposed mechanisms, </w:t>
      </w:r>
      <w:r w:rsidR="004B040C">
        <w:rPr>
          <w:rFonts w:ascii="Times New Roman" w:hAnsi="Times New Roman" w:cs="Times New Roman"/>
          <w:sz w:val="24"/>
          <w:szCs w:val="24"/>
        </w:rPr>
        <w:t xml:space="preserve">possible desirable revisions to these theories, and identify areas in </w:t>
      </w:r>
      <w:r>
        <w:rPr>
          <w:rFonts w:ascii="Times New Roman" w:hAnsi="Times New Roman" w:cs="Times New Roman"/>
          <w:sz w:val="24"/>
          <w:szCs w:val="24"/>
        </w:rPr>
        <w:t xml:space="preserve">need of </w:t>
      </w:r>
      <w:r w:rsidR="004B040C">
        <w:rPr>
          <w:rFonts w:ascii="Times New Roman" w:hAnsi="Times New Roman" w:cs="Times New Roman"/>
          <w:sz w:val="24"/>
          <w:szCs w:val="24"/>
        </w:rPr>
        <w:t xml:space="preserve">further </w:t>
      </w:r>
      <w:r>
        <w:rPr>
          <w:rFonts w:ascii="Times New Roman" w:hAnsi="Times New Roman" w:cs="Times New Roman"/>
          <w:sz w:val="24"/>
          <w:szCs w:val="24"/>
        </w:rPr>
        <w:t xml:space="preserve">testing. </w:t>
      </w:r>
    </w:p>
    <w:p w14:paraId="54DC386B" w14:textId="47973B4B"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behavior (i.e., “ideomotor action”, Bargh &amp; Chartrand, 1999; James, 1890). </w:t>
      </w:r>
      <w:r w:rsidR="00187944">
        <w:rPr>
          <w:rFonts w:ascii="Times New Roman" w:hAnsi="Times New Roman" w:cs="Times New Roman"/>
          <w:sz w:val="24"/>
          <w:szCs w:val="24"/>
        </w:rPr>
        <w:t xml:space="preserve">What’s more, one </w:t>
      </w:r>
      <w:r w:rsidR="00187944">
        <w:rPr>
          <w:rFonts w:ascii="Times New Roman" w:hAnsi="Times New Roman" w:cs="Times New Roman"/>
          <w:sz w:val="24"/>
          <w:szCs w:val="24"/>
        </w:rPr>
        <w:lastRenderedPageBreak/>
        <w:t>does not need to deliberately choose to think about a certain behavior; instead</w:t>
      </w:r>
      <w:r w:rsidR="00983F55">
        <w:rPr>
          <w:rFonts w:ascii="Times New Roman" w:hAnsi="Times New Roman" w:cs="Times New Roman"/>
          <w:sz w:val="24"/>
          <w:szCs w:val="24"/>
        </w:rPr>
        <w:t xml:space="preserve">, </w:t>
      </w:r>
      <w:r w:rsidR="00187944">
        <w:rPr>
          <w:rFonts w:ascii="Times New Roman" w:hAnsi="Times New Roman" w:cs="Times New Roman"/>
          <w:sz w:val="24"/>
          <w:szCs w:val="24"/>
        </w:rPr>
        <w:t xml:space="preserve">cues in </w:t>
      </w:r>
      <w:r w:rsidR="00983F55">
        <w:rPr>
          <w:rFonts w:ascii="Times New Roman" w:hAnsi="Times New Roman" w:cs="Times New Roman"/>
          <w:sz w:val="24"/>
          <w:szCs w:val="24"/>
        </w:rPr>
        <w:t xml:space="preserve">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5D4ED26B"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w:t>
      </w:r>
      <w:r w:rsidR="00193599">
        <w:rPr>
          <w:rFonts w:ascii="Times New Roman" w:hAnsi="Times New Roman" w:cs="Times New Roman"/>
          <w:sz w:val="24"/>
          <w:szCs w:val="24"/>
        </w:rPr>
        <w:lastRenderedPageBreak/>
        <w:t>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(Rohrer, Pashler,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Johnson, Cheung, &amp; Donnellan, 2014). These failures to replicate are also found in aggression research: DeWall and Bushman (2009) suggest that exposure to temperature-word primes increase hostile attributions</w:t>
      </w:r>
      <w:r w:rsidR="00DA1203">
        <w:rPr>
          <w:rFonts w:ascii="Times New Roman" w:hAnsi="Times New Roman" w:cs="Times New Roman"/>
          <w:sz w:val="24"/>
          <w:szCs w:val="24"/>
        </w:rPr>
        <w:t xml:space="preserve"> of ambiguous behaviors</w:t>
      </w:r>
      <w:r w:rsidR="00947C6B">
        <w:rPr>
          <w:rFonts w:ascii="Times New Roman" w:hAnsi="Times New Roman" w:cs="Times New Roman"/>
          <w:sz w:val="24"/>
          <w:szCs w:val="24"/>
        </w:rPr>
        <w:t>,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5031447B"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Krahé, </w:t>
      </w:r>
      <w:r w:rsidR="00502170">
        <w:rPr>
          <w:rFonts w:ascii="Times New Roman" w:hAnsi="Times New Roman" w:cs="Times New Roman"/>
          <w:sz w:val="24"/>
          <w:szCs w:val="24"/>
        </w:rPr>
        <w:t>in press</w:t>
      </w:r>
      <w:r w:rsidR="00BC3078">
        <w:rPr>
          <w:rFonts w:ascii="Times New Roman" w:hAnsi="Times New Roman" w:cs="Times New Roman"/>
          <w:sz w:val="24"/>
          <w:szCs w:val="24"/>
        </w:rPr>
        <w:t>)</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 xml:space="preserve">-hacking such that the </w:t>
      </w:r>
      <w:r w:rsidR="00921D78">
        <w:rPr>
          <w:rFonts w:ascii="Times New Roman" w:hAnsi="Times New Roman" w:cs="Times New Roman"/>
          <w:sz w:val="24"/>
          <w:szCs w:val="24"/>
        </w:rPr>
        <w:lastRenderedPageBreak/>
        <w:t>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lastRenderedPageBreak/>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2657FDE0"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sidR="00DA1203">
        <w:rPr>
          <w:rFonts w:ascii="Times New Roman" w:hAnsi="Times New Roman" w:cs="Times New Roman"/>
          <w:sz w:val="24"/>
          <w:szCs w:val="24"/>
        </w:rPr>
        <w:t>make this point explicitly, saying</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w:t>
      </w:r>
      <w:r>
        <w:rPr>
          <w:rFonts w:ascii="Times New Roman" w:hAnsi="Times New Roman" w:cs="Times New Roman"/>
          <w:sz w:val="24"/>
          <w:szCs w:val="24"/>
        </w:rPr>
        <w:lastRenderedPageBreak/>
        <w:t xml:space="preserve">been truly </w:t>
      </w:r>
      <w:r>
        <w:rPr>
          <w:rFonts w:ascii="Times New Roman" w:hAnsi="Times New Roman" w:cs="Times New Roman"/>
          <w:i/>
          <w:sz w:val="24"/>
          <w:szCs w:val="24"/>
        </w:rPr>
        <w:t>pre</w:t>
      </w:r>
      <w:r>
        <w:rPr>
          <w:rFonts w:ascii="Times New Roman" w:hAnsi="Times New Roman" w:cs="Times New Roman"/>
          <w:sz w:val="24"/>
          <w:szCs w:val="24"/>
        </w:rPr>
        <w:t>selected to create equivalent affective states</w:t>
      </w:r>
      <w:r w:rsidR="0021230D">
        <w:rPr>
          <w:rFonts w:ascii="Times New Roman" w:hAnsi="Times New Roman" w:cs="Times New Roman"/>
          <w:sz w:val="24"/>
          <w:szCs w:val="24"/>
        </w:rPr>
        <w:t>; results could have been presented post-hoc as demonstrations of stimulus equivalence and hence discarded from analysis</w:t>
      </w:r>
      <w:r>
        <w:rPr>
          <w:rFonts w:ascii="Times New Roman" w:hAnsi="Times New Roman" w:cs="Times New Roman"/>
          <w:sz w:val="24"/>
          <w:szCs w:val="24"/>
        </w:rPr>
        <w:t>.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w:t>
      </w:r>
      <w:r w:rsidR="00EF1B25">
        <w:rPr>
          <w:rFonts w:ascii="Times New Roman" w:hAnsi="Times New Roman" w:cs="Times New Roman"/>
          <w:sz w:val="24"/>
          <w:szCs w:val="24"/>
        </w:rPr>
        <w:lastRenderedPageBreak/>
        <w:t>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transparent research process and to publish results regardless of </w:t>
      </w:r>
      <w:r w:rsidRPr="00C135D7">
        <w:rPr>
          <w:rFonts w:ascii="Times New Roman" w:hAnsi="Times New Roman" w:cs="Times New Roman"/>
          <w:sz w:val="24"/>
          <w:szCs w:val="24"/>
        </w:rPr>
        <w:lastRenderedPageBreak/>
        <w:t>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Kneer et al., in </w:t>
      </w:r>
      <w:r w:rsidRPr="00C135D7">
        <w:rPr>
          <w:rFonts w:ascii="Times New Roman" w:hAnsi="Times New Roman" w:cs="Times New Roman"/>
          <w:sz w:val="24"/>
          <w:szCs w:val="24"/>
        </w:rPr>
        <w:lastRenderedPageBreak/>
        <w:t>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w:t>
      </w:r>
    </w:p>
    <w:p w14:paraId="4B81D8C4" w14:textId="655D55DE"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effect sizes </w:t>
      </w:r>
      <w:r w:rsidR="0021230D">
        <w:rPr>
          <w:rFonts w:ascii="Times New Roman" w:hAnsi="Times New Roman" w:cs="Times New Roman"/>
          <w:sz w:val="24"/>
          <w:szCs w:val="24"/>
        </w:rPr>
        <w:t xml:space="preserve">smaller </w:t>
      </w:r>
      <w:r w:rsidR="008C7B86">
        <w:rPr>
          <w:rFonts w:ascii="Times New Roman" w:hAnsi="Times New Roman" w:cs="Times New Roman"/>
          <w:sz w:val="24"/>
          <w:szCs w:val="24"/>
        </w:rPr>
        <w:t>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9"/>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w:t>
      </w:r>
      <w:r w:rsidR="00DE6877">
        <w:rPr>
          <w:rFonts w:ascii="Times New Roman" w:hAnsi="Times New Roman" w:cs="Times New Roman"/>
          <w:sz w:val="24"/>
          <w:szCs w:val="24"/>
        </w:rPr>
        <w:lastRenderedPageBreak/>
        <w:t>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r w:rsidRPr="00926678">
        <w:rPr>
          <w:rFonts w:ascii="Times New Roman" w:hAnsi="Times New Roman" w:cs="Times New Roman"/>
          <w:sz w:val="24"/>
          <w:szCs w:val="24"/>
        </w:rPr>
        <w:t>Am</w:t>
      </w:r>
      <w:r w:rsidRPr="00A43367">
        <w:rPr>
          <w:rFonts w:ascii="Times New Roman" w:hAnsi="Times New Roman" w:cs="Times New Roman"/>
          <w:sz w:val="24"/>
          <w:szCs w:val="24"/>
        </w:rPr>
        <w:t xml:space="preserve">erican Psychological Association Task Force on Violent Media. (2015). </w:t>
      </w:r>
      <w:r w:rsidRPr="00A43367">
        <w:rPr>
          <w:rFonts w:ascii="Times New Roman" w:hAnsi="Times New Roman" w:cs="Times New Roman"/>
          <w:i/>
          <w:iCs/>
          <w:sz w:val="24"/>
          <w:szCs w:val="24"/>
        </w:rPr>
        <w:t xml:space="preserve">Technical report on the review of the violent video game literature. </w:t>
      </w:r>
      <w:r w:rsidRPr="00A43367">
        <w:rPr>
          <w:rFonts w:ascii="Times New Roman" w:hAnsi="Times New Roman" w:cs="Times New Roman"/>
          <w:sz w:val="24"/>
          <w:szCs w:val="24"/>
        </w:rPr>
        <w:t xml:space="preserve">Retrieved from </w:t>
      </w:r>
      <w:hyperlink r:id="rId10"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xml:space="preserve">, C. A., &amp; Bushman, B. J. (2002). Human aggression.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Dill, K. (2000). Video games and aggressive thoughts, feelings, and behavior in the laboratory and in life.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1A7FF4AC" w14:textId="1600A4C9" w:rsidR="006E2A63" w:rsidRDefault="006E2A63" w:rsidP="001F2D1D">
      <w:pPr>
        <w:autoSpaceDE w:val="0"/>
        <w:autoSpaceDN w:val="0"/>
        <w:adjustRightInd w:val="0"/>
        <w:spacing w:afterLines="200" w:after="480" w:line="240" w:lineRule="auto"/>
        <w:ind w:hanging="720"/>
        <w:rPr>
          <w:rFonts w:ascii="Times New Roman" w:hAnsi="Times New Roman" w:cs="Times New Roman"/>
          <w:sz w:val="24"/>
          <w:szCs w:val="24"/>
        </w:rPr>
      </w:pPr>
      <w:r w:rsidRPr="006E2A63">
        <w:rPr>
          <w:rFonts w:ascii="Times New Roman" w:hAnsi="Times New Roman" w:cs="Times New Roman"/>
          <w:sz w:val="24"/>
          <w:szCs w:val="24"/>
        </w:rPr>
        <w:t>Ballard, M. E., &amp; Wiest, J. R. (1996). Mortal Kombat: The effects of violent video game play on males’ hostility and cardiovascular responding. Journal of Applied Social Psychology, 26, 717-730. DOI:10.1111/j.1559-1816.1996.tb02740.x</w:t>
      </w:r>
    </w:p>
    <w:p w14:paraId="19F2BCC8" w14:textId="70AB2CB5" w:rsidR="00B54DF2" w:rsidRPr="00B54DF2"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Bargh, J. A., &amp; Chartrand, T. L. (1999) The unbearable automaticity of being. </w:t>
      </w:r>
      <w:r>
        <w:rPr>
          <w:rFonts w:ascii="Times New Roman" w:hAnsi="Times New Roman" w:cs="Times New Roman"/>
          <w:i/>
          <w:sz w:val="24"/>
          <w:szCs w:val="24"/>
        </w:rPr>
        <w:t>American Psychologist, 54</w:t>
      </w:r>
      <w:r>
        <w:rPr>
          <w:rFonts w:ascii="Times New Roman" w:hAnsi="Times New Roman" w:cs="Times New Roman"/>
          <w:sz w:val="24"/>
          <w:szCs w:val="24"/>
        </w:rPr>
        <w:t>(7), 462-479. DOI</w:t>
      </w:r>
      <w:r w:rsidRPr="00B54DF2">
        <w:rPr>
          <w:rFonts w:ascii="Times New Roman" w:hAnsi="Times New Roman" w:cs="Times New Roman"/>
          <w:sz w:val="24"/>
          <w:szCs w:val="24"/>
        </w:rPr>
        <w:t>:</w:t>
      </w:r>
      <w:r>
        <w:rPr>
          <w:rFonts w:ascii="Times New Roman" w:hAnsi="Times New Roman" w:cs="Times New Roman"/>
          <w:sz w:val="24"/>
          <w:szCs w:val="24"/>
        </w:rPr>
        <w:t xml:space="preserve"> </w:t>
      </w:r>
      <w:r w:rsidRPr="00B54DF2">
        <w:rPr>
          <w:rFonts w:ascii="Times New Roman" w:hAnsi="Times New Roman" w:cs="Times New Roman"/>
          <w:sz w:val="24"/>
          <w:szCs w:val="24"/>
        </w:rPr>
        <w:t>10.1037/0003-066X.54.7.462</w:t>
      </w:r>
    </w:p>
    <w:p w14:paraId="43BD2A05" w14:textId="16B4321A" w:rsidR="00B54DF2" w:rsidRPr="00926678"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Borenstein, M. (2009). Effect sizes for continuous data.</w:t>
      </w:r>
      <w:r w:rsidRPr="00B54DF2">
        <w:t xml:space="preserve"> </w:t>
      </w:r>
      <w:r w:rsidRPr="00B54DF2">
        <w:rPr>
          <w:rFonts w:ascii="Times New Roman" w:hAnsi="Times New Roman" w:cs="Times New Roman"/>
          <w:sz w:val="24"/>
          <w:szCs w:val="24"/>
        </w:rPr>
        <w:t>In H. Cooper, L. V. Hedges, &amp; J. C. Valentine (Eds.), The handbook of research synthesis and meta-analysis (2nd ed., pp. 221–235). New York, NY: Russell Sage Foundation.</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Bushman, B. J., &amp; Anderson, C. A.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77BBF5F8" w14:textId="337CFA45"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Ferguson, C. J. (2015). Do angry birds make for angry children? A meta-analysis of video game influences on children’s and adolescents’ aggression, mental health, prosocial behavior, and academic performance. </w:t>
      </w:r>
      <w:r>
        <w:rPr>
          <w:rFonts w:ascii="Times New Roman" w:hAnsi="Times New Roman" w:cs="Times New Roman"/>
          <w:i/>
          <w:sz w:val="24"/>
          <w:szCs w:val="24"/>
        </w:rPr>
        <w:t>Perspectives on Psychological Science, 10</w:t>
      </w:r>
      <w:r>
        <w:rPr>
          <w:rFonts w:ascii="Times New Roman" w:hAnsi="Times New Roman" w:cs="Times New Roman"/>
          <w:sz w:val="24"/>
          <w:szCs w:val="24"/>
        </w:rPr>
        <w:t xml:space="preserve">(5), 646-666. </w:t>
      </w:r>
      <w:r w:rsidRPr="0082462A">
        <w:rPr>
          <w:rFonts w:ascii="Times New Roman" w:hAnsi="Times New Roman" w:cs="Times New Roman"/>
          <w:sz w:val="24"/>
          <w:szCs w:val="24"/>
        </w:rPr>
        <w:t>doi: 10.1177/1745691615592234</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73787EF5" w14:textId="17AE3C3F"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124A08A4" w14:textId="26813F08" w:rsidR="004F6590" w:rsidRDefault="004F6590" w:rsidP="001F2D1D">
      <w:pPr>
        <w:autoSpaceDE w:val="0"/>
        <w:autoSpaceDN w:val="0"/>
        <w:adjustRightInd w:val="0"/>
        <w:spacing w:afterLines="200" w:after="480" w:line="240" w:lineRule="auto"/>
        <w:ind w:hanging="720"/>
        <w:rPr>
          <w:rFonts w:ascii="Times New Roman" w:hAnsi="Times New Roman" w:cs="Times New Roman"/>
          <w:sz w:val="24"/>
          <w:szCs w:val="24"/>
        </w:rPr>
      </w:pPr>
      <w:r w:rsidRPr="004F6590">
        <w:rPr>
          <w:rFonts w:ascii="Times New Roman" w:hAnsi="Times New Roman" w:cs="Times New Roman"/>
          <w:sz w:val="24"/>
          <w:szCs w:val="24"/>
        </w:rPr>
        <w:t xml:space="preserve">Ioannidis, J. P. A., &amp; Trikalinos, T. A. (2007). An exploratory test for an excess of significant findings. </w:t>
      </w:r>
      <w:r w:rsidRPr="004F6590">
        <w:rPr>
          <w:rFonts w:ascii="Times New Roman" w:hAnsi="Times New Roman" w:cs="Times New Roman"/>
          <w:i/>
          <w:sz w:val="24"/>
          <w:szCs w:val="24"/>
        </w:rPr>
        <w:t>Clinical Trials, 4</w:t>
      </w:r>
      <w:r w:rsidRPr="004F6590">
        <w:rPr>
          <w:rFonts w:ascii="Times New Roman" w:hAnsi="Times New Roman" w:cs="Times New Roman"/>
          <w:sz w:val="24"/>
          <w:szCs w:val="24"/>
        </w:rPr>
        <w:t>, 245-253. DOI:10.1177/1740774507079441</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Ioannidis, J. P. A., Trikalinos, T. A., &amp; Zintzaras, E. (2006).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5C99FA36" w14:textId="3E18329C"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James, W. (1890) </w:t>
      </w:r>
      <w:r>
        <w:rPr>
          <w:rFonts w:ascii="Times New Roman" w:hAnsi="Times New Roman" w:cs="Times New Roman"/>
          <w:i/>
          <w:sz w:val="24"/>
          <w:szCs w:val="24"/>
        </w:rPr>
        <w:t xml:space="preserve">The principles of psychology (Vol. 2). </w:t>
      </w:r>
      <w:r>
        <w:rPr>
          <w:rFonts w:ascii="Times New Roman" w:hAnsi="Times New Roman" w:cs="Times New Roman"/>
          <w:sz w:val="24"/>
          <w:szCs w:val="24"/>
        </w:rPr>
        <w:t>New York: Holt.</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05B4E675" w14:textId="501789B9" w:rsidR="00502170" w:rsidRDefault="0050217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Krahé, B. (in press). Violent media effects on aggression: A commentary from a cross-cultural perspective. </w:t>
      </w:r>
      <w:r w:rsidRPr="00502170">
        <w:rPr>
          <w:rFonts w:ascii="Times New Roman" w:hAnsi="Times New Roman" w:cs="Times New Roman"/>
          <w:sz w:val="24"/>
          <w:szCs w:val="24"/>
        </w:rPr>
        <w:t>DOI: 10.1111/asap.12107</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7939C933"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38E8AC0E" w14:textId="12B2320E" w:rsidR="00B976EB" w:rsidRPr="00926678" w:rsidRDefault="00B976EB" w:rsidP="001F2D1D">
      <w:pPr>
        <w:autoSpaceDE w:val="0"/>
        <w:autoSpaceDN w:val="0"/>
        <w:adjustRightInd w:val="0"/>
        <w:spacing w:afterLines="200" w:after="480" w:line="240" w:lineRule="auto"/>
        <w:ind w:hanging="720"/>
        <w:rPr>
          <w:rFonts w:ascii="Times New Roman" w:hAnsi="Times New Roman" w:cs="Times New Roman"/>
          <w:sz w:val="24"/>
          <w:szCs w:val="24"/>
        </w:rPr>
      </w:pPr>
      <w:r w:rsidRPr="00B976EB">
        <w:rPr>
          <w:rFonts w:ascii="Times New Roman" w:hAnsi="Times New Roman" w:cs="Times New Roman"/>
          <w:sz w:val="24"/>
          <w:szCs w:val="24"/>
        </w:rPr>
        <w:t>Matsuzaki, N., Watanabe, H., &amp; Satou, K. (2004). Terebigemu no kougekisei ni kansuru kyouikushinrigakuteki kenkyu [Educational psychology of the aggressiveness in the video game]. Bulletin of the Faculty of Education, Ehime University, 51(1), 45-52.</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56C448A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3250EE8" w14:textId="34BE6106" w:rsidR="004F6590" w:rsidRPr="00926678" w:rsidRDefault="004F6590" w:rsidP="001F2D1D">
      <w:pPr>
        <w:autoSpaceDE w:val="0"/>
        <w:autoSpaceDN w:val="0"/>
        <w:adjustRightInd w:val="0"/>
        <w:spacing w:afterLines="200" w:after="480" w:line="240" w:lineRule="auto"/>
        <w:ind w:hanging="720"/>
        <w:rPr>
          <w:rFonts w:ascii="Times New Roman" w:hAnsi="Times New Roman" w:cs="Times New Roman"/>
          <w:sz w:val="24"/>
          <w:szCs w:val="24"/>
        </w:rPr>
      </w:pPr>
      <w:r w:rsidRPr="004F6590">
        <w:rPr>
          <w:rFonts w:ascii="Times New Roman" w:hAnsi="Times New Roman" w:cs="Times New Roman"/>
          <w:sz w:val="24"/>
          <w:szCs w:val="24"/>
        </w:rPr>
        <w:t>Morey, R. D. (2013). The consistency test does not - and cannot - d</w:t>
      </w:r>
      <w:bookmarkStart w:id="0" w:name="_GoBack"/>
      <w:bookmarkEnd w:id="0"/>
      <w:r w:rsidRPr="004F6590">
        <w:rPr>
          <w:rFonts w:ascii="Times New Roman" w:hAnsi="Times New Roman" w:cs="Times New Roman"/>
          <w:sz w:val="24"/>
          <w:szCs w:val="24"/>
        </w:rPr>
        <w:t xml:space="preserve">eliver what is advertised: A comment on Francis (2013). </w:t>
      </w:r>
      <w:r w:rsidRPr="004F6590">
        <w:rPr>
          <w:rFonts w:ascii="Times New Roman" w:hAnsi="Times New Roman" w:cs="Times New Roman"/>
          <w:i/>
          <w:sz w:val="24"/>
          <w:szCs w:val="24"/>
        </w:rPr>
        <w:t>Journal of Mathematical Psychology, 57</w:t>
      </w:r>
      <w:r w:rsidRPr="004F6590">
        <w:rPr>
          <w:rFonts w:ascii="Times New Roman" w:hAnsi="Times New Roman" w:cs="Times New Roman"/>
          <w:sz w:val="24"/>
          <w:szCs w:val="24"/>
        </w:rPr>
        <w:t xml:space="preserve"> (5), 180 - 183. Retrieved from 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D4137B"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4A9761FE"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-0.447</w:t>
            </w:r>
          </w:p>
        </w:tc>
        <w:tc>
          <w:tcPr>
            <w:tcW w:w="1529" w:type="dxa"/>
            <w:tcBorders>
              <w:top w:val="nil"/>
              <w:left w:val="nil"/>
              <w:bottom w:val="nil"/>
              <w:right w:val="nil"/>
            </w:tcBorders>
            <w:shd w:val="clear" w:color="auto" w:fill="auto"/>
            <w:noWrap/>
            <w:vAlign w:val="bottom"/>
            <w:hideMark/>
          </w:tcPr>
          <w:p w14:paraId="1CC5A598" w14:textId="3E934BE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1.469</w:t>
            </w:r>
          </w:p>
        </w:tc>
        <w:tc>
          <w:tcPr>
            <w:tcW w:w="895" w:type="dxa"/>
            <w:tcBorders>
              <w:top w:val="nil"/>
              <w:left w:val="nil"/>
              <w:bottom w:val="nil"/>
              <w:right w:val="nil"/>
            </w:tcBorders>
            <w:shd w:val="clear" w:color="auto" w:fill="auto"/>
            <w:noWrap/>
            <w:vAlign w:val="bottom"/>
            <w:hideMark/>
          </w:tcPr>
          <w:p w14:paraId="656E6732" w14:textId="520D35C4"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0.761</w:t>
            </w:r>
          </w:p>
        </w:tc>
        <w:tc>
          <w:tcPr>
            <w:tcW w:w="1040" w:type="dxa"/>
            <w:tcBorders>
              <w:top w:val="nil"/>
              <w:left w:val="nil"/>
              <w:bottom w:val="nil"/>
              <w:right w:val="nil"/>
            </w:tcBorders>
            <w:shd w:val="clear" w:color="auto" w:fill="auto"/>
            <w:noWrap/>
            <w:vAlign w:val="bottom"/>
            <w:hideMark/>
          </w:tcPr>
          <w:p w14:paraId="5779E518" w14:textId="757D48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0.628</w:t>
            </w:r>
          </w:p>
        </w:tc>
      </w:tr>
      <w:tr w:rsidR="00D4137B"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50F852"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0.334</w:t>
            </w:r>
          </w:p>
        </w:tc>
        <w:tc>
          <w:tcPr>
            <w:tcW w:w="1529" w:type="dxa"/>
            <w:tcBorders>
              <w:top w:val="nil"/>
              <w:left w:val="nil"/>
              <w:bottom w:val="nil"/>
              <w:right w:val="nil"/>
            </w:tcBorders>
            <w:shd w:val="clear" w:color="auto" w:fill="auto"/>
            <w:noWrap/>
            <w:vAlign w:val="bottom"/>
            <w:hideMark/>
          </w:tcPr>
          <w:p w14:paraId="70D4D382" w14:textId="303C91F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1.366</w:t>
            </w:r>
          </w:p>
        </w:tc>
        <w:tc>
          <w:tcPr>
            <w:tcW w:w="895" w:type="dxa"/>
            <w:tcBorders>
              <w:top w:val="nil"/>
              <w:left w:val="nil"/>
              <w:bottom w:val="nil"/>
              <w:right w:val="nil"/>
            </w:tcBorders>
            <w:shd w:val="clear" w:color="auto" w:fill="auto"/>
            <w:noWrap/>
            <w:vAlign w:val="bottom"/>
            <w:hideMark/>
          </w:tcPr>
          <w:p w14:paraId="2FC323B4" w14:textId="1BE767A1"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0.807</w:t>
            </w:r>
          </w:p>
        </w:tc>
        <w:tc>
          <w:tcPr>
            <w:tcW w:w="1040" w:type="dxa"/>
            <w:tcBorders>
              <w:top w:val="nil"/>
              <w:left w:val="nil"/>
              <w:bottom w:val="nil"/>
              <w:right w:val="nil"/>
            </w:tcBorders>
            <w:shd w:val="clear" w:color="auto" w:fill="auto"/>
            <w:noWrap/>
            <w:vAlign w:val="bottom"/>
            <w:hideMark/>
          </w:tcPr>
          <w:p w14:paraId="6C3D856F" w14:textId="07BC1A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4634810A"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04EB51E7"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7FD8835F"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.27</w:t>
            </w:r>
            <w:r w:rsidR="00EB712E" w:rsidRPr="00EB712E">
              <w:rPr>
                <w:rFonts w:ascii="Times New Roman" w:hAnsi="Times New Roman" w:cs="Times New Roman"/>
                <w:sz w:val="20"/>
                <w:szCs w:val="20"/>
              </w:rPr>
              <w:t xml:space="preserve"> [ .2</w:t>
            </w:r>
            <w:r>
              <w:rPr>
                <w:rFonts w:ascii="Times New Roman" w:hAnsi="Times New Roman" w:cs="Times New Roman"/>
                <w:sz w:val="20"/>
                <w:szCs w:val="20"/>
              </w:rPr>
              <w:t>4, .31</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6558AD52"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.22 [ .19, .25</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1618C5AD"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.18 [ .14, .22</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368A010"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.16</w:t>
            </w:r>
            <w:r w:rsidR="00EB712E" w:rsidRPr="00EB712E">
              <w:rPr>
                <w:rFonts w:ascii="Times New Roman" w:hAnsi="Times New Roman" w:cs="Times New Roman"/>
                <w:sz w:val="20"/>
                <w:szCs w:val="20"/>
              </w:rPr>
              <w:t xml:space="preserve"> [ .1</w:t>
            </w:r>
            <w:r>
              <w:rPr>
                <w:rFonts w:ascii="Times New Roman" w:hAnsi="Times New Roman" w:cs="Times New Roman"/>
                <w:sz w:val="20"/>
                <w:szCs w:val="20"/>
              </w:rPr>
              <w:t>3, .20</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68A3976B"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r w:rsidR="00AB0BAB">
        <w:rPr>
          <w:rFonts w:ascii="LMRoman12-Regular" w:hAnsi="LMRoman12-Regular" w:cs="LMRoman12-Regular"/>
          <w:sz w:val="24"/>
          <w:szCs w:val="24"/>
        </w:rPr>
        <w:t>.</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0374A81" w:rsidR="000A12B8" w:rsidRDefault="004F659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w:t>
      </w:r>
      <w:r w:rsidR="006603EB">
        <w:rPr>
          <w:rFonts w:ascii="LMRoman12-Regular" w:hAnsi="LMRoman12-Regular" w:cs="LMRoman12-Regular"/>
          <w:sz w:val="24"/>
          <w:szCs w:val="24"/>
        </w:rPr>
        <w:t>not particularly</w:t>
      </w:r>
      <w:r w:rsidR="000A12B8">
        <w:rPr>
          <w:rFonts w:ascii="LMRoman12-Regular" w:hAnsi="LMRoman12-Regular" w:cs="LMRoman12-Regular"/>
          <w:sz w:val="24"/>
          <w:szCs w:val="24"/>
        </w:rPr>
        <w:t xml:space="preserve">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DA3151"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4F6590"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42B81" w14:textId="77777777" w:rsidR="00DA3151" w:rsidRDefault="00DA3151" w:rsidP="00DA515D">
      <w:pPr>
        <w:spacing w:after="0" w:line="240" w:lineRule="auto"/>
      </w:pPr>
      <w:r>
        <w:separator/>
      </w:r>
    </w:p>
  </w:endnote>
  <w:endnote w:type="continuationSeparator" w:id="0">
    <w:p w14:paraId="26AE1353" w14:textId="77777777" w:rsidR="00DA3151" w:rsidRDefault="00DA3151"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2608E" w14:textId="77777777" w:rsidR="00DA3151" w:rsidRDefault="00DA3151" w:rsidP="00DA515D">
      <w:pPr>
        <w:spacing w:after="0" w:line="240" w:lineRule="auto"/>
      </w:pPr>
      <w:r>
        <w:separator/>
      </w:r>
    </w:p>
  </w:footnote>
  <w:footnote w:type="continuationSeparator" w:id="0">
    <w:p w14:paraId="0ECBD830" w14:textId="77777777" w:rsidR="00DA3151" w:rsidRDefault="00DA3151" w:rsidP="00DA515D">
      <w:pPr>
        <w:spacing w:after="0" w:line="240" w:lineRule="auto"/>
      </w:pPr>
      <w:r>
        <w:continuationSeparator/>
      </w:r>
    </w:p>
  </w:footnote>
  <w:footnote w:id="1">
    <w:p w14:paraId="2047D155" w14:textId="398F264D"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w:t>
      </w:r>
      <w:r w:rsidR="00B54DF2">
        <w:rPr>
          <w:rFonts w:eastAsiaTheme="minorEastAsia"/>
        </w:rPr>
        <w:t>e, e.g., Borenstein, 2009, p. 234</w:t>
      </w:r>
      <w:r>
        <w:rPr>
          <w:rFonts w:eastAsiaTheme="minorEastAsia"/>
        </w:rPr>
        <w:t>.</w:t>
      </w:r>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6EDC5A30"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4F6590">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50838FD6"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4F6590">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44F1BDA1"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4F6590">
      <w:rPr>
        <w:noProof/>
      </w:rPr>
      <w:t>45</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87944"/>
    <w:rsid w:val="00193599"/>
    <w:rsid w:val="001A59EC"/>
    <w:rsid w:val="001B1AD8"/>
    <w:rsid w:val="001C6C70"/>
    <w:rsid w:val="001E5C34"/>
    <w:rsid w:val="001F2D1D"/>
    <w:rsid w:val="001F2D6C"/>
    <w:rsid w:val="001F6DFB"/>
    <w:rsid w:val="00202382"/>
    <w:rsid w:val="00205E4E"/>
    <w:rsid w:val="0021230D"/>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2E10"/>
    <w:rsid w:val="003C3614"/>
    <w:rsid w:val="003D6B1C"/>
    <w:rsid w:val="003E5B58"/>
    <w:rsid w:val="003F4A88"/>
    <w:rsid w:val="00413F1B"/>
    <w:rsid w:val="0041493F"/>
    <w:rsid w:val="00417255"/>
    <w:rsid w:val="00421384"/>
    <w:rsid w:val="004231D6"/>
    <w:rsid w:val="00423914"/>
    <w:rsid w:val="00434273"/>
    <w:rsid w:val="004650EF"/>
    <w:rsid w:val="0047082E"/>
    <w:rsid w:val="00481D62"/>
    <w:rsid w:val="004A3ADB"/>
    <w:rsid w:val="004A3F5F"/>
    <w:rsid w:val="004A74A2"/>
    <w:rsid w:val="004B040C"/>
    <w:rsid w:val="004B5DD1"/>
    <w:rsid w:val="004C525B"/>
    <w:rsid w:val="004D4D32"/>
    <w:rsid w:val="004D72CA"/>
    <w:rsid w:val="004E4C5E"/>
    <w:rsid w:val="004E52F3"/>
    <w:rsid w:val="004E6F61"/>
    <w:rsid w:val="004F6590"/>
    <w:rsid w:val="00502170"/>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603EB"/>
    <w:rsid w:val="006742F1"/>
    <w:rsid w:val="00684E6D"/>
    <w:rsid w:val="00691667"/>
    <w:rsid w:val="006A06F7"/>
    <w:rsid w:val="006A669A"/>
    <w:rsid w:val="006C3A69"/>
    <w:rsid w:val="006C4324"/>
    <w:rsid w:val="006D5140"/>
    <w:rsid w:val="006D5222"/>
    <w:rsid w:val="006E2A63"/>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462A"/>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06B7"/>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0BAB"/>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4DF2"/>
    <w:rsid w:val="00B57571"/>
    <w:rsid w:val="00B67DAB"/>
    <w:rsid w:val="00B74176"/>
    <w:rsid w:val="00B77B44"/>
    <w:rsid w:val="00B976EB"/>
    <w:rsid w:val="00B97D13"/>
    <w:rsid w:val="00BA4C98"/>
    <w:rsid w:val="00BA6B4E"/>
    <w:rsid w:val="00BC3078"/>
    <w:rsid w:val="00BD177C"/>
    <w:rsid w:val="00BE26AE"/>
    <w:rsid w:val="00BE2851"/>
    <w:rsid w:val="00C0244E"/>
    <w:rsid w:val="00C04636"/>
    <w:rsid w:val="00C05C53"/>
    <w:rsid w:val="00C135D7"/>
    <w:rsid w:val="00C25CBC"/>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2124A"/>
    <w:rsid w:val="00D4137B"/>
    <w:rsid w:val="00D509DD"/>
    <w:rsid w:val="00D5288E"/>
    <w:rsid w:val="00D547B5"/>
    <w:rsid w:val="00D64EBE"/>
    <w:rsid w:val="00D74F14"/>
    <w:rsid w:val="00D76AA8"/>
    <w:rsid w:val="00D84DF6"/>
    <w:rsid w:val="00DA1203"/>
    <w:rsid w:val="00DA2471"/>
    <w:rsid w:val="00DA315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5474"/>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58CFE34A-96CE-4236-B0A9-10ED023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x.doi.org/10.1136/bmj.c2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pa.org/news/press/releases/2015/08/technical-violent-gam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C4ACF-DA6E-440B-A4DD-2B06C903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56</Pages>
  <Words>14406</Words>
  <Characters>82120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67</cp:revision>
  <cp:lastPrinted>2016-07-06T12:56:00Z</cp:lastPrinted>
  <dcterms:created xsi:type="dcterms:W3CDTF">2016-07-05T15:45:00Z</dcterms:created>
  <dcterms:modified xsi:type="dcterms:W3CDTF">2016-08-04T18:31:00Z</dcterms:modified>
</cp:coreProperties>
</file>