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rsidTr="00A81673">
        <w:tc>
          <w:tcPr>
            <w:tcW w:w="4788" w:type="dxa"/>
          </w:tcPr>
          <w:p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rsidR="00186E18" w:rsidRDefault="00186E18" w:rsidP="006258D9">
      <w:pPr>
        <w:pStyle w:val="NoSpacing"/>
        <w:tabs>
          <w:tab w:val="left" w:pos="1800"/>
        </w:tabs>
        <w:ind w:left="1800" w:hanging="1800"/>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adviser: Dr. Bruce D. Bartholow</w:t>
      </w:r>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186E18" w:rsidRPr="00EE4A63"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rsidR="00186E18" w:rsidRDefault="00186E18" w:rsidP="00186E18">
      <w:pPr>
        <w:pStyle w:val="NoSpacing"/>
        <w:ind w:left="720" w:hanging="720"/>
        <w:rPr>
          <w:rFonts w:ascii="Times New Roman" w:hAnsi="Times New Roman" w:cs="Times New Roman"/>
        </w:rPr>
      </w:pPr>
    </w:p>
    <w:p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F453E9" w:rsidRPr="00F453E9">
        <w:rPr>
          <w:rFonts w:ascii="Times New Roman" w:hAnsi="Times New Roman" w:cs="Times New Roman"/>
        </w:rPr>
        <w:t>Pathological game use in adults with and without autism spectrum disorder</w:t>
      </w:r>
      <w:bookmarkStart w:id="0" w:name="_GoBack"/>
      <w:bookmarkEnd w:id="0"/>
      <w:r>
        <w:rPr>
          <w:rFonts w:ascii="Times New Roman" w:hAnsi="Times New Roman" w:cs="Times New Roman"/>
        </w:rPr>
        <w:t xml:space="preserve">. </w:t>
      </w:r>
      <w:r>
        <w:rPr>
          <w:rFonts w:ascii="Times New Roman" w:hAnsi="Times New Roman" w:cs="Times New Roman"/>
          <w:i/>
        </w:rPr>
        <w:t xml:space="preserve">PeerJ. </w:t>
      </w:r>
      <w:r>
        <w:rPr>
          <w:rFonts w:ascii="Times New Roman" w:hAnsi="Times New Roman" w:cs="Times New Roman"/>
        </w:rPr>
        <w:t xml:space="preserve">DOI: </w:t>
      </w:r>
      <w:hyperlink r:id="rId9" w:history="1">
        <w:r>
          <w:rPr>
            <w:rStyle w:val="Hyperlink"/>
            <w:rFonts w:ascii="Helvetica" w:hAnsi="Helvetica"/>
            <w:color w:val="2A85E8"/>
            <w:sz w:val="22"/>
            <w:szCs w:val="22"/>
            <w:shd w:val="clear" w:color="auto" w:fill="FFFFFF"/>
          </w:rPr>
          <w:t>10.7717/peerj.3393</w:t>
        </w:r>
      </w:hyperlink>
    </w:p>
    <w:p w:rsidR="00186E18" w:rsidRDefault="00186E18" w:rsidP="00991414">
      <w:pPr>
        <w:pStyle w:val="NoSpacing"/>
        <w:ind w:left="720" w:hanging="720"/>
        <w:rPr>
          <w:rFonts w:ascii="Times New Roman" w:hAnsi="Times New Roman" w:cs="Times New Roman"/>
          <w:b/>
        </w:rPr>
      </w:pPr>
    </w:p>
    <w:p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Engelhardt, C. R., &amp; Rouder,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693442" w:rsidRPr="00693442" w:rsidRDefault="00693442" w:rsidP="00693442">
      <w:pPr>
        <w:pStyle w:val="NoSpacing"/>
        <w:ind w:left="720" w:hanging="720"/>
      </w:pPr>
      <w:r w:rsidRPr="006375D2">
        <w:rPr>
          <w:rFonts w:ascii="Times New Roman" w:hAnsi="Times New Roman" w:cs="Times New Roman"/>
          <w:b/>
        </w:rPr>
        <w:lastRenderedPageBreak/>
        <w:t>Hilgard, J.</w:t>
      </w:r>
      <w:r>
        <w:rPr>
          <w:rFonts w:ascii="Times New Roman" w:hAnsi="Times New Roman" w:cs="Times New Roman"/>
        </w:rPr>
        <w:t xml:space="preserve">, Engelhardt, C. R., Bartholow, B. D., &amp; Rouder,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rsidR="00693442" w:rsidRDefault="00693442"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Bartholow,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rsidR="00EE2227" w:rsidRPr="00693442" w:rsidRDefault="00EE2227" w:rsidP="00693442">
      <w:pPr>
        <w:pStyle w:val="NoSpacing"/>
        <w:rPr>
          <w:rFonts w:ascii="Times New Roman" w:hAnsi="Times New Roman" w:cs="Times New Roman"/>
        </w:rPr>
      </w:pPr>
    </w:p>
    <w:p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895611" w:rsidRDefault="00895611" w:rsidP="00895611">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Schönbrodt, F. D., </w:t>
      </w:r>
      <w:r w:rsidR="00EE4A63" w:rsidRPr="00AE62CE">
        <w:rPr>
          <w:rFonts w:ascii="Times New Roman" w:hAnsi="Times New Roman" w:cs="Times New Roman"/>
          <w:b/>
          <w:shd w:val="clear" w:color="auto" w:fill="FFFFFF"/>
        </w:rPr>
        <w:t>Hilgard, J</w:t>
      </w:r>
      <w:r w:rsidR="00EE4A63">
        <w:rPr>
          <w:rFonts w:ascii="Times New Roman" w:hAnsi="Times New Roman" w:cs="Times New Roman"/>
          <w:b/>
          <w:shd w:val="clear" w:color="auto" w:fill="FFFFFF"/>
        </w:rPr>
        <w:t>.,</w:t>
      </w:r>
      <w:r w:rsidR="00EE4A63" w:rsidRPr="00AE62CE">
        <w:rPr>
          <w:rFonts w:ascii="Times New Roman" w:hAnsi="Times New Roman" w:cs="Times New Roman"/>
          <w:shd w:val="clear" w:color="auto" w:fill="FFFFFF"/>
        </w:rPr>
        <w:t xml:space="preserve"> </w:t>
      </w:r>
      <w:r w:rsidR="00EE4A63">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sidR="00EE4A63">
        <w:rPr>
          <w:rFonts w:ascii="Times New Roman" w:hAnsi="Times New Roman" w:cs="Times New Roman"/>
          <w:shd w:val="clear" w:color="auto" w:fill="FFFFFF"/>
        </w:rPr>
        <w:t>Invited resubmission</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
    <w:p w:rsidR="00895611" w:rsidRDefault="00895611" w:rsidP="00856FE7">
      <w:pPr>
        <w:pStyle w:val="NoSpacing"/>
        <w:ind w:left="720" w:hanging="720"/>
        <w:rPr>
          <w:rFonts w:ascii="Times New Roman" w:hAnsi="Times New Roman" w:cs="Times New Roman"/>
          <w:b/>
        </w:rPr>
      </w:pPr>
    </w:p>
    <w:p w:rsidR="00EE4A63" w:rsidRDefault="00EE4A63" w:rsidP="00EE4A63">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(Invited resubmission). Transparent research practices increase public trust in agricultural biotechnology organizations.</w:t>
      </w:r>
    </w:p>
    <w:p w:rsidR="00EE4A63" w:rsidRDefault="00EE4A63" w:rsidP="00856FE7">
      <w:pPr>
        <w:pStyle w:val="NoSpacing"/>
        <w:ind w:left="720" w:hanging="720"/>
        <w:rPr>
          <w:rFonts w:ascii="Times New Roman" w:hAnsi="Times New Roman" w:cs="Times New Roman"/>
          <w:b/>
        </w:rPr>
      </w:pPr>
    </w:p>
    <w:p w:rsidR="00EE4A63" w:rsidRPr="00EE4A63" w:rsidRDefault="00EE4A63" w:rsidP="00856FE7">
      <w:pPr>
        <w:pStyle w:val="NoSpacing"/>
        <w:ind w:left="720" w:hanging="720"/>
        <w:rPr>
          <w:rFonts w:ascii="Times New Roman" w:hAnsi="Times New Roman" w:cs="Times New Roman"/>
        </w:rPr>
      </w:pPr>
      <w:r>
        <w:rPr>
          <w:rFonts w:ascii="Times New Roman" w:hAnsi="Times New Roman" w:cs="Times New Roman"/>
        </w:rPr>
        <w:t xml:space="preserve">Rouder, J.N., Haaf, J.M., Davis-Stober, C., &amp; </w:t>
      </w:r>
      <w:r w:rsidRPr="00EE4A63">
        <w:rPr>
          <w:rFonts w:ascii="Times New Roman" w:hAnsi="Times New Roman" w:cs="Times New Roman"/>
          <w:b/>
        </w:rPr>
        <w:t>Hilgard, J.</w:t>
      </w:r>
      <w:r>
        <w:rPr>
          <w:rFonts w:ascii="Times New Roman" w:hAnsi="Times New Roman" w:cs="Times New Roman"/>
        </w:rPr>
        <w:t xml:space="preserve"> </w:t>
      </w:r>
      <w:r w:rsidR="00E70C66">
        <w:rPr>
          <w:rFonts w:ascii="Times New Roman" w:hAnsi="Times New Roman" w:cs="Times New Roman"/>
        </w:rPr>
        <w:t xml:space="preserve">(Submitted) </w:t>
      </w:r>
      <w:r>
        <w:rPr>
          <w:rFonts w:ascii="Times New Roman" w:hAnsi="Times New Roman" w:cs="Times New Roman"/>
        </w:rPr>
        <w:t>Beyond overall effects: A Bayesian approach to finding constraints across a collection of studies in meta-analysis.</w:t>
      </w:r>
    </w:p>
    <w:p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rsidR="00407C1F" w:rsidRPr="00407C1F" w:rsidRDefault="00407C1F" w:rsidP="00856FE7">
      <w:pPr>
        <w:pStyle w:val="NoSpacing"/>
        <w:ind w:left="720" w:hanging="720"/>
        <w:rPr>
          <w:rFonts w:ascii="Times New Roman" w:hAnsi="Times New Roman" w:cs="Times New Roman"/>
        </w:rPr>
      </w:pPr>
      <w:r w:rsidRPr="00407C1F">
        <w:rPr>
          <w:rFonts w:ascii="Times New Roman" w:hAnsi="Times New Roman" w:cs="Times New Roman"/>
        </w:rPr>
        <w:t xml:space="preserve">Lueke, A.K., </w:t>
      </w:r>
      <w:r>
        <w:rPr>
          <w:rFonts w:ascii="Times New Roman" w:hAnsi="Times New Roman" w:cs="Times New Roman"/>
          <w:b/>
        </w:rPr>
        <w:t xml:space="preserve">Hilgard, J., </w:t>
      </w:r>
      <w:r>
        <w:rPr>
          <w:rFonts w:ascii="Times New Roman" w:hAnsi="Times New Roman" w:cs="Times New Roman"/>
        </w:rPr>
        <w:t>Zimmerman, I., Bartholow, B.D., &amp; Gibson, B. (Submitted) Hero violence and prosocial behavior.</w:t>
      </w:r>
    </w:p>
    <w:p w:rsidR="00407C1F" w:rsidRDefault="00407C1F" w:rsidP="00856FE7">
      <w:pPr>
        <w:pStyle w:val="NoSpacing"/>
        <w:ind w:left="720" w:hanging="720"/>
        <w:rPr>
          <w:rFonts w:ascii="Times New Roman" w:hAnsi="Times New Roman" w:cs="Times New Roman"/>
          <w:b/>
        </w:rPr>
      </w:pPr>
    </w:p>
    <w:p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Scherer, L. D., Volpert, H. I., &amp; Bartholow, B. D. (In revision). Understanding racial bias in the Weapons Identification Task in terms of implicit contrast effects.</w:t>
      </w:r>
    </w:p>
    <w:p w:rsidR="00856FE7" w:rsidRDefault="00856FE7" w:rsidP="00D6676C">
      <w:pPr>
        <w:pStyle w:val="NoSpacing"/>
        <w:ind w:left="720" w:hanging="720"/>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 xml:space="preserve">Volpert, H.I.,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&amp; Bartholow,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0"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1"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2"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A reading list for the replicability crisis. </w:t>
      </w:r>
      <w:hyperlink r:id="rId13"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 xml:space="preserve">Hilgard, J. (2015) Bayesian perspectives on publication bias. </w:t>
      </w:r>
      <w:hyperlink r:id="rId14"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r>
        <w:rPr>
          <w:rFonts w:ascii="Times New Roman" w:hAnsi="Times New Roman" w:cs="Times New Roman"/>
        </w:rPr>
        <w:t xml:space="preserve">Hilgard, J. (2015) Bayes factor: Asking the right questions. </w:t>
      </w:r>
      <w:hyperlink r:id="rId15"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lastRenderedPageBreak/>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rsidR="00D67B18" w:rsidRDefault="00D67B18" w:rsidP="00B278CC">
      <w:pPr>
        <w:pStyle w:val="NoSpacing"/>
        <w:ind w:left="720" w:hanging="720"/>
        <w:rPr>
          <w:rFonts w:ascii="Times New Roman" w:hAnsi="Times New Roman" w:cs="Times New Roman"/>
        </w:rPr>
      </w:pPr>
    </w:p>
    <w:p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rsidR="00E70C66" w:rsidRDefault="00E70C66" w:rsidP="00B278CC">
      <w:pPr>
        <w:pStyle w:val="NoSpacing"/>
        <w:ind w:left="720" w:hanging="72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w:t>
      </w:r>
      <w:r w:rsidR="00D67B18">
        <w:rPr>
          <w:rFonts w:ascii="Times New Roman" w:hAnsi="Times New Roman" w:cs="Times New Roman"/>
          <w:i/>
        </w:rPr>
        <w:lastRenderedPageBreak/>
        <w:t xml:space="preserve">to aggression. </w:t>
      </w:r>
      <w:r w:rsidR="00D67B18">
        <w:rPr>
          <w:rFonts w:ascii="Times New Roman" w:hAnsi="Times New Roman" w:cs="Times New Roman"/>
        </w:rPr>
        <w:t>Panel conducted at the meeting of the Society for Personality and Social Psychology, San Antonio, Texas.</w:t>
      </w:r>
    </w:p>
    <w:p w:rsidR="004E33DF" w:rsidRDefault="004E33DF" w:rsidP="00865793">
      <w:pPr>
        <w:pStyle w:val="NoSpacing"/>
        <w:rPr>
          <w:rFonts w:ascii="Times New Roman" w:hAnsi="Times New Roman" w:cs="Times New Roman"/>
        </w:rPr>
      </w:pPr>
    </w:p>
    <w:p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rsidR="004E33DF" w:rsidRDefault="004E33DF" w:rsidP="00C532EA">
      <w:pPr>
        <w:pStyle w:val="NoSpacing"/>
        <w:ind w:left="720" w:hanging="720"/>
        <w:rPr>
          <w:rFonts w:ascii="Times New Roman" w:hAnsi="Times New Roman" w:cs="Times New Roman"/>
          <w:b/>
        </w:rPr>
      </w:pPr>
    </w:p>
    <w:p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rsidR="00A14F9A" w:rsidRDefault="00A14F9A" w:rsidP="00C532EA">
      <w:pPr>
        <w:pStyle w:val="NoSpacing"/>
        <w:ind w:left="720" w:hanging="72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Fall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5406CF" w:rsidRDefault="005406CF" w:rsidP="00FA05B3">
      <w:pPr>
        <w:pStyle w:val="NoSpacing"/>
        <w:rPr>
          <w:rFonts w:ascii="Times New Roman" w:hAnsi="Times New Roman" w:cs="Times New Roman"/>
          <w:sz w:val="23"/>
          <w:szCs w:val="23"/>
        </w:rPr>
      </w:pPr>
    </w:p>
    <w:p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rsidR="005406CF" w:rsidRDefault="005406CF" w:rsidP="00FA05B3">
      <w:pPr>
        <w:pStyle w:val="NoSpacing"/>
        <w:rPr>
          <w:rFonts w:ascii="Times New Roman" w:hAnsi="Times New Roman" w:cs="Times New Roman"/>
          <w:sz w:val="28"/>
          <w:szCs w:val="28"/>
        </w:rPr>
      </w:pPr>
    </w:p>
    <w:p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International Communication Association</w:t>
      </w:r>
    </w:p>
    <w:p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70E" w:rsidRDefault="005C270E" w:rsidP="00BF5FB9">
      <w:pPr>
        <w:spacing w:line="240" w:lineRule="auto"/>
      </w:pPr>
      <w:r>
        <w:separator/>
      </w:r>
    </w:p>
  </w:endnote>
  <w:endnote w:type="continuationSeparator" w:id="0">
    <w:p w:rsidR="005C270E" w:rsidRDefault="005C270E"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70E" w:rsidRDefault="005C270E" w:rsidP="00BF5FB9">
      <w:pPr>
        <w:spacing w:line="240" w:lineRule="auto"/>
      </w:pPr>
      <w:r>
        <w:separator/>
      </w:r>
    </w:p>
  </w:footnote>
  <w:footnote w:type="continuationSeparator" w:id="0">
    <w:p w:rsidR="005C270E" w:rsidRDefault="005C270E" w:rsidP="00BF5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F453E9">
      <w:rPr>
        <w:noProof/>
      </w:rPr>
      <w:t>2</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14524"/>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B44C8"/>
    <w:rsid w:val="003C71C3"/>
    <w:rsid w:val="003D3643"/>
    <w:rsid w:val="003F3454"/>
    <w:rsid w:val="00403B9B"/>
    <w:rsid w:val="00407C1F"/>
    <w:rsid w:val="00413B5E"/>
    <w:rsid w:val="00421AF3"/>
    <w:rsid w:val="004300C6"/>
    <w:rsid w:val="00433ED5"/>
    <w:rsid w:val="00464D2E"/>
    <w:rsid w:val="00465E0E"/>
    <w:rsid w:val="00496E32"/>
    <w:rsid w:val="004A5218"/>
    <w:rsid w:val="004D2DA0"/>
    <w:rsid w:val="004D63FD"/>
    <w:rsid w:val="004E33DF"/>
    <w:rsid w:val="004F45D2"/>
    <w:rsid w:val="0052472C"/>
    <w:rsid w:val="0053057F"/>
    <w:rsid w:val="005351A8"/>
    <w:rsid w:val="005406CF"/>
    <w:rsid w:val="00543C81"/>
    <w:rsid w:val="00573742"/>
    <w:rsid w:val="00576F76"/>
    <w:rsid w:val="005C270E"/>
    <w:rsid w:val="0060006D"/>
    <w:rsid w:val="006258D9"/>
    <w:rsid w:val="0062657F"/>
    <w:rsid w:val="006375D2"/>
    <w:rsid w:val="00643DB9"/>
    <w:rsid w:val="00646D26"/>
    <w:rsid w:val="006572B9"/>
    <w:rsid w:val="00657CB0"/>
    <w:rsid w:val="00664C2F"/>
    <w:rsid w:val="00693442"/>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91B33"/>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67B18"/>
    <w:rsid w:val="00D82D64"/>
    <w:rsid w:val="00D848A7"/>
    <w:rsid w:val="00D908B3"/>
    <w:rsid w:val="00D92599"/>
    <w:rsid w:val="00DC3106"/>
    <w:rsid w:val="00DC3458"/>
    <w:rsid w:val="00E20D49"/>
    <w:rsid w:val="00E259D1"/>
    <w:rsid w:val="00E70C66"/>
    <w:rsid w:val="00E71AE7"/>
    <w:rsid w:val="00E829F0"/>
    <w:rsid w:val="00E9227D"/>
    <w:rsid w:val="00EA2506"/>
    <w:rsid w:val="00EB166F"/>
    <w:rsid w:val="00EB46FB"/>
    <w:rsid w:val="00EE1379"/>
    <w:rsid w:val="00EE2227"/>
    <w:rsid w:val="00EE4A63"/>
    <w:rsid w:val="00EF5058"/>
    <w:rsid w:val="00F242F1"/>
    <w:rsid w:val="00F31E34"/>
    <w:rsid w:val="00F453E9"/>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ADE470-8D8A-4000-A4B7-95FB9A1C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3/a-reading-list-for-replicability-crisi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sf.io/pk8as/" TargetMode="External"/><Relationship Id="rId12" Type="http://schemas.openxmlformats.org/officeDocument/2006/relationships/hyperlink" Target="http://crystalprisonzone.blogspot.com/2016/02/sick-and-tired-of-bias-correction.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crystalprisonzone.blogspot.com/2016/08/comment-on-strack-2016.html" TargetMode="External"/><Relationship Id="rId5" Type="http://schemas.openxmlformats.org/officeDocument/2006/relationships/endnotes" Target="endnotes.xml"/><Relationship Id="rId15" Type="http://schemas.openxmlformats.org/officeDocument/2006/relationships/hyperlink" Target="http://crystalprisonzone.blogspot.com/2015/04/bayes-factor-asking-right-questions.html" TargetMode="External"/><Relationship Id="rId10" Type="http://schemas.openxmlformats.org/officeDocument/2006/relationships/hyperlink" Target="https://osf.io/3cb9m/" TargetMode="External"/><Relationship Id="rId4" Type="http://schemas.openxmlformats.org/officeDocument/2006/relationships/footnotes" Target="footnotes.xml"/><Relationship Id="rId9" Type="http://schemas.openxmlformats.org/officeDocument/2006/relationships/hyperlink" Target="https://doi.org/10.7717/peerj.3393" TargetMode="External"/><Relationship Id="rId14" Type="http://schemas.openxmlformats.org/officeDocument/2006/relationships/hyperlink" Target="http://crystalprisonzone.blogspot.com/2015/07/bayesian-perspectives-on-pub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2240</TotalTime>
  <Pages>8</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Chris Engelhardt</cp:lastModifiedBy>
  <cp:revision>89</cp:revision>
  <cp:lastPrinted>2017-10-03T14:44:00Z</cp:lastPrinted>
  <dcterms:created xsi:type="dcterms:W3CDTF">2015-01-22T02:44:00Z</dcterms:created>
  <dcterms:modified xsi:type="dcterms:W3CDTF">2018-06-26T16:57:00Z</dcterms:modified>
</cp:coreProperties>
</file>